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8"/>
        <w:gridCol w:w="1748"/>
        <w:gridCol w:w="1728"/>
      </w:tblGrid>
      <w:tr w:rsidR="0013075E" w:rsidRPr="008F1F7E" w:rsidTr="000A1C84">
        <w:tc>
          <w:tcPr>
            <w:tcW w:w="5202" w:type="dxa"/>
            <w:gridSpan w:val="4"/>
            <w:vMerge w:val="restart"/>
          </w:tcPr>
          <w:p w:rsidR="0013075E" w:rsidRPr="008F1F7E" w:rsidRDefault="0013075E" w:rsidP="00CF7674">
            <w:r w:rsidRPr="008F1F7E">
              <w:rPr>
                <w:b/>
                <w:noProof/>
                <w:lang w:eastAsia="en-GB"/>
              </w:rPr>
              <w:drawing>
                <wp:inline distT="0" distB="0" distL="0" distR="0" wp14:anchorId="3D28945C" wp14:editId="58D0698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rsidR="0013075E" w:rsidRPr="00EE7097" w:rsidRDefault="00E5448C" w:rsidP="00EE7097">
                <w:pPr>
                  <w:jc w:val="right"/>
                  <w:rPr>
                    <w:b/>
                    <w:szCs w:val="24"/>
                  </w:rPr>
                </w:pPr>
                <w:r>
                  <w:rPr>
                    <w:rStyle w:val="Dropdown"/>
                  </w:rPr>
                  <w:t>Audit and Corporate Governance Committee</w:t>
                </w:r>
              </w:p>
            </w:sdtContent>
          </w:sdt>
        </w:tc>
      </w:tr>
      <w:tr w:rsidR="0013075E" w:rsidRPr="008F1F7E" w:rsidTr="000A1C84">
        <w:tc>
          <w:tcPr>
            <w:tcW w:w="5202" w:type="dxa"/>
            <w:gridSpan w:val="4"/>
            <w:vMerge/>
          </w:tcPr>
          <w:p w:rsidR="0013075E" w:rsidRPr="008F1F7E" w:rsidRDefault="0013075E" w:rsidP="00CF7674">
            <w:pPr>
              <w:rPr>
                <w:b/>
                <w:noProof/>
                <w:lang w:eastAsia="en-GB"/>
              </w:rPr>
            </w:pPr>
          </w:p>
        </w:tc>
        <w:tc>
          <w:tcPr>
            <w:tcW w:w="3814" w:type="dxa"/>
            <w:gridSpan w:val="3"/>
            <w:tcBorders>
              <w:top w:val="nil"/>
              <w:bottom w:val="nil"/>
            </w:tcBorders>
          </w:tcPr>
          <w:p w:rsidR="00D34F08" w:rsidRPr="00D34F08" w:rsidRDefault="00D34F08" w:rsidP="00EE7097">
            <w:pPr>
              <w:jc w:val="right"/>
              <w:rPr>
                <w:b/>
              </w:rPr>
            </w:pPr>
            <w:r w:rsidRPr="00D34F08">
              <w:rPr>
                <w:b/>
              </w:rPr>
              <w:t>Date of Meeting</w:t>
            </w:r>
          </w:p>
          <w:p w:rsidR="0013075E" w:rsidRPr="00297CF8" w:rsidRDefault="00F506D5" w:rsidP="00FD532E">
            <w:pPr>
              <w:jc w:val="right"/>
            </w:pPr>
            <w:r>
              <w:t>5 May 2021</w:t>
            </w:r>
          </w:p>
        </w:tc>
      </w:tr>
      <w:tr w:rsidR="0013075E" w:rsidRPr="008F1F7E" w:rsidTr="000A1C84">
        <w:tc>
          <w:tcPr>
            <w:tcW w:w="5202" w:type="dxa"/>
            <w:gridSpan w:val="4"/>
            <w:vMerge/>
            <w:tcBorders>
              <w:bottom w:val="single" w:sz="4" w:space="0" w:color="auto"/>
            </w:tcBorders>
          </w:tcPr>
          <w:p w:rsidR="0013075E" w:rsidRPr="008F1F7E" w:rsidRDefault="0013075E" w:rsidP="00CF7674">
            <w:pPr>
              <w:rPr>
                <w:b/>
                <w:noProof/>
                <w:lang w:eastAsia="en-GB"/>
              </w:rPr>
            </w:pPr>
          </w:p>
        </w:tc>
        <w:tc>
          <w:tcPr>
            <w:tcW w:w="3814" w:type="dxa"/>
            <w:gridSpan w:val="3"/>
            <w:tcBorders>
              <w:top w:val="nil"/>
              <w:bottom w:val="single" w:sz="4" w:space="0" w:color="auto"/>
            </w:tcBorders>
          </w:tcPr>
          <w:p w:rsidR="0013075E" w:rsidRPr="00F41E83" w:rsidRDefault="0013075E" w:rsidP="00EE7097">
            <w:pPr>
              <w:jc w:val="right"/>
              <w:rPr>
                <w:b/>
              </w:rPr>
            </w:pPr>
            <w:r w:rsidRPr="00F41E83">
              <w:rPr>
                <w:b/>
              </w:rPr>
              <w:t>Agenda item:</w:t>
            </w:r>
          </w:p>
          <w:p w:rsidR="0013075E" w:rsidRPr="00F41E83" w:rsidRDefault="001F6625" w:rsidP="00F506D5">
            <w:pPr>
              <w:jc w:val="right"/>
            </w:pPr>
            <w:r>
              <w:t>5.</w:t>
            </w:r>
            <w:r w:rsidR="00F506D5">
              <w:t>1</w:t>
            </w:r>
          </w:p>
        </w:tc>
      </w:tr>
      <w:tr w:rsidR="00EE7097" w:rsidRPr="008F1F7E" w:rsidTr="000A1C84">
        <w:tc>
          <w:tcPr>
            <w:tcW w:w="9016" w:type="dxa"/>
            <w:gridSpan w:val="7"/>
            <w:tcBorders>
              <w:left w:val="nil"/>
              <w:right w:val="nil"/>
            </w:tcBorders>
            <w:vAlign w:val="center"/>
          </w:tcPr>
          <w:p w:rsidR="00D34F08" w:rsidRPr="00912C7B" w:rsidRDefault="00D34F08" w:rsidP="00E5448C">
            <w:pPr>
              <w:rPr>
                <w:b/>
                <w:sz w:val="28"/>
              </w:rPr>
            </w:pPr>
          </w:p>
        </w:tc>
      </w:tr>
      <w:tr w:rsidR="00EE7097" w:rsidRPr="008F1F7E" w:rsidTr="000A1C84">
        <w:tc>
          <w:tcPr>
            <w:tcW w:w="9016" w:type="dxa"/>
            <w:gridSpan w:val="7"/>
            <w:vAlign w:val="center"/>
          </w:tcPr>
          <w:p w:rsidR="00EE7097" w:rsidRPr="00D475D0" w:rsidRDefault="00E5448C" w:rsidP="00D475D0">
            <w:pPr>
              <w:jc w:val="center"/>
              <w:rPr>
                <w:rFonts w:eastAsia="Calibri" w:cs="Times New Roman"/>
                <w:b/>
                <w:sz w:val="40"/>
                <w:szCs w:val="52"/>
              </w:rPr>
            </w:pPr>
            <w:r w:rsidRPr="00E5448C">
              <w:rPr>
                <w:rFonts w:eastAsia="Calibri" w:cs="Times New Roman"/>
                <w:b/>
                <w:sz w:val="40"/>
                <w:szCs w:val="52"/>
              </w:rPr>
              <w:t>Internal Audit Action Log</w:t>
            </w:r>
          </w:p>
        </w:tc>
      </w:tr>
      <w:tr w:rsidR="00EE7097" w:rsidRPr="001C60B5" w:rsidTr="000A1C84">
        <w:tc>
          <w:tcPr>
            <w:tcW w:w="2802" w:type="dxa"/>
            <w:gridSpan w:val="2"/>
          </w:tcPr>
          <w:p w:rsidR="00EE7097" w:rsidRPr="001C60B5" w:rsidRDefault="00EE7097">
            <w:pPr>
              <w:rPr>
                <w:b/>
                <w:szCs w:val="24"/>
              </w:rPr>
            </w:pPr>
            <w:r w:rsidRPr="001C60B5">
              <w:rPr>
                <w:b/>
                <w:szCs w:val="24"/>
              </w:rPr>
              <w:t>Executive lead:</w:t>
            </w:r>
          </w:p>
        </w:tc>
        <w:tc>
          <w:tcPr>
            <w:tcW w:w="6214" w:type="dxa"/>
            <w:gridSpan w:val="5"/>
          </w:tcPr>
          <w:p w:rsidR="00EE7097" w:rsidRPr="00D34F08" w:rsidRDefault="00F41E83">
            <w:pPr>
              <w:rPr>
                <w:color w:val="FF0000"/>
                <w:szCs w:val="24"/>
              </w:rPr>
            </w:pPr>
            <w:r>
              <w:rPr>
                <w:szCs w:val="24"/>
              </w:rPr>
              <w:t xml:space="preserve">Helen Bushell, Board Secretary and Head of Board Business </w:t>
            </w:r>
          </w:p>
        </w:tc>
      </w:tr>
      <w:tr w:rsidR="000A1C84" w:rsidRPr="001C60B5" w:rsidTr="000A1C84">
        <w:tc>
          <w:tcPr>
            <w:tcW w:w="2802" w:type="dxa"/>
            <w:gridSpan w:val="2"/>
          </w:tcPr>
          <w:p w:rsidR="000A1C84" w:rsidRPr="001C60B5" w:rsidRDefault="000A1C84" w:rsidP="000A1C84">
            <w:pPr>
              <w:rPr>
                <w:b/>
                <w:szCs w:val="24"/>
              </w:rPr>
            </w:pPr>
            <w:r w:rsidRPr="001C60B5">
              <w:rPr>
                <w:b/>
                <w:szCs w:val="24"/>
              </w:rPr>
              <w:t>Author</w:t>
            </w:r>
            <w:r w:rsidR="00046673">
              <w:rPr>
                <w:b/>
                <w:szCs w:val="24"/>
              </w:rPr>
              <w:t>s</w:t>
            </w:r>
            <w:r w:rsidRPr="001C60B5">
              <w:rPr>
                <w:b/>
                <w:szCs w:val="24"/>
              </w:rPr>
              <w:t>:</w:t>
            </w:r>
          </w:p>
        </w:tc>
        <w:tc>
          <w:tcPr>
            <w:tcW w:w="6214" w:type="dxa"/>
            <w:gridSpan w:val="5"/>
          </w:tcPr>
          <w:p w:rsidR="000A1C84" w:rsidRPr="001C60B5" w:rsidRDefault="00297CF8" w:rsidP="008844EF">
            <w:pPr>
              <w:rPr>
                <w:color w:val="FF0000"/>
                <w:szCs w:val="24"/>
              </w:rPr>
            </w:pPr>
            <w:r>
              <w:rPr>
                <w:szCs w:val="24"/>
              </w:rPr>
              <w:t>Liz Blayney</w:t>
            </w:r>
            <w:r w:rsidR="00F41E83">
              <w:rPr>
                <w:szCs w:val="24"/>
              </w:rPr>
              <w:t xml:space="preserve">, </w:t>
            </w:r>
            <w:r>
              <w:rPr>
                <w:szCs w:val="24"/>
              </w:rPr>
              <w:t>Deputy Board Secretary and Board</w:t>
            </w:r>
            <w:r w:rsidR="00F41E83">
              <w:rPr>
                <w:szCs w:val="24"/>
              </w:rPr>
              <w:t xml:space="preserve"> Governance Manager</w:t>
            </w:r>
          </w:p>
        </w:tc>
      </w:tr>
      <w:tr w:rsidR="000A1C84" w:rsidRPr="001C60B5" w:rsidTr="000A1C84">
        <w:trPr>
          <w:trHeight w:val="149"/>
        </w:trPr>
        <w:tc>
          <w:tcPr>
            <w:tcW w:w="2802" w:type="dxa"/>
            <w:gridSpan w:val="2"/>
            <w:tcBorders>
              <w:left w:val="nil"/>
              <w:right w:val="nil"/>
            </w:tcBorders>
          </w:tcPr>
          <w:p w:rsidR="000A1C84" w:rsidRPr="005B4E75" w:rsidRDefault="000A1C84" w:rsidP="000A1C84">
            <w:pPr>
              <w:rPr>
                <w:b/>
                <w:sz w:val="12"/>
                <w:szCs w:val="12"/>
              </w:rPr>
            </w:pPr>
          </w:p>
        </w:tc>
        <w:tc>
          <w:tcPr>
            <w:tcW w:w="6214" w:type="dxa"/>
            <w:gridSpan w:val="5"/>
            <w:tcBorders>
              <w:left w:val="nil"/>
              <w:right w:val="nil"/>
            </w:tcBorders>
          </w:tcPr>
          <w:p w:rsidR="000A1C84" w:rsidRPr="005B4E75" w:rsidRDefault="000A1C84" w:rsidP="000A1C84">
            <w:pPr>
              <w:rPr>
                <w:sz w:val="12"/>
                <w:szCs w:val="12"/>
              </w:rPr>
            </w:pPr>
          </w:p>
        </w:tc>
      </w:tr>
      <w:tr w:rsidR="000A1C84" w:rsidRPr="001C60B5" w:rsidTr="000A1C84">
        <w:tc>
          <w:tcPr>
            <w:tcW w:w="2802" w:type="dxa"/>
            <w:gridSpan w:val="2"/>
          </w:tcPr>
          <w:p w:rsidR="000A1C84" w:rsidRPr="001C60B5" w:rsidRDefault="000A1C84" w:rsidP="000A1C84">
            <w:pPr>
              <w:rPr>
                <w:b/>
                <w:szCs w:val="24"/>
              </w:rPr>
            </w:pPr>
            <w:r w:rsidRPr="001C60B5">
              <w:rPr>
                <w:b/>
                <w:szCs w:val="24"/>
              </w:rPr>
              <w:t>Approval/Scrutiny route:</w:t>
            </w:r>
          </w:p>
        </w:tc>
        <w:tc>
          <w:tcPr>
            <w:tcW w:w="6214" w:type="dxa"/>
            <w:gridSpan w:val="5"/>
          </w:tcPr>
          <w:p w:rsidR="000A1C84" w:rsidRPr="00E5448C" w:rsidRDefault="000A1C84" w:rsidP="000A1C84">
            <w:pPr>
              <w:autoSpaceDE w:val="0"/>
              <w:autoSpaceDN w:val="0"/>
              <w:adjustRightInd w:val="0"/>
              <w:spacing w:after="140" w:line="241" w:lineRule="atLeast"/>
              <w:jc w:val="both"/>
              <w:rPr>
                <w:szCs w:val="24"/>
              </w:rPr>
            </w:pPr>
            <w:r>
              <w:rPr>
                <w:szCs w:val="24"/>
              </w:rPr>
              <w:t>N/A</w:t>
            </w:r>
          </w:p>
        </w:tc>
      </w:tr>
      <w:tr w:rsidR="000A1C84" w:rsidRPr="001C60B5" w:rsidTr="000A1C84">
        <w:tc>
          <w:tcPr>
            <w:tcW w:w="9016" w:type="dxa"/>
            <w:gridSpan w:val="7"/>
            <w:tcBorders>
              <w:left w:val="nil"/>
              <w:bottom w:val="single" w:sz="4" w:space="0" w:color="auto"/>
              <w:right w:val="nil"/>
            </w:tcBorders>
          </w:tcPr>
          <w:p w:rsidR="000A1C84" w:rsidRPr="005B4E75" w:rsidRDefault="000A1C84" w:rsidP="000A1C84">
            <w:pPr>
              <w:rPr>
                <w:b/>
                <w:sz w:val="12"/>
                <w:szCs w:val="12"/>
              </w:rPr>
            </w:pPr>
          </w:p>
        </w:tc>
      </w:tr>
      <w:tr w:rsidR="000A1C84" w:rsidRPr="001C60B5" w:rsidTr="000A1C84">
        <w:tc>
          <w:tcPr>
            <w:tcW w:w="9016" w:type="dxa"/>
            <w:gridSpan w:val="7"/>
            <w:tcBorders>
              <w:left w:val="single" w:sz="4" w:space="0" w:color="auto"/>
              <w:right w:val="single" w:sz="4" w:space="0" w:color="auto"/>
            </w:tcBorders>
          </w:tcPr>
          <w:p w:rsidR="000A1C84" w:rsidRPr="001C60B5" w:rsidRDefault="000A1C84" w:rsidP="000A1C84">
            <w:pPr>
              <w:rPr>
                <w:b/>
                <w:szCs w:val="24"/>
              </w:rPr>
            </w:pPr>
            <w:r>
              <w:rPr>
                <w:b/>
                <w:szCs w:val="24"/>
              </w:rPr>
              <w:t>Purpose</w:t>
            </w:r>
          </w:p>
        </w:tc>
      </w:tr>
      <w:tr w:rsidR="000A1C84" w:rsidRPr="001C60B5" w:rsidTr="000A1C84">
        <w:tc>
          <w:tcPr>
            <w:tcW w:w="9016" w:type="dxa"/>
            <w:gridSpan w:val="7"/>
            <w:tcBorders>
              <w:left w:val="single" w:sz="4" w:space="0" w:color="auto"/>
              <w:right w:val="single" w:sz="4" w:space="0" w:color="auto"/>
            </w:tcBorders>
          </w:tcPr>
          <w:p w:rsidR="000A1C84" w:rsidRPr="00E5448C" w:rsidRDefault="000A1C84" w:rsidP="00FD532E">
            <w:pPr>
              <w:jc w:val="both"/>
              <w:rPr>
                <w:rFonts w:eastAsia="Calibri" w:cs="Times New Roman"/>
                <w:szCs w:val="24"/>
              </w:rPr>
            </w:pPr>
            <w:r w:rsidRPr="00E5448C">
              <w:rPr>
                <w:rFonts w:eastAsia="Calibri" w:cs="Times New Roman"/>
                <w:szCs w:val="24"/>
              </w:rPr>
              <w:t>The Audit and Corporate Governance Committee receives the Internal Au</w:t>
            </w:r>
            <w:r w:rsidR="00FD532E">
              <w:rPr>
                <w:rFonts w:eastAsia="Calibri" w:cs="Times New Roman"/>
                <w:szCs w:val="24"/>
              </w:rPr>
              <w:t xml:space="preserve">dit Action Log </w:t>
            </w:r>
            <w:r w:rsidR="00F506D5">
              <w:rPr>
                <w:rFonts w:eastAsia="Calibri" w:cs="Times New Roman"/>
                <w:szCs w:val="24"/>
              </w:rPr>
              <w:t xml:space="preserve">to track </w:t>
            </w:r>
            <w:r w:rsidRPr="00E5448C">
              <w:rPr>
                <w:rFonts w:eastAsia="Calibri" w:cs="Times New Roman"/>
                <w:szCs w:val="24"/>
              </w:rPr>
              <w:t xml:space="preserve"> progress against agreed management actions in response to the recommendations of internal audit reviews. </w:t>
            </w:r>
          </w:p>
          <w:p w:rsidR="000A1C84" w:rsidRPr="00E5448C" w:rsidRDefault="000A1C84" w:rsidP="000A1C84">
            <w:pPr>
              <w:rPr>
                <w:rFonts w:eastAsia="Calibri" w:cs="Times New Roman"/>
                <w:szCs w:val="24"/>
              </w:rPr>
            </w:pPr>
          </w:p>
          <w:p w:rsidR="000A1C84" w:rsidRPr="005B4E75" w:rsidRDefault="000A1C84" w:rsidP="00F506D5">
            <w:pPr>
              <w:spacing w:after="200"/>
              <w:jc w:val="both"/>
              <w:rPr>
                <w:color w:val="FF0000"/>
                <w:szCs w:val="24"/>
              </w:rPr>
            </w:pPr>
            <w:r w:rsidRPr="00E5448C">
              <w:rPr>
                <w:szCs w:val="24"/>
              </w:rPr>
              <w:t>The purpose of this report is to draw attention to the amendments made to the Internal Audit Action Log since it was last received by th</w:t>
            </w:r>
            <w:r>
              <w:rPr>
                <w:szCs w:val="24"/>
              </w:rPr>
              <w:t xml:space="preserve">e Committee at its meeting on </w:t>
            </w:r>
            <w:r w:rsidR="00F506D5">
              <w:rPr>
                <w:szCs w:val="24"/>
              </w:rPr>
              <w:t>January 2021</w:t>
            </w:r>
            <w:r w:rsidRPr="00E5448C">
              <w:rPr>
                <w:szCs w:val="24"/>
              </w:rPr>
              <w:t>.</w:t>
            </w:r>
          </w:p>
        </w:tc>
      </w:tr>
      <w:tr w:rsidR="000A1C84" w:rsidRPr="001C60B5" w:rsidTr="000A1C84">
        <w:tc>
          <w:tcPr>
            <w:tcW w:w="9016" w:type="dxa"/>
            <w:gridSpan w:val="7"/>
            <w:tcBorders>
              <w:left w:val="nil"/>
              <w:right w:val="nil"/>
            </w:tcBorders>
          </w:tcPr>
          <w:p w:rsidR="000A1C84" w:rsidRPr="005B4E75" w:rsidRDefault="000A1C84" w:rsidP="000A1C84">
            <w:pPr>
              <w:rPr>
                <w:b/>
                <w:sz w:val="12"/>
                <w:szCs w:val="12"/>
              </w:rPr>
            </w:pPr>
          </w:p>
        </w:tc>
      </w:tr>
      <w:tr w:rsidR="000A1C84" w:rsidRPr="001C60B5" w:rsidTr="000A1C84">
        <w:tc>
          <w:tcPr>
            <w:tcW w:w="9016" w:type="dxa"/>
            <w:gridSpan w:val="7"/>
          </w:tcPr>
          <w:p w:rsidR="000A1C84" w:rsidRPr="0013075E" w:rsidRDefault="000A1C84" w:rsidP="000A1C84">
            <w:pPr>
              <w:rPr>
                <w:b/>
                <w:szCs w:val="24"/>
              </w:rPr>
            </w:pPr>
            <w:r>
              <w:rPr>
                <w:b/>
                <w:szCs w:val="24"/>
              </w:rPr>
              <w:t>Recommendation:</w:t>
            </w:r>
          </w:p>
        </w:tc>
      </w:tr>
      <w:tr w:rsidR="000A1C84" w:rsidRPr="001C60B5" w:rsidTr="000A1C84">
        <w:tc>
          <w:tcPr>
            <w:tcW w:w="1848" w:type="dxa"/>
            <w:tcBorders>
              <w:bottom w:val="single" w:sz="4" w:space="0" w:color="auto"/>
            </w:tcBorders>
          </w:tcPr>
          <w:p w:rsidR="000A1C84" w:rsidRPr="007A47F5" w:rsidRDefault="000A1C84" w:rsidP="000A1C84">
            <w:pPr>
              <w:jc w:val="center"/>
              <w:rPr>
                <w:szCs w:val="24"/>
              </w:rPr>
            </w:pPr>
            <w:r w:rsidRPr="007A47F5">
              <w:rPr>
                <w:szCs w:val="24"/>
              </w:rPr>
              <w:t>APPROVE</w:t>
            </w:r>
          </w:p>
          <w:p w:rsidR="000A1C84" w:rsidRPr="007A47F5" w:rsidRDefault="000A1C84" w:rsidP="000A1C84">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A7528F">
              <w:rPr>
                <w:rFonts w:ascii="Wingdings" w:hAnsi="Wingdings"/>
                <w:szCs w:val="24"/>
              </w:rPr>
            </w:r>
            <w:r w:rsidR="00A7528F">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rsidR="000A1C84" w:rsidRDefault="000A1C84" w:rsidP="000A1C84">
            <w:pPr>
              <w:jc w:val="center"/>
              <w:rPr>
                <w:szCs w:val="24"/>
              </w:rPr>
            </w:pPr>
            <w:r w:rsidRPr="007A47F5">
              <w:rPr>
                <w:szCs w:val="24"/>
              </w:rPr>
              <w:t>CONSIDER</w:t>
            </w:r>
          </w:p>
          <w:p w:rsidR="000A1C84" w:rsidRPr="007A47F5" w:rsidRDefault="000A1C84" w:rsidP="000A1C84">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A7528F">
              <w:rPr>
                <w:szCs w:val="24"/>
              </w:rPr>
            </w:r>
            <w:r w:rsidR="00A7528F">
              <w:rPr>
                <w:szCs w:val="24"/>
              </w:rPr>
              <w:fldChar w:fldCharType="separate"/>
            </w:r>
            <w:r>
              <w:rPr>
                <w:szCs w:val="24"/>
              </w:rPr>
              <w:fldChar w:fldCharType="end"/>
            </w:r>
            <w:bookmarkEnd w:id="1"/>
          </w:p>
        </w:tc>
        <w:tc>
          <w:tcPr>
            <w:tcW w:w="1844" w:type="dxa"/>
            <w:gridSpan w:val="2"/>
            <w:tcBorders>
              <w:bottom w:val="single" w:sz="4" w:space="0" w:color="auto"/>
            </w:tcBorders>
          </w:tcPr>
          <w:p w:rsidR="000A1C84" w:rsidRDefault="000A1C84" w:rsidP="000A1C84">
            <w:pPr>
              <w:jc w:val="center"/>
              <w:rPr>
                <w:szCs w:val="24"/>
              </w:rPr>
            </w:pPr>
            <w:r w:rsidRPr="007A47F5">
              <w:rPr>
                <w:szCs w:val="24"/>
              </w:rPr>
              <w:t>RECOMMEND</w:t>
            </w:r>
          </w:p>
          <w:p w:rsidR="000A1C84" w:rsidRPr="007A47F5" w:rsidRDefault="000A1C84" w:rsidP="000A1C84">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A7528F">
              <w:rPr>
                <w:szCs w:val="24"/>
              </w:rPr>
            </w:r>
            <w:r w:rsidR="00A7528F">
              <w:rPr>
                <w:szCs w:val="24"/>
              </w:rPr>
              <w:fldChar w:fldCharType="separate"/>
            </w:r>
            <w:r>
              <w:rPr>
                <w:szCs w:val="24"/>
              </w:rPr>
              <w:fldChar w:fldCharType="end"/>
            </w:r>
            <w:bookmarkEnd w:id="2"/>
          </w:p>
        </w:tc>
        <w:tc>
          <w:tcPr>
            <w:tcW w:w="1748" w:type="dxa"/>
            <w:tcBorders>
              <w:bottom w:val="single" w:sz="4" w:space="0" w:color="auto"/>
            </w:tcBorders>
          </w:tcPr>
          <w:p w:rsidR="000A1C84" w:rsidRDefault="000A1C84" w:rsidP="000A1C84">
            <w:pPr>
              <w:jc w:val="center"/>
              <w:rPr>
                <w:szCs w:val="24"/>
              </w:rPr>
            </w:pPr>
            <w:r w:rsidRPr="007A47F5">
              <w:rPr>
                <w:szCs w:val="24"/>
              </w:rPr>
              <w:t>ADOPT</w:t>
            </w:r>
          </w:p>
          <w:p w:rsidR="000A1C84" w:rsidRPr="007A47F5" w:rsidRDefault="000A1C84" w:rsidP="000A1C84">
            <w:pPr>
              <w:jc w:val="center"/>
              <w:rPr>
                <w:szCs w:val="24"/>
              </w:rPr>
            </w:pPr>
            <w:r>
              <w:rPr>
                <w:szCs w:val="24"/>
              </w:rPr>
              <w:fldChar w:fldCharType="begin">
                <w:ffData>
                  <w:name w:val="Check4"/>
                  <w:enabled/>
                  <w:calcOnExit w:val="0"/>
                  <w:checkBox>
                    <w:sizeAuto/>
                    <w:default w:val="0"/>
                  </w:checkBox>
                </w:ffData>
              </w:fldChar>
            </w:r>
            <w:bookmarkStart w:id="3" w:name="Check4"/>
            <w:r>
              <w:rPr>
                <w:szCs w:val="24"/>
              </w:rPr>
              <w:instrText xml:space="preserve"> FORMCHECKBOX </w:instrText>
            </w:r>
            <w:r w:rsidR="00A7528F">
              <w:rPr>
                <w:szCs w:val="24"/>
              </w:rPr>
            </w:r>
            <w:r w:rsidR="00A7528F">
              <w:rPr>
                <w:szCs w:val="24"/>
              </w:rPr>
              <w:fldChar w:fldCharType="separate"/>
            </w:r>
            <w:r>
              <w:rPr>
                <w:szCs w:val="24"/>
              </w:rPr>
              <w:fldChar w:fldCharType="end"/>
            </w:r>
            <w:bookmarkEnd w:id="3"/>
          </w:p>
        </w:tc>
        <w:tc>
          <w:tcPr>
            <w:tcW w:w="1728" w:type="dxa"/>
            <w:tcBorders>
              <w:bottom w:val="single" w:sz="4" w:space="0" w:color="auto"/>
            </w:tcBorders>
          </w:tcPr>
          <w:p w:rsidR="000A1C84" w:rsidRDefault="000A1C84" w:rsidP="000A1C84">
            <w:pPr>
              <w:jc w:val="center"/>
              <w:rPr>
                <w:szCs w:val="24"/>
              </w:rPr>
            </w:pPr>
            <w:r w:rsidRPr="007A47F5">
              <w:rPr>
                <w:szCs w:val="24"/>
              </w:rPr>
              <w:t>NOTE</w:t>
            </w:r>
          </w:p>
          <w:p w:rsidR="000A1C84" w:rsidRPr="007A47F5" w:rsidRDefault="000A1C84" w:rsidP="000A1C84">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A7528F">
              <w:rPr>
                <w:szCs w:val="24"/>
              </w:rPr>
            </w:r>
            <w:r w:rsidR="00A7528F">
              <w:rPr>
                <w:szCs w:val="24"/>
              </w:rPr>
              <w:fldChar w:fldCharType="separate"/>
            </w:r>
            <w:r>
              <w:rPr>
                <w:szCs w:val="24"/>
              </w:rPr>
              <w:fldChar w:fldCharType="end"/>
            </w:r>
            <w:bookmarkEnd w:id="4"/>
          </w:p>
        </w:tc>
      </w:tr>
      <w:tr w:rsidR="000A1C84" w:rsidRPr="001C60B5" w:rsidTr="000A1C84">
        <w:tc>
          <w:tcPr>
            <w:tcW w:w="9016" w:type="dxa"/>
            <w:gridSpan w:val="7"/>
            <w:tcBorders>
              <w:bottom w:val="single" w:sz="4" w:space="0" w:color="auto"/>
            </w:tcBorders>
          </w:tcPr>
          <w:p w:rsidR="000A1C84" w:rsidRPr="001C60B5" w:rsidRDefault="000A1C84" w:rsidP="000A1C84">
            <w:pPr>
              <w:rPr>
                <w:szCs w:val="24"/>
              </w:rPr>
            </w:pPr>
            <w:r>
              <w:rPr>
                <w:szCs w:val="24"/>
              </w:rPr>
              <w:t xml:space="preserve">The </w:t>
            </w:r>
            <w:r w:rsidRPr="00E5448C">
              <w:rPr>
                <w:szCs w:val="24"/>
              </w:rPr>
              <w:t>Committee</w:t>
            </w:r>
            <w:r w:rsidRPr="001C60B5">
              <w:rPr>
                <w:szCs w:val="24"/>
              </w:rPr>
              <w:t xml:space="preserve"> is asked to: </w:t>
            </w:r>
          </w:p>
          <w:p w:rsidR="000A1C84" w:rsidRPr="00421898" w:rsidRDefault="00083853" w:rsidP="000A1C84">
            <w:pPr>
              <w:numPr>
                <w:ilvl w:val="0"/>
                <w:numId w:val="21"/>
              </w:numPr>
              <w:contextualSpacing/>
              <w:rPr>
                <w:rFonts w:eastAsia="Calibri" w:cs="Times New Roman"/>
                <w:color w:val="FF0000"/>
              </w:rPr>
            </w:pPr>
            <w:r>
              <w:rPr>
                <w:rFonts w:eastAsia="Calibri" w:cs="Times New Roman"/>
                <w:b/>
              </w:rPr>
              <w:t>C</w:t>
            </w:r>
            <w:r w:rsidR="000A1C84">
              <w:rPr>
                <w:rFonts w:eastAsia="Calibri" w:cs="Times New Roman"/>
                <w:b/>
              </w:rPr>
              <w:t>onsider</w:t>
            </w:r>
            <w:r w:rsidR="000A1C84" w:rsidRPr="00E5448C">
              <w:rPr>
                <w:rFonts w:eastAsia="Calibri" w:cs="Times New Roman"/>
                <w:b/>
              </w:rPr>
              <w:t xml:space="preserve"> </w:t>
            </w:r>
            <w:r w:rsidR="000A1C84" w:rsidRPr="00E5448C">
              <w:rPr>
                <w:rFonts w:eastAsia="Calibri" w:cs="Times New Roman"/>
              </w:rPr>
              <w:t xml:space="preserve">the amendments to the Internal Audit Action Log </w:t>
            </w:r>
          </w:p>
          <w:p w:rsidR="00421898" w:rsidRPr="00E5448C" w:rsidRDefault="00421898" w:rsidP="00421898">
            <w:pPr>
              <w:numPr>
                <w:ilvl w:val="0"/>
                <w:numId w:val="21"/>
              </w:numPr>
              <w:contextualSpacing/>
              <w:rPr>
                <w:rFonts w:eastAsia="Calibri" w:cs="Times New Roman"/>
                <w:color w:val="FF0000"/>
              </w:rPr>
            </w:pPr>
            <w:r>
              <w:rPr>
                <w:rFonts w:eastAsia="Calibri" w:cs="Times New Roman"/>
                <w:b/>
              </w:rPr>
              <w:t>Approve</w:t>
            </w:r>
            <w:r w:rsidRPr="00E5448C">
              <w:rPr>
                <w:rFonts w:eastAsia="Calibri" w:cs="Times New Roman"/>
              </w:rPr>
              <w:t xml:space="preserve"> the</w:t>
            </w:r>
            <w:r w:rsidRPr="00E5448C">
              <w:rPr>
                <w:rFonts w:eastAsia="Calibri" w:cs="Times New Roman"/>
                <w:color w:val="FF0000"/>
              </w:rPr>
              <w:t xml:space="preserve"> </w:t>
            </w:r>
            <w:r w:rsidRPr="00E5448C">
              <w:rPr>
                <w:rFonts w:eastAsia="Calibri" w:cs="Times New Roman"/>
              </w:rPr>
              <w:t>request for revised implementation dates in Section 3.1.</w:t>
            </w:r>
          </w:p>
          <w:p w:rsidR="000A1C84" w:rsidRPr="00E5448C" w:rsidRDefault="00083853" w:rsidP="000A1C84">
            <w:pPr>
              <w:numPr>
                <w:ilvl w:val="0"/>
                <w:numId w:val="21"/>
              </w:numPr>
              <w:contextualSpacing/>
              <w:rPr>
                <w:rFonts w:eastAsia="Calibri" w:cs="Times New Roman"/>
              </w:rPr>
            </w:pPr>
            <w:r>
              <w:rPr>
                <w:rFonts w:eastAsia="Calibri" w:cs="Times New Roman"/>
                <w:b/>
              </w:rPr>
              <w:t>A</w:t>
            </w:r>
            <w:r w:rsidR="000A1C84">
              <w:rPr>
                <w:rFonts w:eastAsia="Calibri" w:cs="Times New Roman"/>
                <w:b/>
              </w:rPr>
              <w:t>pprove</w:t>
            </w:r>
            <w:r w:rsidR="000A1C84" w:rsidRPr="00E5448C">
              <w:rPr>
                <w:rFonts w:eastAsia="Calibri" w:cs="Times New Roman"/>
                <w:b/>
              </w:rPr>
              <w:t xml:space="preserve"> </w:t>
            </w:r>
            <w:r w:rsidR="000A1C84" w:rsidRPr="00E5448C">
              <w:rPr>
                <w:rFonts w:eastAsia="Calibri" w:cs="Times New Roman"/>
              </w:rPr>
              <w:t>the completion of the actions detailed in Section 3.</w:t>
            </w:r>
            <w:r w:rsidR="000A1C84">
              <w:rPr>
                <w:rFonts w:eastAsia="Calibri" w:cs="Times New Roman"/>
              </w:rPr>
              <w:t>2</w:t>
            </w:r>
            <w:r w:rsidR="000A1C84" w:rsidRPr="00E5448C">
              <w:rPr>
                <w:rFonts w:eastAsia="Calibri" w:cs="Times New Roman"/>
              </w:rPr>
              <w:t>.</w:t>
            </w:r>
          </w:p>
          <w:p w:rsidR="000A1C84" w:rsidRPr="00916053" w:rsidRDefault="000A1C84" w:rsidP="000A1C84">
            <w:pPr>
              <w:rPr>
                <w:szCs w:val="24"/>
              </w:rPr>
            </w:pPr>
          </w:p>
        </w:tc>
      </w:tr>
    </w:tbl>
    <w:p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rsidR="00EE7097" w:rsidRPr="001C60B5" w:rsidRDefault="00EE7097" w:rsidP="00680248">
            <w:pPr>
              <w:rPr>
                <w:szCs w:val="24"/>
              </w:rPr>
            </w:pPr>
          </w:p>
          <w:p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rsidR="0013075E" w:rsidRDefault="0013075E" w:rsidP="00EE7097">
            <w:pPr>
              <w:rPr>
                <w:bCs/>
                <w:szCs w:val="24"/>
              </w:rPr>
            </w:pPr>
          </w:p>
          <w:p w:rsidR="00EE7097" w:rsidRPr="001C60B5" w:rsidRDefault="00EE7097" w:rsidP="00EE7097">
            <w:pPr>
              <w:rPr>
                <w:szCs w:val="24"/>
              </w:rPr>
            </w:pPr>
            <w:r w:rsidRPr="001C60B5">
              <w:rPr>
                <w:szCs w:val="24"/>
              </w:rPr>
              <w:t>This report contributes to the following:</w:t>
            </w:r>
          </w:p>
        </w:tc>
      </w:tr>
      <w:tr w:rsidR="00EE7097" w:rsidRPr="001C60B5" w:rsidTr="00480353">
        <w:tc>
          <w:tcPr>
            <w:tcW w:w="3192" w:type="dxa"/>
            <w:shd w:val="clear" w:color="auto" w:fill="auto"/>
          </w:tcPr>
          <w:p w:rsidR="00EE7097" w:rsidRPr="001C60B5" w:rsidRDefault="00EE7097" w:rsidP="00D72F00">
            <w:pPr>
              <w:rPr>
                <w:b/>
                <w:szCs w:val="24"/>
              </w:rPr>
            </w:pPr>
            <w:r w:rsidRPr="001C60B5">
              <w:rPr>
                <w:b/>
                <w:szCs w:val="24"/>
              </w:rPr>
              <w:t xml:space="preserve">Strategic </w:t>
            </w:r>
            <w:r w:rsidR="00480353">
              <w:rPr>
                <w:b/>
                <w:szCs w:val="24"/>
              </w:rPr>
              <w:t>Priority</w:t>
            </w:r>
          </w:p>
        </w:tc>
        <w:tc>
          <w:tcPr>
            <w:tcW w:w="5834" w:type="dxa"/>
            <w:shd w:val="clear" w:color="auto" w:fill="auto"/>
          </w:tcPr>
          <w:p w:rsidR="00EE7097" w:rsidRPr="0013075E" w:rsidRDefault="00A7528F"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448C">
                  <w:rPr>
                    <w:rStyle w:val="Dropdown"/>
                  </w:rPr>
                  <w:t>7 - Building and mobilising knowledge and skills to improve health and well-being across Wales</w:t>
                </w:r>
              </w:sdtContent>
            </w:sdt>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EE7097" w:rsidRPr="001C60B5" w:rsidTr="00480353">
        <w:tc>
          <w:tcPr>
            <w:tcW w:w="3192" w:type="dxa"/>
          </w:tcPr>
          <w:p w:rsidR="00EE7097" w:rsidRPr="001C60B5" w:rsidRDefault="00EE7097" w:rsidP="00097ACD">
            <w:pPr>
              <w:rPr>
                <w:b/>
                <w:szCs w:val="24"/>
              </w:rPr>
            </w:pPr>
            <w:r w:rsidRPr="001C60B5">
              <w:rPr>
                <w:b/>
                <w:szCs w:val="24"/>
              </w:rPr>
              <w:t>Equality and Health Impact Assessment</w:t>
            </w:r>
          </w:p>
        </w:tc>
        <w:tc>
          <w:tcPr>
            <w:tcW w:w="5834" w:type="dxa"/>
          </w:tcPr>
          <w:p w:rsidR="00EE7097" w:rsidRPr="00126327" w:rsidRDefault="00E5448C" w:rsidP="005C1BED">
            <w:pPr>
              <w:rPr>
                <w:i/>
                <w:color w:val="FF0000"/>
                <w:szCs w:val="24"/>
              </w:rPr>
            </w:pPr>
            <w:r w:rsidRPr="00E5448C">
              <w:rPr>
                <w:szCs w:val="24"/>
              </w:rPr>
              <w:t xml:space="preserve">An EHIA is not required for this report. </w:t>
            </w:r>
            <w:r w:rsidR="005C1BED">
              <w:rPr>
                <w:szCs w:val="24"/>
              </w:rPr>
              <w:t>It should be noted that</w:t>
            </w:r>
            <w:r w:rsidRPr="00E5448C">
              <w:rPr>
                <w:szCs w:val="24"/>
              </w:rPr>
              <w:t xml:space="preserve"> many of the areas of work reported on are likely to have had EHIAs undertaken.</w:t>
            </w:r>
            <w:r w:rsidR="00126327" w:rsidRPr="00E5448C">
              <w:rPr>
                <w:szCs w:val="24"/>
              </w:rPr>
              <w:t xml:space="preserve">  </w:t>
            </w:r>
          </w:p>
        </w:tc>
      </w:tr>
      <w:tr w:rsidR="003A3414" w:rsidRPr="001C60B5" w:rsidTr="00480353">
        <w:tc>
          <w:tcPr>
            <w:tcW w:w="3192" w:type="dxa"/>
          </w:tcPr>
          <w:p w:rsidR="003A3414" w:rsidRPr="001C60B5" w:rsidRDefault="003A3414">
            <w:pPr>
              <w:rPr>
                <w:b/>
                <w:szCs w:val="24"/>
              </w:rPr>
            </w:pPr>
            <w:r>
              <w:rPr>
                <w:b/>
                <w:szCs w:val="24"/>
              </w:rPr>
              <w:t>Risk and Assurance</w:t>
            </w:r>
          </w:p>
        </w:tc>
        <w:tc>
          <w:tcPr>
            <w:tcW w:w="5834" w:type="dxa"/>
            <w:tcBorders>
              <w:bottom w:val="single" w:sz="4" w:space="0" w:color="auto"/>
            </w:tcBorders>
          </w:tcPr>
          <w:p w:rsidR="003A3414" w:rsidRPr="003A3414" w:rsidRDefault="00E5448C" w:rsidP="005C1BED">
            <w:pPr>
              <w:rPr>
                <w:color w:val="FF0000"/>
                <w:szCs w:val="24"/>
              </w:rPr>
            </w:pPr>
            <w:r w:rsidRPr="005C1BED">
              <w:rPr>
                <w:szCs w:val="24"/>
              </w:rPr>
              <w:t>A</w:t>
            </w:r>
            <w:r w:rsidR="005C1BED" w:rsidRPr="005C1BED">
              <w:rPr>
                <w:szCs w:val="24"/>
              </w:rPr>
              <w:t xml:space="preserve"> number of individual internal audit reviews and actions are referenced in the Board Assurance Framework and Risk Registers.</w:t>
            </w:r>
          </w:p>
        </w:tc>
      </w:tr>
      <w:tr w:rsidR="00EE7097" w:rsidRPr="001C60B5" w:rsidTr="00480353">
        <w:trPr>
          <w:trHeight w:val="1030"/>
        </w:trPr>
        <w:tc>
          <w:tcPr>
            <w:tcW w:w="3192" w:type="dxa"/>
            <w:vMerge w:val="restart"/>
          </w:tcPr>
          <w:p w:rsidR="00EE7097" w:rsidRPr="001C60B5" w:rsidRDefault="00EE7097">
            <w:pPr>
              <w:rPr>
                <w:b/>
                <w:szCs w:val="24"/>
              </w:rPr>
            </w:pPr>
            <w:r w:rsidRPr="001C60B5">
              <w:rPr>
                <w:b/>
                <w:szCs w:val="24"/>
              </w:rPr>
              <w:t>Health and Care Standards</w:t>
            </w:r>
          </w:p>
        </w:tc>
        <w:tc>
          <w:tcPr>
            <w:tcW w:w="5834" w:type="dxa"/>
            <w:tcBorders>
              <w:bottom w:val="nil"/>
            </w:tcBorders>
          </w:tcPr>
          <w:p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BA3E2A" w:rsidRPr="001C60B5" w:rsidTr="00480353">
        <w:trPr>
          <w:trHeight w:val="281"/>
        </w:trPr>
        <w:tc>
          <w:tcPr>
            <w:tcW w:w="3192" w:type="dxa"/>
            <w:vMerge/>
          </w:tcPr>
          <w:p w:rsidR="00BA3E2A" w:rsidRPr="001C60B5" w:rsidRDefault="00BA3E2A">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B5E75E7293A34274978C09F7D4B5735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rsidR="00BA3E2A" w:rsidRPr="001C60B5" w:rsidRDefault="00E5448C" w:rsidP="00BA3E2A">
                <w:pPr>
                  <w:ind w:left="436"/>
                  <w:rPr>
                    <w:szCs w:val="24"/>
                  </w:rPr>
                </w:pPr>
                <w:r>
                  <w:rPr>
                    <w:rStyle w:val="Dropdown"/>
                  </w:rPr>
                  <w:t>Governance, Leadership and Accountability</w:t>
                </w:r>
              </w:p>
            </w:sdtContent>
          </w:sdt>
        </w:tc>
      </w:tr>
      <w:tr w:rsidR="00EE7097" w:rsidRPr="001C60B5" w:rsidTr="00480353">
        <w:tc>
          <w:tcPr>
            <w:tcW w:w="3192" w:type="dxa"/>
          </w:tcPr>
          <w:p w:rsidR="00EE7097" w:rsidRPr="001C60B5" w:rsidRDefault="00EE7097">
            <w:pPr>
              <w:rPr>
                <w:b/>
                <w:szCs w:val="24"/>
              </w:rPr>
            </w:pPr>
            <w:r w:rsidRPr="001C60B5">
              <w:rPr>
                <w:b/>
                <w:szCs w:val="24"/>
              </w:rPr>
              <w:t>Financial implications</w:t>
            </w:r>
          </w:p>
        </w:tc>
        <w:tc>
          <w:tcPr>
            <w:tcW w:w="5834" w:type="dxa"/>
          </w:tcPr>
          <w:p w:rsidR="00EE7097" w:rsidRPr="00126327" w:rsidRDefault="00E5448C" w:rsidP="00E5448C">
            <w:pPr>
              <w:rPr>
                <w:szCs w:val="24"/>
              </w:rPr>
            </w:pPr>
            <w:r w:rsidRPr="00E5448C">
              <w:rPr>
                <w:szCs w:val="24"/>
              </w:rPr>
              <w:t xml:space="preserve">The report has no direct financial implications, although individual updates may </w:t>
            </w:r>
            <w:r>
              <w:rPr>
                <w:szCs w:val="24"/>
              </w:rPr>
              <w:t>include details of</w:t>
            </w:r>
            <w:r w:rsidRPr="00E5448C">
              <w:rPr>
                <w:szCs w:val="24"/>
              </w:rPr>
              <w:t xml:space="preserve"> impacts.</w:t>
            </w:r>
          </w:p>
        </w:tc>
      </w:tr>
      <w:tr w:rsidR="00E5448C" w:rsidRPr="001C60B5" w:rsidTr="00480353">
        <w:tc>
          <w:tcPr>
            <w:tcW w:w="3192" w:type="dxa"/>
          </w:tcPr>
          <w:p w:rsidR="00E5448C" w:rsidRPr="001C60B5" w:rsidRDefault="00E5448C" w:rsidP="00E5448C">
            <w:pPr>
              <w:rPr>
                <w:b/>
                <w:szCs w:val="24"/>
              </w:rPr>
            </w:pPr>
            <w:r w:rsidRPr="001C60B5">
              <w:rPr>
                <w:b/>
                <w:szCs w:val="24"/>
              </w:rPr>
              <w:t xml:space="preserve">People implications </w:t>
            </w:r>
          </w:p>
        </w:tc>
        <w:tc>
          <w:tcPr>
            <w:tcW w:w="5834" w:type="dxa"/>
            <w:tcBorders>
              <w:bottom w:val="single" w:sz="4" w:space="0" w:color="auto"/>
            </w:tcBorders>
          </w:tcPr>
          <w:p w:rsidR="00E5448C" w:rsidRPr="00126327" w:rsidRDefault="00E5448C" w:rsidP="00E5448C">
            <w:pPr>
              <w:rPr>
                <w:color w:val="FF0000"/>
                <w:szCs w:val="24"/>
              </w:rPr>
            </w:pPr>
            <w:r w:rsidRPr="00E5448C">
              <w:rPr>
                <w:szCs w:val="24"/>
              </w:rPr>
              <w:t xml:space="preserve">The report has no direct </w:t>
            </w:r>
            <w:r>
              <w:rPr>
                <w:szCs w:val="24"/>
              </w:rPr>
              <w:t>people</w:t>
            </w:r>
            <w:r w:rsidRPr="00E5448C">
              <w:rPr>
                <w:szCs w:val="24"/>
              </w:rPr>
              <w:t xml:space="preserve"> implications, although individual updates may include details of impacts.</w:t>
            </w:r>
          </w:p>
        </w:tc>
      </w:tr>
    </w:tbl>
    <w:p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rsidR="0087331D" w:rsidRPr="001C60B5" w:rsidRDefault="00CE679D" w:rsidP="005C1BED">
      <w:pPr>
        <w:pStyle w:val="Heading1"/>
        <w:numPr>
          <w:ilvl w:val="0"/>
          <w:numId w:val="2"/>
        </w:numPr>
        <w:spacing w:before="0"/>
        <w:ind w:left="567" w:hanging="567"/>
        <w:rPr>
          <w:szCs w:val="24"/>
        </w:rPr>
      </w:pPr>
      <w:r>
        <w:rPr>
          <w:szCs w:val="24"/>
        </w:rPr>
        <w:lastRenderedPageBreak/>
        <w:t>P</w:t>
      </w:r>
      <w:r w:rsidR="0087331D" w:rsidRPr="001C60B5">
        <w:rPr>
          <w:szCs w:val="24"/>
        </w:rPr>
        <w:t>urpose</w:t>
      </w:r>
      <w:r w:rsidR="00051E74" w:rsidRPr="001C60B5">
        <w:rPr>
          <w:szCs w:val="24"/>
        </w:rPr>
        <w:t xml:space="preserve"> / situation</w:t>
      </w:r>
    </w:p>
    <w:p w:rsidR="0087331D" w:rsidRPr="001C60B5" w:rsidRDefault="0087331D" w:rsidP="0087331D">
      <w:pPr>
        <w:pStyle w:val="ListParagraph"/>
        <w:rPr>
          <w:szCs w:val="24"/>
        </w:rPr>
      </w:pPr>
    </w:p>
    <w:p w:rsidR="00E5448C" w:rsidRPr="00E5448C" w:rsidRDefault="00E5448C" w:rsidP="00FD532E">
      <w:pPr>
        <w:jc w:val="both"/>
        <w:rPr>
          <w:rFonts w:eastAsia="Calibri" w:cs="Times New Roman"/>
          <w:szCs w:val="24"/>
        </w:rPr>
      </w:pPr>
      <w:r w:rsidRPr="00E5448C">
        <w:rPr>
          <w:rFonts w:eastAsia="Calibri" w:cs="Times New Roman"/>
          <w:szCs w:val="24"/>
        </w:rPr>
        <w:t xml:space="preserve">The Audit and Corporate Governance Committee receives the Internal Audit Action Log </w:t>
      </w:r>
      <w:r w:rsidR="00167296">
        <w:rPr>
          <w:rFonts w:eastAsia="Calibri" w:cs="Times New Roman"/>
          <w:szCs w:val="24"/>
        </w:rPr>
        <w:t>to</w:t>
      </w:r>
      <w:r w:rsidRPr="00E5448C">
        <w:rPr>
          <w:rFonts w:eastAsia="Calibri" w:cs="Times New Roman"/>
          <w:szCs w:val="24"/>
        </w:rPr>
        <w:t xml:space="preserve"> </w:t>
      </w:r>
      <w:r w:rsidR="00167296">
        <w:rPr>
          <w:rFonts w:eastAsia="Calibri" w:cs="Times New Roman"/>
          <w:szCs w:val="24"/>
        </w:rPr>
        <w:t>track</w:t>
      </w:r>
      <w:r w:rsidRPr="00E5448C">
        <w:rPr>
          <w:rFonts w:eastAsia="Calibri" w:cs="Times New Roman"/>
          <w:szCs w:val="24"/>
        </w:rPr>
        <w:t xml:space="preserve"> progress against agreed management actions in response to the recommendations of internal audit reviews. </w:t>
      </w:r>
    </w:p>
    <w:p w:rsidR="00E5448C" w:rsidRPr="00E5448C" w:rsidRDefault="00E5448C" w:rsidP="00FD532E">
      <w:pPr>
        <w:jc w:val="both"/>
        <w:rPr>
          <w:rFonts w:eastAsia="Calibri" w:cs="Times New Roman"/>
          <w:szCs w:val="24"/>
        </w:rPr>
      </w:pPr>
    </w:p>
    <w:p w:rsidR="0087331D" w:rsidRPr="001C60B5" w:rsidRDefault="00E5448C" w:rsidP="00FD532E">
      <w:pPr>
        <w:pStyle w:val="ListParagraph"/>
        <w:ind w:left="0"/>
        <w:jc w:val="both"/>
        <w:rPr>
          <w:color w:val="FF0000"/>
          <w:szCs w:val="24"/>
        </w:rPr>
      </w:pPr>
      <w:r w:rsidRPr="00E5448C">
        <w:rPr>
          <w:szCs w:val="24"/>
        </w:rPr>
        <w:t xml:space="preserve">The purpose of this report is to draw attention to the amendments made to the Internal Audit Action Log since </w:t>
      </w:r>
      <w:r w:rsidR="006178BB" w:rsidRPr="00E5448C">
        <w:rPr>
          <w:szCs w:val="24"/>
        </w:rPr>
        <w:t>the committee</w:t>
      </w:r>
      <w:r w:rsidR="00322403">
        <w:rPr>
          <w:szCs w:val="24"/>
        </w:rPr>
        <w:t xml:space="preserve"> </w:t>
      </w:r>
      <w:r w:rsidR="00322403" w:rsidRPr="00E5448C">
        <w:rPr>
          <w:szCs w:val="24"/>
        </w:rPr>
        <w:t>last received it</w:t>
      </w:r>
      <w:r w:rsidR="006178BB" w:rsidRPr="00E5448C">
        <w:rPr>
          <w:szCs w:val="24"/>
        </w:rPr>
        <w:t xml:space="preserve"> at its meeting on </w:t>
      </w:r>
      <w:r w:rsidR="008850B6">
        <w:rPr>
          <w:szCs w:val="24"/>
        </w:rPr>
        <w:t>19 January 2021</w:t>
      </w:r>
      <w:r w:rsidRPr="00E5448C">
        <w:rPr>
          <w:szCs w:val="24"/>
        </w:rPr>
        <w:t>.</w:t>
      </w:r>
    </w:p>
    <w:p w:rsidR="0087331D" w:rsidRPr="001C60B5" w:rsidRDefault="0087331D" w:rsidP="002B712E">
      <w:pPr>
        <w:pStyle w:val="Heading1"/>
        <w:numPr>
          <w:ilvl w:val="0"/>
          <w:numId w:val="2"/>
        </w:numPr>
        <w:ind w:left="567" w:hanging="567"/>
        <w:rPr>
          <w:szCs w:val="24"/>
        </w:rPr>
      </w:pPr>
      <w:r w:rsidRPr="001C60B5">
        <w:rPr>
          <w:szCs w:val="24"/>
        </w:rPr>
        <w:t>Background</w:t>
      </w:r>
    </w:p>
    <w:p w:rsidR="0087331D" w:rsidRPr="001C60B5" w:rsidRDefault="0087331D" w:rsidP="0087331D">
      <w:pPr>
        <w:pStyle w:val="ListParagraph"/>
        <w:rPr>
          <w:szCs w:val="24"/>
        </w:rPr>
      </w:pPr>
    </w:p>
    <w:p w:rsidR="00E5448C" w:rsidRDefault="00E5448C" w:rsidP="00FD532E">
      <w:pPr>
        <w:pStyle w:val="Pa8"/>
        <w:spacing w:after="140"/>
        <w:jc w:val="both"/>
        <w:rPr>
          <w:rFonts w:ascii="Verdana" w:hAnsi="Verdana"/>
        </w:rPr>
      </w:pPr>
      <w:r>
        <w:rPr>
          <w:rFonts w:ascii="Verdana" w:hAnsi="Verdana"/>
        </w:rPr>
        <w:t xml:space="preserve">The Audit and Corporate Governance Committee is responsible for maintaining oversight of the </w:t>
      </w:r>
      <w:r w:rsidRPr="00F565F2">
        <w:rPr>
          <w:rFonts w:ascii="Verdana" w:hAnsi="Verdana"/>
        </w:rPr>
        <w:t>planned activity and results of internal audit</w:t>
      </w:r>
      <w:r>
        <w:rPr>
          <w:rFonts w:ascii="Verdana" w:hAnsi="Verdana"/>
        </w:rPr>
        <w:t>.</w:t>
      </w:r>
    </w:p>
    <w:p w:rsidR="00E5448C" w:rsidRDefault="006178BB" w:rsidP="00FD532E">
      <w:pPr>
        <w:pStyle w:val="Pa8"/>
        <w:spacing w:after="140"/>
        <w:jc w:val="both"/>
        <w:rPr>
          <w:rFonts w:ascii="Verdana" w:hAnsi="Verdana"/>
          <w:i/>
        </w:rPr>
      </w:pPr>
      <w:r>
        <w:rPr>
          <w:rFonts w:ascii="Verdana" w:hAnsi="Verdana"/>
        </w:rPr>
        <w:t>This includes scrutiny of</w:t>
      </w:r>
      <w:r w:rsidR="00E5448C">
        <w:rPr>
          <w:rFonts w:ascii="Verdana" w:hAnsi="Verdana"/>
        </w:rPr>
        <w:t xml:space="preserve"> </w:t>
      </w:r>
      <w:r w:rsidR="00E5448C">
        <w:rPr>
          <w:rFonts w:ascii="Verdana" w:hAnsi="Verdana"/>
          <w:i/>
        </w:rPr>
        <w:t>‘</w:t>
      </w:r>
      <w:r w:rsidR="00E5448C" w:rsidRPr="00B90208">
        <w:rPr>
          <w:rFonts w:ascii="Verdana" w:hAnsi="Verdana"/>
        </w:rPr>
        <w:t xml:space="preserve">the </w:t>
      </w:r>
      <w:r w:rsidR="00E5448C" w:rsidRPr="00F565F2">
        <w:rPr>
          <w:rFonts w:ascii="Verdana" w:hAnsi="Verdana"/>
        </w:rPr>
        <w:t>adequacy of executive and managements response to issues identified by audit, inspection and other assurance activity</w:t>
      </w:r>
      <w:r w:rsidR="00E5448C">
        <w:rPr>
          <w:rFonts w:ascii="Verdana" w:hAnsi="Verdana"/>
        </w:rPr>
        <w:t>’</w:t>
      </w:r>
      <w:r w:rsidR="00E5448C">
        <w:rPr>
          <w:rFonts w:ascii="Verdana" w:hAnsi="Verdana"/>
          <w:i/>
        </w:rPr>
        <w:t>.</w:t>
      </w:r>
    </w:p>
    <w:p w:rsidR="00E5448C" w:rsidRPr="00572947" w:rsidRDefault="00E5448C" w:rsidP="00FD532E">
      <w:pPr>
        <w:pStyle w:val="Pa8"/>
        <w:spacing w:after="140"/>
        <w:jc w:val="both"/>
        <w:rPr>
          <w:rFonts w:ascii="Verdana" w:hAnsi="Verdana"/>
        </w:rPr>
      </w:pPr>
      <w:r>
        <w:rPr>
          <w:rFonts w:ascii="Verdana" w:hAnsi="Verdana"/>
        </w:rPr>
        <w:t xml:space="preserve">In order for the Committee to discharge its responsibilities, it needs to receive assurances </w:t>
      </w:r>
      <w:r w:rsidR="006178BB">
        <w:rPr>
          <w:rFonts w:ascii="Verdana" w:hAnsi="Verdana"/>
        </w:rPr>
        <w:t xml:space="preserve">on the implementation of </w:t>
      </w:r>
      <w:r>
        <w:rPr>
          <w:rFonts w:ascii="Verdana" w:hAnsi="Verdana"/>
        </w:rPr>
        <w:t xml:space="preserve">all recommendations </w:t>
      </w:r>
      <w:r w:rsidR="006178BB">
        <w:rPr>
          <w:rFonts w:ascii="Verdana" w:hAnsi="Verdana"/>
        </w:rPr>
        <w:t xml:space="preserve">made by </w:t>
      </w:r>
      <w:r>
        <w:rPr>
          <w:rFonts w:ascii="Verdana" w:hAnsi="Verdana"/>
        </w:rPr>
        <w:t xml:space="preserve">internal audit </w:t>
      </w:r>
      <w:r w:rsidR="006178BB">
        <w:rPr>
          <w:rFonts w:ascii="Verdana" w:hAnsi="Verdana"/>
        </w:rPr>
        <w:t xml:space="preserve">during their review </w:t>
      </w:r>
      <w:r>
        <w:rPr>
          <w:rFonts w:ascii="Verdana" w:hAnsi="Verdana"/>
        </w:rPr>
        <w:t xml:space="preserve">and that the management actions in response to these recommendations are completed. One way that the Committee receives assurance is via the Internal Audit Action Log. </w:t>
      </w:r>
    </w:p>
    <w:p w:rsidR="00E5448C" w:rsidRPr="00E5448C" w:rsidRDefault="00E5448C" w:rsidP="00FD532E">
      <w:pPr>
        <w:jc w:val="both"/>
        <w:rPr>
          <w:szCs w:val="24"/>
        </w:rPr>
      </w:pPr>
      <w:r w:rsidRPr="00E5448C">
        <w:rPr>
          <w:szCs w:val="24"/>
        </w:rPr>
        <w:t xml:space="preserve">The Action Log enables the tracking of progress against agreed management actions and enables the committee to receive assurance and make decisions based on the update information provided. The revision and completion of any internal audit action requires the approval of the Committee, as does the extension of an agreed timescale. </w:t>
      </w:r>
    </w:p>
    <w:p w:rsidR="00E5448C" w:rsidRPr="00E5448C" w:rsidRDefault="00E5448C" w:rsidP="00E5448C">
      <w:pPr>
        <w:pStyle w:val="Heading1"/>
        <w:numPr>
          <w:ilvl w:val="0"/>
          <w:numId w:val="2"/>
        </w:numPr>
        <w:ind w:left="567" w:hanging="567"/>
        <w:rPr>
          <w:szCs w:val="24"/>
        </w:rPr>
      </w:pPr>
      <w:r>
        <w:t xml:space="preserve">Updates since the Audit and Corporate Governance Committee meeting held on </w:t>
      </w:r>
      <w:r w:rsidR="00FD532E">
        <w:t>1</w:t>
      </w:r>
      <w:r w:rsidR="00297CF8">
        <w:t xml:space="preserve">5 </w:t>
      </w:r>
      <w:r w:rsidR="00FD532E">
        <w:t>January</w:t>
      </w:r>
      <w:r w:rsidR="00F41E83">
        <w:t xml:space="preserve"> 20</w:t>
      </w:r>
      <w:r w:rsidR="00FD532E">
        <w:t>20</w:t>
      </w:r>
    </w:p>
    <w:p w:rsidR="00E5448C" w:rsidRDefault="00E5448C" w:rsidP="00E5448C"/>
    <w:p w:rsidR="00E5448C" w:rsidRPr="00E5448C" w:rsidRDefault="00E5448C" w:rsidP="00FD532E">
      <w:pPr>
        <w:jc w:val="both"/>
        <w:rPr>
          <w:rFonts w:eastAsia="Calibri" w:cs="Times New Roman"/>
        </w:rPr>
      </w:pPr>
      <w:r w:rsidRPr="00E5448C">
        <w:rPr>
          <w:rFonts w:eastAsia="Calibri" w:cs="Times New Roman"/>
        </w:rPr>
        <w:t xml:space="preserve">Arrangements </w:t>
      </w:r>
      <w:r w:rsidR="008D551E">
        <w:rPr>
          <w:rFonts w:eastAsia="Calibri" w:cs="Times New Roman"/>
        </w:rPr>
        <w:t xml:space="preserve">are in place to ensure that </w:t>
      </w:r>
      <w:r w:rsidR="00FD6BBA">
        <w:rPr>
          <w:rFonts w:eastAsia="Calibri" w:cs="Times New Roman"/>
        </w:rPr>
        <w:t xml:space="preserve">the Executive Lead provides </w:t>
      </w:r>
      <w:r w:rsidRPr="00E5448C">
        <w:rPr>
          <w:rFonts w:eastAsia="Calibri" w:cs="Times New Roman"/>
        </w:rPr>
        <w:t>progress updates</w:t>
      </w:r>
      <w:r w:rsidR="008D551E">
        <w:rPr>
          <w:rFonts w:eastAsia="Calibri" w:cs="Times New Roman"/>
        </w:rPr>
        <w:t xml:space="preserve"> on a quarterly basis</w:t>
      </w:r>
      <w:r w:rsidR="00FD6BBA">
        <w:rPr>
          <w:rFonts w:eastAsia="Calibri" w:cs="Times New Roman"/>
        </w:rPr>
        <w:t>.</w:t>
      </w:r>
      <w:r w:rsidR="00A86E5F">
        <w:rPr>
          <w:rFonts w:eastAsia="Calibri" w:cs="Times New Roman"/>
        </w:rPr>
        <w:t xml:space="preserve">  The Executive Lead</w:t>
      </w:r>
      <w:r w:rsidRPr="00E5448C">
        <w:rPr>
          <w:rFonts w:eastAsia="Calibri" w:cs="Times New Roman"/>
        </w:rPr>
        <w:t xml:space="preserve"> </w:t>
      </w:r>
      <w:r w:rsidR="00A86E5F">
        <w:rPr>
          <w:rFonts w:eastAsia="Calibri" w:cs="Times New Roman"/>
        </w:rPr>
        <w:t xml:space="preserve">liaises </w:t>
      </w:r>
      <w:r w:rsidRPr="00E5448C">
        <w:rPr>
          <w:rFonts w:eastAsia="Calibri" w:cs="Times New Roman"/>
        </w:rPr>
        <w:t xml:space="preserve">with their team to ensure </w:t>
      </w:r>
      <w:r w:rsidR="00FD6BBA">
        <w:rPr>
          <w:rFonts w:eastAsia="Calibri" w:cs="Times New Roman"/>
        </w:rPr>
        <w:t>updating of their</w:t>
      </w:r>
      <w:r w:rsidRPr="00E5448C">
        <w:rPr>
          <w:rFonts w:eastAsia="Calibri" w:cs="Times New Roman"/>
        </w:rPr>
        <w:t xml:space="preserve"> actions in accordance with the timescales set.  </w:t>
      </w:r>
    </w:p>
    <w:p w:rsidR="00E5448C" w:rsidRPr="00E5448C" w:rsidRDefault="00E5448C" w:rsidP="00CE679D">
      <w:pPr>
        <w:rPr>
          <w:rFonts w:eastAsia="Calibri" w:cs="Times New Roman"/>
        </w:rPr>
      </w:pPr>
    </w:p>
    <w:p w:rsidR="00E5448C" w:rsidRDefault="00E5448C" w:rsidP="00CE679D">
      <w:pPr>
        <w:rPr>
          <w:rFonts w:eastAsia="Calibri" w:cs="Times New Roman"/>
        </w:rPr>
      </w:pPr>
      <w:r w:rsidRPr="00E5448C">
        <w:rPr>
          <w:rFonts w:eastAsia="Calibri" w:cs="Times New Roman"/>
        </w:rPr>
        <w:t>The Internal Audit Action Log attached to this report (</w:t>
      </w:r>
      <w:r w:rsidRPr="00E5448C">
        <w:rPr>
          <w:rFonts w:eastAsia="Calibri" w:cs="Times New Roman"/>
          <w:b/>
        </w:rPr>
        <w:t>Appendix 1</w:t>
      </w:r>
      <w:r w:rsidRPr="00E5448C">
        <w:rPr>
          <w:rFonts w:eastAsia="Calibri" w:cs="Times New Roman"/>
        </w:rPr>
        <w:t xml:space="preserve">) incorporates all updates provided up to </w:t>
      </w:r>
      <w:r w:rsidR="008850B6">
        <w:rPr>
          <w:rFonts w:eastAsia="Calibri" w:cs="Times New Roman"/>
          <w:color w:val="FF0000"/>
        </w:rPr>
        <w:t>20 April 2021</w:t>
      </w:r>
      <w:r w:rsidR="001F6625">
        <w:rPr>
          <w:rFonts w:eastAsia="Calibri" w:cs="Times New Roman"/>
          <w:color w:val="FF0000"/>
        </w:rPr>
        <w:t>.</w:t>
      </w:r>
      <w:r w:rsidRPr="00E5448C">
        <w:rPr>
          <w:rFonts w:eastAsia="Calibri" w:cs="Times New Roman"/>
        </w:rPr>
        <w:t xml:space="preserve"> </w:t>
      </w:r>
    </w:p>
    <w:p w:rsidR="00E5448C" w:rsidRDefault="00E5448C" w:rsidP="00CE679D">
      <w:pPr>
        <w:rPr>
          <w:rFonts w:eastAsia="Calibri" w:cs="Times New Roman"/>
        </w:rPr>
      </w:pPr>
    </w:p>
    <w:p w:rsidR="00E5448C" w:rsidRDefault="00E5448C" w:rsidP="00CE679D">
      <w:pPr>
        <w:rPr>
          <w:rFonts w:eastAsia="Calibri" w:cs="Times New Roman"/>
        </w:rPr>
      </w:pPr>
      <w:r w:rsidRPr="00E5448C">
        <w:rPr>
          <w:rFonts w:eastAsia="Calibri" w:cs="Times New Roman"/>
        </w:rPr>
        <w:t xml:space="preserve">These are shown in </w:t>
      </w:r>
      <w:r w:rsidRPr="00E5448C">
        <w:rPr>
          <w:rFonts w:eastAsia="Calibri" w:cs="Times New Roman"/>
          <w:color w:val="FF0000"/>
          <w:u w:val="single"/>
        </w:rPr>
        <w:t>red text</w:t>
      </w:r>
      <w:r w:rsidRPr="00E5448C">
        <w:rPr>
          <w:rFonts w:eastAsia="Calibri" w:cs="Times New Roman"/>
        </w:rPr>
        <w:t xml:space="preserve">. </w:t>
      </w:r>
    </w:p>
    <w:p w:rsidR="008D21D1" w:rsidRDefault="008D21D1" w:rsidP="00CE679D">
      <w:pPr>
        <w:rPr>
          <w:rFonts w:eastAsia="Calibri" w:cs="Times New Roman"/>
        </w:rPr>
      </w:pPr>
    </w:p>
    <w:p w:rsidR="008D21D1" w:rsidRDefault="008D21D1" w:rsidP="00CE679D">
      <w:pPr>
        <w:rPr>
          <w:rFonts w:eastAsia="Calibri" w:cs="Times New Roman"/>
        </w:rPr>
        <w:sectPr w:rsidR="008D21D1" w:rsidSect="00E24001">
          <w:pgSz w:w="11906" w:h="16838"/>
          <w:pgMar w:top="1440" w:right="1440" w:bottom="1440" w:left="1440" w:header="708" w:footer="708" w:gutter="0"/>
          <w:cols w:space="708"/>
          <w:docGrid w:linePitch="360"/>
        </w:sectPr>
      </w:pPr>
    </w:p>
    <w:p w:rsidR="00E5448C" w:rsidRPr="00E5448C" w:rsidRDefault="00421898" w:rsidP="00E5448C">
      <w:pPr>
        <w:keepNext/>
        <w:ind w:left="1009" w:hanging="1009"/>
        <w:outlineLvl w:val="0"/>
        <w:rPr>
          <w:rFonts w:eastAsia="Times New Roman" w:cs="Times New Roman"/>
          <w:b/>
          <w:kern w:val="28"/>
          <w:szCs w:val="24"/>
        </w:rPr>
      </w:pPr>
      <w:r>
        <w:rPr>
          <w:rFonts w:eastAsia="Times New Roman" w:cs="Times New Roman"/>
          <w:b/>
          <w:kern w:val="28"/>
          <w:szCs w:val="24"/>
        </w:rPr>
        <w:lastRenderedPageBreak/>
        <w:t>3.1 R</w:t>
      </w:r>
      <w:r w:rsidR="00E5448C" w:rsidRPr="00E5448C">
        <w:rPr>
          <w:rFonts w:eastAsia="Times New Roman" w:cs="Times New Roman"/>
          <w:b/>
          <w:kern w:val="28"/>
          <w:szCs w:val="24"/>
        </w:rPr>
        <w:t>equests for Revised Implementation Date</w:t>
      </w:r>
    </w:p>
    <w:p w:rsidR="00E5448C" w:rsidRPr="00E5448C" w:rsidRDefault="00E5448C" w:rsidP="00E5448C">
      <w:pPr>
        <w:rPr>
          <w:rFonts w:eastAsia="Calibri" w:cs="Times New Roman"/>
          <w:szCs w:val="24"/>
        </w:rPr>
      </w:pPr>
    </w:p>
    <w:p w:rsidR="00421898" w:rsidRDefault="00421898" w:rsidP="00421898">
      <w:pPr>
        <w:rPr>
          <w:rFonts w:eastAsia="Calibri" w:cs="Times New Roman"/>
          <w:szCs w:val="24"/>
        </w:rPr>
      </w:pPr>
      <w:r>
        <w:rPr>
          <w:rFonts w:eastAsia="Calibri" w:cs="Times New Roman"/>
          <w:szCs w:val="24"/>
        </w:rPr>
        <w:t>The Committee is asked to approve the following requests for a</w:t>
      </w:r>
      <w:r w:rsidRPr="00E5448C">
        <w:rPr>
          <w:rFonts w:eastAsia="Calibri" w:cs="Times New Roman"/>
          <w:szCs w:val="24"/>
        </w:rPr>
        <w:t xml:space="preserve"> revised implementation date</w:t>
      </w:r>
      <w:r>
        <w:rPr>
          <w:rFonts w:eastAsia="Calibri" w:cs="Times New Roman"/>
          <w:szCs w:val="24"/>
        </w:rPr>
        <w:t>s</w:t>
      </w:r>
      <w:r w:rsidRPr="00E5448C">
        <w:rPr>
          <w:rFonts w:eastAsia="Calibri" w:cs="Times New Roman"/>
          <w:szCs w:val="24"/>
        </w:rPr>
        <w:t xml:space="preserve"> for the actions:</w:t>
      </w:r>
    </w:p>
    <w:p w:rsidR="00421898" w:rsidRDefault="00421898" w:rsidP="00421898">
      <w:pPr>
        <w:jc w:val="both"/>
        <w:rPr>
          <w:rFonts w:eastAsia="Calibri" w:cs="Times New Roman"/>
        </w:rPr>
      </w:pPr>
    </w:p>
    <w:tbl>
      <w:tblPr>
        <w:tblStyle w:val="TableGrid1"/>
        <w:tblW w:w="9072" w:type="dxa"/>
        <w:tblInd w:w="-5" w:type="dxa"/>
        <w:tblLayout w:type="fixed"/>
        <w:tblLook w:val="04A0" w:firstRow="1" w:lastRow="0" w:firstColumn="1" w:lastColumn="0" w:noHBand="0" w:noVBand="1"/>
      </w:tblPr>
      <w:tblGrid>
        <w:gridCol w:w="1276"/>
        <w:gridCol w:w="1701"/>
        <w:gridCol w:w="3969"/>
        <w:gridCol w:w="1134"/>
        <w:gridCol w:w="992"/>
      </w:tblGrid>
      <w:tr w:rsidR="004B2058" w:rsidRPr="00E5448C" w:rsidTr="008850B6">
        <w:trPr>
          <w:tblHeader/>
        </w:trPr>
        <w:tc>
          <w:tcPr>
            <w:tcW w:w="1276" w:type="dxa"/>
            <w:shd w:val="clear" w:color="auto" w:fill="D9D9D9" w:themeFill="background1" w:themeFillShade="D9"/>
          </w:tcPr>
          <w:p w:rsidR="004B2058" w:rsidRPr="00A56F7B" w:rsidRDefault="004B2058" w:rsidP="003372E1">
            <w:pPr>
              <w:jc w:val="center"/>
              <w:rPr>
                <w:rFonts w:eastAsia="Calibri"/>
                <w:sz w:val="20"/>
                <w:szCs w:val="20"/>
              </w:rPr>
            </w:pPr>
            <w:r w:rsidRPr="00A56F7B">
              <w:rPr>
                <w:rFonts w:eastAsia="Calibri"/>
                <w:b/>
                <w:sz w:val="20"/>
                <w:szCs w:val="20"/>
              </w:rPr>
              <w:t>Audit Review</w:t>
            </w:r>
          </w:p>
        </w:tc>
        <w:tc>
          <w:tcPr>
            <w:tcW w:w="1701" w:type="dxa"/>
            <w:shd w:val="clear" w:color="auto" w:fill="D9D9D9" w:themeFill="background1" w:themeFillShade="D9"/>
          </w:tcPr>
          <w:p w:rsidR="004B2058" w:rsidRPr="008D21D1" w:rsidRDefault="004B2058" w:rsidP="00CD799F">
            <w:pPr>
              <w:jc w:val="center"/>
              <w:rPr>
                <w:rFonts w:eastAsia="Calibri"/>
                <w:b/>
                <w:sz w:val="20"/>
                <w:szCs w:val="20"/>
              </w:rPr>
            </w:pPr>
            <w:r w:rsidRPr="008D21D1">
              <w:rPr>
                <w:rFonts w:eastAsia="Calibri"/>
                <w:b/>
                <w:sz w:val="20"/>
                <w:szCs w:val="20"/>
              </w:rPr>
              <w:t>Report Rating</w:t>
            </w:r>
          </w:p>
        </w:tc>
        <w:tc>
          <w:tcPr>
            <w:tcW w:w="3969" w:type="dxa"/>
            <w:shd w:val="clear" w:color="auto" w:fill="D9D9D9" w:themeFill="background1" w:themeFillShade="D9"/>
          </w:tcPr>
          <w:p w:rsidR="004B2058" w:rsidRPr="00A56F7B" w:rsidRDefault="004B2058" w:rsidP="00CD799F">
            <w:pPr>
              <w:jc w:val="both"/>
              <w:rPr>
                <w:rFonts w:eastAsia="Calibri"/>
                <w:b/>
                <w:sz w:val="20"/>
                <w:szCs w:val="20"/>
              </w:rPr>
            </w:pPr>
            <w:r w:rsidRPr="00A56F7B">
              <w:rPr>
                <w:rFonts w:eastAsia="Calibri"/>
                <w:b/>
                <w:sz w:val="20"/>
                <w:szCs w:val="20"/>
              </w:rPr>
              <w:t>Management Action</w:t>
            </w:r>
          </w:p>
          <w:p w:rsidR="004B2058" w:rsidRPr="00A56F7B" w:rsidRDefault="004B2058" w:rsidP="00CD799F">
            <w:pPr>
              <w:jc w:val="both"/>
              <w:rPr>
                <w:rFonts w:eastAsia="Calibri"/>
                <w:b/>
                <w:sz w:val="20"/>
                <w:szCs w:val="20"/>
              </w:rPr>
            </w:pPr>
            <w:r w:rsidRPr="00A56F7B">
              <w:rPr>
                <w:rFonts w:eastAsia="Calibri"/>
                <w:b/>
                <w:sz w:val="20"/>
                <w:szCs w:val="20"/>
              </w:rPr>
              <w:t>(abridged)</w:t>
            </w:r>
          </w:p>
        </w:tc>
        <w:tc>
          <w:tcPr>
            <w:tcW w:w="1134" w:type="dxa"/>
            <w:shd w:val="clear" w:color="auto" w:fill="D9D9D9" w:themeFill="background1" w:themeFillShade="D9"/>
          </w:tcPr>
          <w:p w:rsidR="004B2058" w:rsidRPr="00A56F7B" w:rsidRDefault="004B2058" w:rsidP="00CD799F">
            <w:pPr>
              <w:rPr>
                <w:rFonts w:eastAsia="Calibri"/>
                <w:sz w:val="20"/>
                <w:szCs w:val="20"/>
              </w:rPr>
            </w:pPr>
            <w:r w:rsidRPr="00A56F7B">
              <w:rPr>
                <w:rFonts w:eastAsia="Calibri"/>
                <w:b/>
                <w:sz w:val="20"/>
                <w:szCs w:val="20"/>
              </w:rPr>
              <w:t>Original date</w:t>
            </w:r>
          </w:p>
        </w:tc>
        <w:tc>
          <w:tcPr>
            <w:tcW w:w="992" w:type="dxa"/>
            <w:shd w:val="clear" w:color="auto" w:fill="D9D9D9" w:themeFill="background1" w:themeFillShade="D9"/>
          </w:tcPr>
          <w:p w:rsidR="004B2058" w:rsidRPr="00A56F7B" w:rsidRDefault="004B2058" w:rsidP="00CD799F">
            <w:pPr>
              <w:jc w:val="both"/>
              <w:rPr>
                <w:rFonts w:eastAsia="Calibri"/>
                <w:b/>
                <w:sz w:val="20"/>
                <w:szCs w:val="20"/>
              </w:rPr>
            </w:pPr>
            <w:r w:rsidRPr="00A56F7B">
              <w:rPr>
                <w:rFonts w:eastAsia="Calibri"/>
                <w:b/>
                <w:sz w:val="20"/>
                <w:szCs w:val="20"/>
              </w:rPr>
              <w:t>Request for revised implementation date</w:t>
            </w:r>
          </w:p>
          <w:p w:rsidR="004B2058" w:rsidRPr="00A56F7B" w:rsidRDefault="004B2058" w:rsidP="00CD799F">
            <w:pPr>
              <w:rPr>
                <w:rFonts w:eastAsia="Calibri"/>
                <w:b/>
                <w:sz w:val="20"/>
                <w:szCs w:val="20"/>
              </w:rPr>
            </w:pPr>
          </w:p>
        </w:tc>
      </w:tr>
      <w:tr w:rsidR="004B2058" w:rsidRPr="00D22853" w:rsidTr="008850B6">
        <w:trPr>
          <w:trHeight w:val="2277"/>
        </w:trPr>
        <w:tc>
          <w:tcPr>
            <w:tcW w:w="1276" w:type="dxa"/>
            <w:shd w:val="clear" w:color="auto" w:fill="auto"/>
            <w:vAlign w:val="center"/>
          </w:tcPr>
          <w:p w:rsidR="008850B6" w:rsidRDefault="008850B6" w:rsidP="008850B6">
            <w:pPr>
              <w:jc w:val="center"/>
              <w:rPr>
                <w:rFonts w:ascii="Arial" w:hAnsi="Arial" w:cs="Arial"/>
                <w:b/>
                <w:bCs/>
              </w:rPr>
            </w:pPr>
            <w:r>
              <w:rPr>
                <w:rFonts w:ascii="Arial" w:hAnsi="Arial" w:cs="Arial"/>
                <w:b/>
                <w:bCs/>
              </w:rPr>
              <w:t>Management of Alerts Follow up Audit</w:t>
            </w:r>
          </w:p>
          <w:p w:rsidR="004B2058" w:rsidRDefault="004B2058" w:rsidP="003372E1">
            <w:pPr>
              <w:jc w:val="center"/>
              <w:rPr>
                <w:rFonts w:ascii="Arial" w:hAnsi="Arial" w:cs="Arial"/>
                <w:b/>
                <w:bCs/>
              </w:rPr>
            </w:pPr>
          </w:p>
        </w:tc>
        <w:tc>
          <w:tcPr>
            <w:tcW w:w="1701" w:type="dxa"/>
            <w:shd w:val="clear" w:color="auto" w:fill="auto"/>
            <w:vAlign w:val="center"/>
          </w:tcPr>
          <w:p w:rsidR="004B2058" w:rsidRPr="00352570" w:rsidRDefault="00FB1E29" w:rsidP="00352570">
            <w:pPr>
              <w:jc w:val="center"/>
              <w:rPr>
                <w:rFonts w:ascii="Arial" w:hAnsi="Arial" w:cs="Arial"/>
                <w:b/>
                <w:bCs/>
              </w:rPr>
            </w:pPr>
            <w:r>
              <w:rPr>
                <w:rFonts w:ascii="Arial" w:hAnsi="Arial" w:cs="Arial"/>
                <w:b/>
                <w:bCs/>
              </w:rPr>
              <w:t>Reasonable assurance</w:t>
            </w:r>
          </w:p>
        </w:tc>
        <w:tc>
          <w:tcPr>
            <w:tcW w:w="3969" w:type="dxa"/>
            <w:shd w:val="clear" w:color="auto" w:fill="auto"/>
            <w:vAlign w:val="center"/>
          </w:tcPr>
          <w:p w:rsidR="004B2058" w:rsidRDefault="008850B6" w:rsidP="004B2058">
            <w:pPr>
              <w:rPr>
                <w:rFonts w:ascii="Arial" w:hAnsi="Arial" w:cs="Arial"/>
              </w:rPr>
            </w:pPr>
            <w:r w:rsidRPr="008850B6">
              <w:rPr>
                <w:rFonts w:ascii="Arial" w:hAnsi="Arial" w:cs="Arial"/>
              </w:rPr>
              <w:t>The medical device register should be completed and presented to the appropriate committee for approval as soon as practically possible.  Management should decide which business area will maintain the register to ensure that it is kept up to date.</w:t>
            </w:r>
          </w:p>
        </w:tc>
        <w:tc>
          <w:tcPr>
            <w:tcW w:w="1134" w:type="dxa"/>
            <w:shd w:val="clear" w:color="auto" w:fill="auto"/>
            <w:vAlign w:val="center"/>
          </w:tcPr>
          <w:p w:rsidR="00FB1E29" w:rsidRDefault="008850B6" w:rsidP="00FB1E29">
            <w:pPr>
              <w:jc w:val="center"/>
              <w:rPr>
                <w:rFonts w:ascii="Arial" w:hAnsi="Arial" w:cs="Arial"/>
              </w:rPr>
            </w:pPr>
            <w:r>
              <w:rPr>
                <w:rFonts w:ascii="Arial" w:hAnsi="Arial" w:cs="Arial"/>
              </w:rPr>
              <w:t>April 2021</w:t>
            </w:r>
          </w:p>
        </w:tc>
        <w:tc>
          <w:tcPr>
            <w:tcW w:w="992" w:type="dxa"/>
            <w:shd w:val="clear" w:color="auto" w:fill="auto"/>
            <w:vAlign w:val="center"/>
          </w:tcPr>
          <w:p w:rsidR="004B2058" w:rsidRDefault="008850B6" w:rsidP="004B2058">
            <w:pPr>
              <w:jc w:val="center"/>
              <w:rPr>
                <w:rFonts w:ascii="Arial" w:hAnsi="Arial" w:cs="Arial"/>
                <w:color w:val="FF0000"/>
              </w:rPr>
            </w:pPr>
            <w:r>
              <w:rPr>
                <w:rFonts w:ascii="Arial" w:hAnsi="Arial" w:cs="Arial"/>
                <w:color w:val="FF0000"/>
              </w:rPr>
              <w:t>June 2021</w:t>
            </w:r>
          </w:p>
        </w:tc>
      </w:tr>
    </w:tbl>
    <w:p w:rsidR="008850B6" w:rsidRDefault="008850B6" w:rsidP="00E5448C">
      <w:pPr>
        <w:keepNext/>
        <w:ind w:left="1009" w:hanging="1009"/>
        <w:outlineLvl w:val="0"/>
        <w:rPr>
          <w:rFonts w:eastAsia="Times New Roman" w:cs="Times New Roman"/>
          <w:b/>
          <w:kern w:val="28"/>
          <w:szCs w:val="20"/>
        </w:rPr>
      </w:pPr>
    </w:p>
    <w:p w:rsidR="00E5448C" w:rsidRPr="00E5448C" w:rsidRDefault="00421898" w:rsidP="00E5448C">
      <w:pPr>
        <w:keepNext/>
        <w:ind w:left="1009" w:hanging="1009"/>
        <w:outlineLvl w:val="0"/>
        <w:rPr>
          <w:rFonts w:eastAsia="Times New Roman" w:cs="Times New Roman"/>
          <w:b/>
          <w:kern w:val="28"/>
          <w:szCs w:val="20"/>
        </w:rPr>
      </w:pPr>
      <w:r>
        <w:rPr>
          <w:rFonts w:eastAsia="Times New Roman" w:cs="Times New Roman"/>
          <w:b/>
          <w:kern w:val="28"/>
          <w:szCs w:val="20"/>
        </w:rPr>
        <w:t>3.2 A</w:t>
      </w:r>
      <w:r w:rsidR="00E5448C" w:rsidRPr="00E5448C">
        <w:rPr>
          <w:rFonts w:eastAsia="Times New Roman" w:cs="Times New Roman"/>
          <w:b/>
          <w:kern w:val="28"/>
          <w:szCs w:val="20"/>
        </w:rPr>
        <w:t>ctions Proposed for Completion</w:t>
      </w:r>
    </w:p>
    <w:p w:rsidR="00E5448C" w:rsidRPr="00E5448C" w:rsidRDefault="00E5448C" w:rsidP="00E5448C">
      <w:pPr>
        <w:rPr>
          <w:rFonts w:eastAsia="Calibri" w:cs="Times New Roman"/>
        </w:rPr>
      </w:pPr>
    </w:p>
    <w:p w:rsidR="00E5448C" w:rsidRDefault="00E5448C" w:rsidP="00723EC1">
      <w:pPr>
        <w:jc w:val="both"/>
        <w:rPr>
          <w:rFonts w:eastAsia="Calibri" w:cs="Times New Roman"/>
        </w:rPr>
      </w:pPr>
      <w:r w:rsidRPr="00E5448C">
        <w:rPr>
          <w:rFonts w:eastAsia="Calibri" w:cs="Times New Roman"/>
        </w:rPr>
        <w:t xml:space="preserve">The following actions are proposed for completion. Please note that summary details are provided </w:t>
      </w:r>
      <w:r w:rsidR="00FD6BBA">
        <w:rPr>
          <w:rFonts w:eastAsia="Calibri" w:cs="Times New Roman"/>
        </w:rPr>
        <w:t xml:space="preserve">below and for </w:t>
      </w:r>
      <w:r w:rsidRPr="00E5448C">
        <w:rPr>
          <w:rFonts w:eastAsia="Calibri" w:cs="Times New Roman"/>
        </w:rPr>
        <w:t xml:space="preserve">further information </w:t>
      </w:r>
      <w:r w:rsidR="00FD6BBA">
        <w:rPr>
          <w:rFonts w:eastAsia="Calibri" w:cs="Times New Roman"/>
        </w:rPr>
        <w:t>reference should be made to the</w:t>
      </w:r>
      <w:r w:rsidRPr="00E5448C">
        <w:rPr>
          <w:rFonts w:eastAsia="Calibri" w:cs="Times New Roman"/>
        </w:rPr>
        <w:t xml:space="preserve"> Internal Audit Action Log </w:t>
      </w:r>
      <w:r w:rsidR="00FD6BBA">
        <w:rPr>
          <w:rFonts w:eastAsia="Calibri" w:cs="Times New Roman"/>
        </w:rPr>
        <w:t xml:space="preserve">provided as </w:t>
      </w:r>
      <w:r w:rsidRPr="00E5448C">
        <w:rPr>
          <w:rFonts w:eastAsia="Calibri" w:cs="Times New Roman"/>
          <w:b/>
        </w:rPr>
        <w:t>Appendix</w:t>
      </w:r>
      <w:r w:rsidR="00A7528F">
        <w:rPr>
          <w:rFonts w:eastAsia="Calibri" w:cs="Times New Roman"/>
          <w:b/>
        </w:rPr>
        <w:t xml:space="preserve"> 1</w:t>
      </w:r>
      <w:r w:rsidRPr="00E5448C">
        <w:rPr>
          <w:rFonts w:eastAsia="Calibri" w:cs="Times New Roman"/>
        </w:rPr>
        <w:t>.</w:t>
      </w:r>
    </w:p>
    <w:p w:rsidR="00E5448C" w:rsidRDefault="00E5448C" w:rsidP="00E5448C">
      <w:pPr>
        <w:rPr>
          <w:rFonts w:eastAsia="Calibri" w:cs="Times New Roman"/>
        </w:rPr>
      </w:pPr>
    </w:p>
    <w:p w:rsidR="00E5448C" w:rsidRPr="00E5448C" w:rsidRDefault="00E5448C" w:rsidP="00E5448C">
      <w:pPr>
        <w:rPr>
          <w:rFonts w:eastAsia="Calibri" w:cs="Times New Roman"/>
        </w:rPr>
      </w:pPr>
    </w:p>
    <w:tbl>
      <w:tblPr>
        <w:tblStyle w:val="TableGrid4"/>
        <w:tblW w:w="0" w:type="auto"/>
        <w:tblLook w:val="04A0" w:firstRow="1" w:lastRow="0" w:firstColumn="1" w:lastColumn="0" w:noHBand="0" w:noVBand="1"/>
      </w:tblPr>
      <w:tblGrid>
        <w:gridCol w:w="6232"/>
        <w:gridCol w:w="2784"/>
      </w:tblGrid>
      <w:tr w:rsidR="00E5448C" w:rsidRPr="00E5448C" w:rsidTr="008850B6">
        <w:tc>
          <w:tcPr>
            <w:tcW w:w="6232" w:type="dxa"/>
            <w:shd w:val="clear" w:color="auto" w:fill="D9D9D9" w:themeFill="background1" w:themeFillShade="D9"/>
          </w:tcPr>
          <w:p w:rsidR="00E5448C" w:rsidRPr="00E5448C" w:rsidRDefault="00E5448C" w:rsidP="00E5448C">
            <w:pPr>
              <w:spacing w:before="120" w:after="120"/>
              <w:jc w:val="both"/>
              <w:rPr>
                <w:rFonts w:eastAsia="Calibri"/>
                <w:b/>
              </w:rPr>
            </w:pPr>
            <w:r w:rsidRPr="00E5448C">
              <w:rPr>
                <w:rFonts w:eastAsia="Calibri"/>
                <w:b/>
              </w:rPr>
              <w:t>Audit Review</w:t>
            </w:r>
          </w:p>
        </w:tc>
        <w:tc>
          <w:tcPr>
            <w:tcW w:w="2784" w:type="dxa"/>
            <w:shd w:val="clear" w:color="auto" w:fill="D9D9D9" w:themeFill="background1" w:themeFillShade="D9"/>
          </w:tcPr>
          <w:p w:rsidR="00E5448C" w:rsidRPr="00E5448C" w:rsidRDefault="00E5448C" w:rsidP="00E5448C">
            <w:pPr>
              <w:spacing w:before="120" w:after="120"/>
              <w:rPr>
                <w:rFonts w:eastAsia="Calibri"/>
                <w:b/>
              </w:rPr>
            </w:pPr>
            <w:r w:rsidRPr="00E5448C">
              <w:rPr>
                <w:rFonts w:eastAsia="Calibri"/>
                <w:b/>
              </w:rPr>
              <w:t>Action(s)</w:t>
            </w:r>
          </w:p>
        </w:tc>
      </w:tr>
      <w:tr w:rsidR="00A41832" w:rsidRPr="00E5448C" w:rsidTr="008850B6">
        <w:tc>
          <w:tcPr>
            <w:tcW w:w="6232" w:type="dxa"/>
          </w:tcPr>
          <w:p w:rsidR="008850B6" w:rsidRPr="008850B6" w:rsidRDefault="008850B6" w:rsidP="008850B6">
            <w:pPr>
              <w:rPr>
                <w:rFonts w:ascii="Arial" w:hAnsi="Arial" w:cs="Arial"/>
                <w:bCs/>
              </w:rPr>
            </w:pPr>
            <w:r w:rsidRPr="008850B6">
              <w:rPr>
                <w:rFonts w:ascii="Arial" w:hAnsi="Arial" w:cs="Arial"/>
                <w:bCs/>
              </w:rPr>
              <w:t>Processing information under Section 251 of the National Health Service Act 2006</w:t>
            </w:r>
          </w:p>
          <w:p w:rsidR="00A41832" w:rsidRPr="008850B6" w:rsidRDefault="00A41832" w:rsidP="00D95757">
            <w:pPr>
              <w:spacing w:before="120" w:after="120"/>
              <w:rPr>
                <w:rFonts w:eastAsia="Calibri"/>
              </w:rPr>
            </w:pPr>
          </w:p>
        </w:tc>
        <w:tc>
          <w:tcPr>
            <w:tcW w:w="2784" w:type="dxa"/>
          </w:tcPr>
          <w:p w:rsidR="00A41832" w:rsidRPr="00014AC2" w:rsidRDefault="008850B6" w:rsidP="00C028E0">
            <w:pPr>
              <w:spacing w:before="120" w:after="120"/>
              <w:rPr>
                <w:rFonts w:eastAsia="Calibri"/>
              </w:rPr>
            </w:pPr>
            <w:r>
              <w:rPr>
                <w:rFonts w:eastAsia="Calibri"/>
              </w:rPr>
              <w:t>417</w:t>
            </w:r>
          </w:p>
        </w:tc>
      </w:tr>
      <w:tr w:rsidR="00A41832" w:rsidRPr="00E5448C" w:rsidTr="008850B6">
        <w:tc>
          <w:tcPr>
            <w:tcW w:w="6232" w:type="dxa"/>
          </w:tcPr>
          <w:p w:rsidR="00A41832" w:rsidRPr="008850B6" w:rsidRDefault="008850B6" w:rsidP="00D95757">
            <w:pPr>
              <w:spacing w:before="120" w:after="120"/>
              <w:rPr>
                <w:rFonts w:eastAsia="Calibri"/>
              </w:rPr>
            </w:pPr>
            <w:r w:rsidRPr="008850B6">
              <w:rPr>
                <w:rFonts w:eastAsia="Calibri"/>
              </w:rPr>
              <w:t>Diabetic Eye Screening Wales Review 2017/18</w:t>
            </w:r>
          </w:p>
        </w:tc>
        <w:tc>
          <w:tcPr>
            <w:tcW w:w="2784" w:type="dxa"/>
          </w:tcPr>
          <w:p w:rsidR="00A41832" w:rsidRPr="00014AC2" w:rsidRDefault="008850B6" w:rsidP="00167296">
            <w:pPr>
              <w:rPr>
                <w:rFonts w:eastAsia="Calibri"/>
              </w:rPr>
            </w:pPr>
            <w:r>
              <w:rPr>
                <w:rFonts w:eastAsia="Calibri"/>
              </w:rPr>
              <w:t>261</w:t>
            </w:r>
          </w:p>
        </w:tc>
      </w:tr>
      <w:tr w:rsidR="00875D6E" w:rsidRPr="00E5448C" w:rsidTr="008850B6">
        <w:tc>
          <w:tcPr>
            <w:tcW w:w="6232" w:type="dxa"/>
          </w:tcPr>
          <w:p w:rsidR="00875D6E" w:rsidRPr="008850B6" w:rsidRDefault="008850B6" w:rsidP="00D95757">
            <w:pPr>
              <w:spacing w:before="120" w:after="120"/>
              <w:rPr>
                <w:rFonts w:eastAsia="Calibri"/>
              </w:rPr>
            </w:pPr>
            <w:r w:rsidRPr="008850B6">
              <w:rPr>
                <w:rFonts w:eastAsia="Calibri"/>
              </w:rPr>
              <w:t>Annual Quality Statement Final Report 2020/21</w:t>
            </w:r>
          </w:p>
        </w:tc>
        <w:tc>
          <w:tcPr>
            <w:tcW w:w="2784" w:type="dxa"/>
          </w:tcPr>
          <w:p w:rsidR="00875D6E" w:rsidRPr="00014AC2" w:rsidRDefault="008850B6" w:rsidP="00C11EDA">
            <w:pPr>
              <w:spacing w:before="120" w:after="120"/>
              <w:rPr>
                <w:rFonts w:eastAsia="Calibri"/>
              </w:rPr>
            </w:pPr>
            <w:r>
              <w:rPr>
                <w:rFonts w:eastAsia="Calibri"/>
              </w:rPr>
              <w:t>408</w:t>
            </w:r>
          </w:p>
        </w:tc>
      </w:tr>
      <w:tr w:rsidR="00875D6E" w:rsidRPr="00E5448C" w:rsidTr="008850B6">
        <w:tc>
          <w:tcPr>
            <w:tcW w:w="6232" w:type="dxa"/>
          </w:tcPr>
          <w:p w:rsidR="008850B6" w:rsidRPr="008850B6" w:rsidRDefault="008850B6" w:rsidP="008850B6">
            <w:pPr>
              <w:rPr>
                <w:rFonts w:ascii="Arial" w:hAnsi="Arial" w:cs="Arial"/>
                <w:bCs/>
              </w:rPr>
            </w:pPr>
            <w:r w:rsidRPr="008850B6">
              <w:rPr>
                <w:rFonts w:ascii="Arial" w:hAnsi="Arial" w:cs="Arial"/>
                <w:bCs/>
              </w:rPr>
              <w:t>Welsh Risk Pool (WRP) Claim Process</w:t>
            </w:r>
          </w:p>
          <w:p w:rsidR="00875D6E" w:rsidRPr="008850B6" w:rsidRDefault="00875D6E" w:rsidP="00D95757">
            <w:pPr>
              <w:spacing w:before="120" w:after="120"/>
              <w:rPr>
                <w:rFonts w:eastAsia="Calibri"/>
              </w:rPr>
            </w:pPr>
          </w:p>
        </w:tc>
        <w:tc>
          <w:tcPr>
            <w:tcW w:w="2784" w:type="dxa"/>
          </w:tcPr>
          <w:p w:rsidR="00875D6E" w:rsidRPr="00014AC2" w:rsidRDefault="008850B6" w:rsidP="00C11EDA">
            <w:pPr>
              <w:spacing w:before="120" w:after="120"/>
              <w:rPr>
                <w:rFonts w:eastAsia="Calibri"/>
              </w:rPr>
            </w:pPr>
            <w:r>
              <w:rPr>
                <w:rFonts w:eastAsia="Calibri"/>
              </w:rPr>
              <w:t>410</w:t>
            </w:r>
          </w:p>
        </w:tc>
      </w:tr>
      <w:tr w:rsidR="00A6215B" w:rsidRPr="00E5448C" w:rsidTr="008850B6">
        <w:tc>
          <w:tcPr>
            <w:tcW w:w="6232" w:type="dxa"/>
          </w:tcPr>
          <w:p w:rsidR="00A6215B" w:rsidRPr="008850B6" w:rsidRDefault="008850B6" w:rsidP="00D95757">
            <w:pPr>
              <w:spacing w:before="120" w:after="120"/>
              <w:rPr>
                <w:rFonts w:eastAsia="Calibri"/>
              </w:rPr>
            </w:pPr>
            <w:r w:rsidRPr="008850B6">
              <w:rPr>
                <w:rFonts w:eastAsia="Calibri"/>
              </w:rPr>
              <w:t>Data quality and integrity within performance reports</w:t>
            </w:r>
          </w:p>
        </w:tc>
        <w:tc>
          <w:tcPr>
            <w:tcW w:w="2784" w:type="dxa"/>
          </w:tcPr>
          <w:p w:rsidR="00A6215B" w:rsidRPr="00014AC2" w:rsidRDefault="008850B6" w:rsidP="00C11EDA">
            <w:pPr>
              <w:spacing w:before="120" w:after="120"/>
              <w:rPr>
                <w:rFonts w:eastAsia="Calibri"/>
              </w:rPr>
            </w:pPr>
            <w:r>
              <w:rPr>
                <w:rFonts w:eastAsia="Calibri"/>
              </w:rPr>
              <w:t>411</w:t>
            </w:r>
          </w:p>
        </w:tc>
      </w:tr>
      <w:tr w:rsidR="00A6215B" w:rsidRPr="00E5448C" w:rsidTr="008850B6">
        <w:tc>
          <w:tcPr>
            <w:tcW w:w="6232" w:type="dxa"/>
          </w:tcPr>
          <w:p w:rsidR="008850B6" w:rsidRPr="008850B6" w:rsidRDefault="008850B6" w:rsidP="008850B6">
            <w:pPr>
              <w:rPr>
                <w:rFonts w:ascii="Arial" w:hAnsi="Arial" w:cs="Arial"/>
                <w:bCs/>
              </w:rPr>
            </w:pPr>
            <w:r w:rsidRPr="008850B6">
              <w:rPr>
                <w:rFonts w:ascii="Arial" w:hAnsi="Arial" w:cs="Arial"/>
                <w:bCs/>
              </w:rPr>
              <w:t>Financial Systems</w:t>
            </w:r>
          </w:p>
          <w:p w:rsidR="00A6215B" w:rsidRPr="008850B6" w:rsidRDefault="00A6215B" w:rsidP="00D95757">
            <w:pPr>
              <w:spacing w:before="120" w:after="120"/>
              <w:rPr>
                <w:rFonts w:eastAsia="Calibri"/>
              </w:rPr>
            </w:pPr>
          </w:p>
        </w:tc>
        <w:tc>
          <w:tcPr>
            <w:tcW w:w="2784" w:type="dxa"/>
          </w:tcPr>
          <w:p w:rsidR="00A6215B" w:rsidRPr="00014AC2" w:rsidRDefault="008850B6" w:rsidP="00C11EDA">
            <w:pPr>
              <w:spacing w:before="120" w:after="120"/>
              <w:rPr>
                <w:rFonts w:eastAsia="Calibri"/>
              </w:rPr>
            </w:pPr>
            <w:r>
              <w:rPr>
                <w:rFonts w:eastAsia="Calibri"/>
              </w:rPr>
              <w:t>413,414, 415, 416</w:t>
            </w:r>
          </w:p>
        </w:tc>
      </w:tr>
    </w:tbl>
    <w:p w:rsidR="00167296" w:rsidRDefault="00167296" w:rsidP="00E5448C">
      <w:pPr>
        <w:rPr>
          <w:color w:val="FF0000"/>
          <w:szCs w:val="24"/>
        </w:rPr>
      </w:pPr>
    </w:p>
    <w:p w:rsidR="00051E74" w:rsidRPr="001C60B5" w:rsidRDefault="00B936DE" w:rsidP="0079005B">
      <w:pPr>
        <w:pStyle w:val="Heading2"/>
        <w:numPr>
          <w:ilvl w:val="1"/>
          <w:numId w:val="22"/>
        </w:numPr>
        <w:ind w:left="567" w:hanging="567"/>
        <w:rPr>
          <w:szCs w:val="24"/>
        </w:rPr>
      </w:pPr>
      <w:r w:rsidRPr="001C60B5">
        <w:rPr>
          <w:szCs w:val="24"/>
        </w:rPr>
        <w:lastRenderedPageBreak/>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rsidR="00D26E48" w:rsidRPr="00CE679D" w:rsidRDefault="00FC7FAE" w:rsidP="00B936DE">
      <w:pPr>
        <w:rPr>
          <w:szCs w:val="24"/>
        </w:rPr>
      </w:pPr>
      <w:r w:rsidRPr="00CE679D">
        <w:rPr>
          <w:szCs w:val="24"/>
        </w:rPr>
        <w:t xml:space="preserve">This </w:t>
      </w:r>
      <w:r w:rsidR="00CE6EB8" w:rsidRPr="00CE679D">
        <w:rPr>
          <w:szCs w:val="24"/>
        </w:rPr>
        <w:t>report</w:t>
      </w:r>
      <w:r w:rsidRPr="00CE679D">
        <w:rPr>
          <w:szCs w:val="24"/>
        </w:rPr>
        <w:t xml:space="preserve"> </w:t>
      </w:r>
      <w:r w:rsidR="00824D05" w:rsidRPr="00CE679D">
        <w:rPr>
          <w:szCs w:val="24"/>
        </w:rPr>
        <w:t>contribute</w:t>
      </w:r>
      <w:r w:rsidR="00CE679D" w:rsidRPr="00CE679D">
        <w:rPr>
          <w:szCs w:val="24"/>
        </w:rPr>
        <w:t>s</w:t>
      </w:r>
      <w:r w:rsidR="00CE6EB8" w:rsidRPr="00CE679D">
        <w:rPr>
          <w:szCs w:val="24"/>
        </w:rPr>
        <w:t xml:space="preserve"> </w:t>
      </w:r>
      <w:r w:rsidRPr="00CE679D">
        <w:rPr>
          <w:szCs w:val="24"/>
        </w:rPr>
        <w:t>to</w:t>
      </w:r>
      <w:r w:rsidR="00893619" w:rsidRPr="00CE679D">
        <w:rPr>
          <w:szCs w:val="24"/>
        </w:rPr>
        <w:t xml:space="preserve"> the following </w:t>
      </w:r>
      <w:r w:rsidR="00680CAE" w:rsidRPr="00CE679D">
        <w:rPr>
          <w:szCs w:val="24"/>
        </w:rPr>
        <w:t>Public Health Wales well</w:t>
      </w:r>
      <w:r w:rsidR="00EA23FA" w:rsidRPr="00CE679D">
        <w:rPr>
          <w:szCs w:val="24"/>
        </w:rPr>
        <w:t>-</w:t>
      </w:r>
      <w:r w:rsidR="00680CAE" w:rsidRPr="00CE679D">
        <w:rPr>
          <w:szCs w:val="24"/>
        </w:rPr>
        <w:t>being objectives</w:t>
      </w:r>
      <w:r w:rsidR="00CE679D">
        <w:rPr>
          <w:szCs w:val="24"/>
        </w:rPr>
        <w:t>:</w:t>
      </w:r>
    </w:p>
    <w:tbl>
      <w:tblPr>
        <w:tblStyle w:val="TableGrid"/>
        <w:tblW w:w="864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93619" w:rsidTr="00FD6BBA">
        <w:tc>
          <w:tcPr>
            <w:tcW w:w="8647" w:type="dxa"/>
          </w:tcPr>
          <w:sdt>
            <w:sdtPr>
              <w:rPr>
                <w:rStyle w:val="Dropdown"/>
              </w:rPr>
              <w:alias w:val="Well-being goal"/>
              <w:tag w:val="Well-being goal"/>
              <w:id w:val="1886583"/>
              <w:placeholder>
                <w:docPart w:val="8952B08D80D8485F8616604608967B5A"/>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rsidR="00893619" w:rsidRDefault="00CE679D" w:rsidP="00504A87">
                <w:r>
                  <w:rPr>
                    <w:rStyle w:val="Dropdown"/>
                  </w:rPr>
                  <w:t>Goal 1 - Build capacity and support system change</w:t>
                </w:r>
              </w:p>
            </w:sdtContent>
          </w:sdt>
        </w:tc>
      </w:tr>
      <w:tr w:rsidR="00504A87" w:rsidTr="00FD6BBA">
        <w:tc>
          <w:tcPr>
            <w:tcW w:w="8647" w:type="dxa"/>
          </w:tcPr>
          <w:sdt>
            <w:sdtPr>
              <w:rPr>
                <w:rStyle w:val="Dropdown"/>
              </w:rPr>
              <w:alias w:val="Well-being goal"/>
              <w:tag w:val="Well-being goal"/>
              <w:id w:val="-1800762356"/>
              <w:placeholder>
                <w:docPart w:val="80D911A8548C4A20B0918E044529BA12"/>
              </w:placeholder>
              <w:dropDownList>
                <w:listItem w:value="Choose an item."/>
                <w:listItem w:displayText="Goal 1 - Build capacity and support system change" w:value="Goal 1 - Build capacity and support system change"/>
                <w:listItem w:displayText="Goal 2 - Give our children the best start in life" w:value="Goal 2 - Give our children the best start in life"/>
                <w:listItem w:displayText="Goal 3 - Support the NHS to deliver high quality, equitable and sustainable services" w:value="Goal 3 - Support the NHS to deliver high quality, equitable and sustainable services"/>
                <w:listItem w:displayText="Goal 4 - Minimise public health risks" w:value="Goal 4 - Minimise public health risks"/>
                <w:listItem w:displayText="Goal 5 - Influence policy, planning and design" w:value="Goal 5 - Influence policy, planning and design"/>
                <w:listItem w:displayText="Goal 6 - Maximise the potential of our natural and cultural resources" w:value="Goal 6 - Maximise the potential of our natural and cultural resources"/>
                <w:listItem w:displayText="Goal 7 - Strengthen our role in global health and sustainable development" w:value="Goal 7 - Strengthen our role in global health and sustainable development"/>
              </w:dropDownList>
            </w:sdtPr>
            <w:sdtEndPr>
              <w:rPr>
                <w:rStyle w:val="DefaultParagraphFont"/>
                <w:color w:val="808080"/>
                <w:sz w:val="22"/>
                <w:szCs w:val="24"/>
              </w:rPr>
            </w:sdtEndPr>
            <w:sdtContent>
              <w:p w:rsidR="00504A87" w:rsidRDefault="00CE679D" w:rsidP="00504A87">
                <w:r>
                  <w:rPr>
                    <w:rStyle w:val="Dropdown"/>
                  </w:rPr>
                  <w:t>Goal 3 - Support the NHS to deliver high quality, equitable and sustainable services</w:t>
                </w:r>
              </w:p>
            </w:sdtContent>
          </w:sdt>
        </w:tc>
      </w:tr>
    </w:tbl>
    <w:p w:rsidR="0046169C" w:rsidRPr="001C60B5" w:rsidRDefault="0046169C" w:rsidP="0046169C">
      <w:pPr>
        <w:rPr>
          <w:bCs/>
          <w:color w:val="FF0000"/>
          <w:szCs w:val="24"/>
        </w:rPr>
      </w:pPr>
    </w:p>
    <w:p w:rsidR="00D26E48" w:rsidRPr="00CE679D" w:rsidRDefault="00D26E48" w:rsidP="00B936DE">
      <w:pPr>
        <w:rPr>
          <w:szCs w:val="24"/>
        </w:rPr>
      </w:pPr>
      <w:r w:rsidRPr="00CE679D">
        <w:rPr>
          <w:szCs w:val="24"/>
        </w:rPr>
        <w:t>This work has been put together following the five ways</w:t>
      </w:r>
      <w:r w:rsidR="00FC7FAE" w:rsidRPr="00CE679D">
        <w:rPr>
          <w:szCs w:val="24"/>
        </w:rPr>
        <w:t xml:space="preserve"> of working</w:t>
      </w:r>
      <w:r w:rsidRPr="00CE679D">
        <w:rPr>
          <w:szCs w:val="24"/>
        </w:rPr>
        <w:t>,</w:t>
      </w:r>
      <w:r w:rsidR="00FC7FAE" w:rsidRPr="00CE679D">
        <w:rPr>
          <w:szCs w:val="24"/>
        </w:rPr>
        <w:t xml:space="preserve"> as defined within the sustainable developme</w:t>
      </w:r>
      <w:r w:rsidR="00660772" w:rsidRPr="00CE679D">
        <w:rPr>
          <w:szCs w:val="24"/>
        </w:rPr>
        <w:t>nt principle in the Act</w:t>
      </w:r>
      <w:r w:rsidRPr="00CE679D">
        <w:rPr>
          <w:szCs w:val="24"/>
        </w:rPr>
        <w:t>,</w:t>
      </w:r>
      <w:r w:rsidR="00660772" w:rsidRPr="00CE679D">
        <w:rPr>
          <w:szCs w:val="24"/>
        </w:rPr>
        <w:t xml:space="preserve"> in </w:t>
      </w:r>
      <w:r w:rsidRPr="00CE679D">
        <w:rPr>
          <w:szCs w:val="24"/>
        </w:rPr>
        <w:t>the following ways</w:t>
      </w:r>
      <w:r w:rsidR="00893619" w:rsidRPr="00CE679D">
        <w:rPr>
          <w:szCs w:val="24"/>
        </w:rPr>
        <w:t>:</w:t>
      </w:r>
    </w:p>
    <w:p w:rsidR="0046169C" w:rsidRDefault="0046169C" w:rsidP="00B936DE">
      <w:pPr>
        <w:rPr>
          <w:i/>
          <w:color w:val="FF0000"/>
          <w:szCs w:val="24"/>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73"/>
      </w:tblGrid>
      <w:tr w:rsidR="00893619" w:rsidRPr="00277F27" w:rsidTr="00893619">
        <w:tc>
          <w:tcPr>
            <w:tcW w:w="3369" w:type="dxa"/>
          </w:tcPr>
          <w:p w:rsidR="00893619" w:rsidRPr="00277F27" w:rsidRDefault="00893619" w:rsidP="00A62FD1">
            <w:pPr>
              <w:spacing w:before="120" w:after="120"/>
              <w:jc w:val="center"/>
              <w:rPr>
                <w:rFonts w:cs="Arial"/>
                <w:szCs w:val="24"/>
              </w:rPr>
            </w:pPr>
            <w:r w:rsidRPr="00277F27">
              <w:rPr>
                <w:rFonts w:cs="Arial"/>
                <w:noProof/>
                <w:szCs w:val="24"/>
                <w:lang w:eastAsia="en-GB"/>
              </w:rPr>
              <w:drawing>
                <wp:inline distT="0" distB="0" distL="0" distR="0" wp14:anchorId="4E6C8322" wp14:editId="33EF8033">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873" w:type="dxa"/>
          </w:tcPr>
          <w:p w:rsidR="00893619" w:rsidRPr="00CE679D" w:rsidRDefault="00CE679D" w:rsidP="00893619">
            <w:pPr>
              <w:spacing w:line="276" w:lineRule="auto"/>
              <w:rPr>
                <w:rFonts w:cs="Arial"/>
                <w:szCs w:val="24"/>
              </w:rPr>
            </w:pPr>
            <w:r w:rsidRPr="00CE679D">
              <w:rPr>
                <w:rFonts w:cs="Arial"/>
                <w:szCs w:val="24"/>
              </w:rPr>
              <w:t>The action plans put in place to address the various audits</w:t>
            </w:r>
            <w:r>
              <w:rPr>
                <w:rFonts w:cs="Arial"/>
                <w:szCs w:val="24"/>
              </w:rPr>
              <w:t xml:space="preserve"> recommendations</w:t>
            </w:r>
            <w:r w:rsidRPr="00CE679D">
              <w:rPr>
                <w:rFonts w:cs="Arial"/>
                <w:szCs w:val="24"/>
              </w:rPr>
              <w:t xml:space="preserve"> have long-term implications for the organisation, its governance and the provision of its services.</w:t>
            </w:r>
            <w:r w:rsidR="00893619" w:rsidRPr="00CE679D">
              <w:rPr>
                <w:rFonts w:cs="Arial"/>
                <w:szCs w:val="24"/>
              </w:rPr>
              <w:t xml:space="preserve"> </w:t>
            </w:r>
          </w:p>
        </w:tc>
      </w:tr>
      <w:tr w:rsidR="00893619" w:rsidRPr="00277F27" w:rsidTr="00893619">
        <w:tc>
          <w:tcPr>
            <w:tcW w:w="3369" w:type="dxa"/>
          </w:tcPr>
          <w:p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0615FDFF" wp14:editId="14BDCE78">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873" w:type="dxa"/>
          </w:tcPr>
          <w:p w:rsidR="00893619" w:rsidRPr="00CE679D" w:rsidRDefault="00CE679D" w:rsidP="00CE679D">
            <w:pPr>
              <w:spacing w:line="276" w:lineRule="auto"/>
              <w:rPr>
                <w:rFonts w:cs="Arial"/>
                <w:szCs w:val="24"/>
              </w:rPr>
            </w:pPr>
            <w:r w:rsidRPr="00CE679D">
              <w:rPr>
                <w:rFonts w:cs="Arial"/>
                <w:szCs w:val="24"/>
              </w:rPr>
              <w:t xml:space="preserve">The action plans put in place to address the various audits </w:t>
            </w:r>
            <w:r>
              <w:rPr>
                <w:rFonts w:cs="Arial"/>
                <w:szCs w:val="24"/>
              </w:rPr>
              <w:t>recommendations strengthen the</w:t>
            </w:r>
            <w:r w:rsidRPr="00CE679D">
              <w:rPr>
                <w:rFonts w:cs="Arial"/>
                <w:szCs w:val="24"/>
              </w:rPr>
              <w:t xml:space="preserve"> governance an</w:t>
            </w:r>
            <w:r>
              <w:rPr>
                <w:rFonts w:cs="Arial"/>
                <w:szCs w:val="24"/>
              </w:rPr>
              <w:t xml:space="preserve">d </w:t>
            </w:r>
            <w:r w:rsidRPr="00CE679D">
              <w:rPr>
                <w:rFonts w:cs="Arial"/>
                <w:szCs w:val="24"/>
              </w:rPr>
              <w:t>provision of its services.</w:t>
            </w:r>
          </w:p>
        </w:tc>
      </w:tr>
      <w:tr w:rsidR="00893619" w:rsidRPr="00277F27" w:rsidTr="00893619">
        <w:tc>
          <w:tcPr>
            <w:tcW w:w="3369" w:type="dxa"/>
          </w:tcPr>
          <w:p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50A69939" wp14:editId="2251126D">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873" w:type="dxa"/>
          </w:tcPr>
          <w:p w:rsidR="00893619" w:rsidRPr="00CE679D" w:rsidRDefault="00CE679D" w:rsidP="00893619">
            <w:pPr>
              <w:spacing w:line="276" w:lineRule="auto"/>
              <w:rPr>
                <w:rFonts w:cs="Arial"/>
                <w:szCs w:val="24"/>
              </w:rPr>
            </w:pPr>
            <w:r w:rsidRPr="00CE679D">
              <w:rPr>
                <w:rFonts w:cs="Arial"/>
                <w:szCs w:val="24"/>
              </w:rPr>
              <w:t xml:space="preserve">The action plans put in place to address the various audits </w:t>
            </w:r>
            <w:r>
              <w:rPr>
                <w:rFonts w:cs="Arial"/>
                <w:szCs w:val="24"/>
              </w:rPr>
              <w:t>recommendations strengthen the</w:t>
            </w:r>
            <w:r w:rsidRPr="00CE679D">
              <w:rPr>
                <w:rFonts w:cs="Arial"/>
                <w:szCs w:val="24"/>
              </w:rPr>
              <w:t xml:space="preserve"> governance an</w:t>
            </w:r>
            <w:r>
              <w:rPr>
                <w:rFonts w:cs="Arial"/>
                <w:szCs w:val="24"/>
              </w:rPr>
              <w:t xml:space="preserve">d </w:t>
            </w:r>
            <w:r w:rsidRPr="00CE679D">
              <w:rPr>
                <w:rFonts w:cs="Arial"/>
                <w:szCs w:val="24"/>
              </w:rPr>
              <w:t>provision of its services.</w:t>
            </w:r>
          </w:p>
        </w:tc>
      </w:tr>
      <w:tr w:rsidR="00893619" w:rsidRPr="00277F27" w:rsidTr="00893619">
        <w:tc>
          <w:tcPr>
            <w:tcW w:w="3369" w:type="dxa"/>
          </w:tcPr>
          <w:p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1B3C9699" wp14:editId="7E6A2B7E">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873" w:type="dxa"/>
            <w:shd w:val="clear" w:color="auto" w:fill="auto"/>
          </w:tcPr>
          <w:p w:rsidR="00893619" w:rsidRPr="00CE679D" w:rsidRDefault="00E35E31" w:rsidP="00E35E31">
            <w:pPr>
              <w:spacing w:line="276" w:lineRule="auto"/>
              <w:rPr>
                <w:rFonts w:cs="Arial"/>
                <w:szCs w:val="24"/>
              </w:rPr>
            </w:pPr>
            <w:r>
              <w:rPr>
                <w:rFonts w:cs="Arial"/>
                <w:szCs w:val="24"/>
              </w:rPr>
              <w:t>The management responses to audit reviews were developed</w:t>
            </w:r>
            <w:r w:rsidR="00893619" w:rsidRPr="00CE679D">
              <w:rPr>
                <w:rFonts w:cs="Arial"/>
                <w:szCs w:val="24"/>
              </w:rPr>
              <w:t xml:space="preserve"> </w:t>
            </w:r>
            <w:r>
              <w:rPr>
                <w:rFonts w:cs="Arial"/>
                <w:szCs w:val="24"/>
              </w:rPr>
              <w:t>in collaboration with staff across the organisation.</w:t>
            </w:r>
          </w:p>
        </w:tc>
      </w:tr>
      <w:tr w:rsidR="00893619" w:rsidRPr="00277F27" w:rsidTr="00893619">
        <w:tc>
          <w:tcPr>
            <w:tcW w:w="3369" w:type="dxa"/>
          </w:tcPr>
          <w:p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4A137EA7" wp14:editId="68EEAC80">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873" w:type="dxa"/>
          </w:tcPr>
          <w:p w:rsidR="00893619" w:rsidRPr="00CE679D" w:rsidRDefault="00E35E31" w:rsidP="00893619">
            <w:pPr>
              <w:spacing w:line="276" w:lineRule="auto"/>
              <w:rPr>
                <w:rFonts w:cs="Arial"/>
                <w:szCs w:val="24"/>
              </w:rPr>
            </w:pPr>
            <w:r>
              <w:rPr>
                <w:rFonts w:cs="Arial"/>
                <w:szCs w:val="24"/>
              </w:rPr>
              <w:t>Responses have been provided by staff in the relevant areas across the organisation.</w:t>
            </w:r>
            <w:r w:rsidR="00893619" w:rsidRPr="00CE679D">
              <w:rPr>
                <w:rFonts w:cs="Arial"/>
                <w:szCs w:val="24"/>
              </w:rPr>
              <w:t xml:space="preserve"> </w:t>
            </w:r>
          </w:p>
        </w:tc>
      </w:tr>
    </w:tbl>
    <w:p w:rsidR="00E07F66" w:rsidRPr="001C60B5" w:rsidRDefault="00E07F66" w:rsidP="00E07F66">
      <w:pPr>
        <w:pStyle w:val="Heading1"/>
        <w:numPr>
          <w:ilvl w:val="0"/>
          <w:numId w:val="2"/>
        </w:numPr>
        <w:rPr>
          <w:szCs w:val="24"/>
        </w:rPr>
      </w:pPr>
      <w:r w:rsidRPr="001C60B5">
        <w:rPr>
          <w:szCs w:val="24"/>
        </w:rPr>
        <w:t>Recommendation</w:t>
      </w:r>
    </w:p>
    <w:p w:rsidR="00E07F66" w:rsidRPr="001C60B5" w:rsidRDefault="00E07F66" w:rsidP="00E07F66">
      <w:pPr>
        <w:rPr>
          <w:szCs w:val="24"/>
        </w:rPr>
      </w:pPr>
    </w:p>
    <w:p w:rsidR="00CE679D" w:rsidRDefault="00CE679D" w:rsidP="00CE679D">
      <w:pPr>
        <w:rPr>
          <w:szCs w:val="24"/>
        </w:rPr>
      </w:pPr>
      <w:r>
        <w:rPr>
          <w:szCs w:val="24"/>
        </w:rPr>
        <w:t xml:space="preserve">The </w:t>
      </w:r>
      <w:r w:rsidRPr="00E5448C">
        <w:rPr>
          <w:szCs w:val="24"/>
        </w:rPr>
        <w:t>Committee</w:t>
      </w:r>
      <w:r w:rsidRPr="001C60B5">
        <w:rPr>
          <w:szCs w:val="24"/>
        </w:rPr>
        <w:t xml:space="preserve"> is asked to: </w:t>
      </w:r>
    </w:p>
    <w:p w:rsidR="00CE679D" w:rsidRPr="00B43013" w:rsidRDefault="00142E6B" w:rsidP="00CE679D">
      <w:pPr>
        <w:numPr>
          <w:ilvl w:val="0"/>
          <w:numId w:val="21"/>
        </w:numPr>
        <w:contextualSpacing/>
        <w:jc w:val="both"/>
        <w:rPr>
          <w:rFonts w:eastAsia="Calibri" w:cs="Times New Roman"/>
          <w:color w:val="FF0000"/>
        </w:rPr>
      </w:pPr>
      <w:r>
        <w:rPr>
          <w:rFonts w:eastAsia="Calibri" w:cs="Times New Roman"/>
          <w:b/>
        </w:rPr>
        <w:t>C</w:t>
      </w:r>
      <w:r w:rsidR="00CE679D">
        <w:rPr>
          <w:rFonts w:eastAsia="Calibri" w:cs="Times New Roman"/>
          <w:b/>
        </w:rPr>
        <w:t>onsider</w:t>
      </w:r>
      <w:r w:rsidR="00CE679D" w:rsidRPr="00E5448C">
        <w:rPr>
          <w:rFonts w:eastAsia="Calibri" w:cs="Times New Roman"/>
          <w:b/>
        </w:rPr>
        <w:t xml:space="preserve"> </w:t>
      </w:r>
      <w:r w:rsidR="00CE679D" w:rsidRPr="00E5448C">
        <w:rPr>
          <w:rFonts w:eastAsia="Calibri" w:cs="Times New Roman"/>
        </w:rPr>
        <w:t>the amendments to the Internal Audit Action Log (Appendix 1).</w:t>
      </w:r>
    </w:p>
    <w:p w:rsidR="00B43013" w:rsidRPr="00E5448C" w:rsidRDefault="00B43013" w:rsidP="00B43013">
      <w:pPr>
        <w:numPr>
          <w:ilvl w:val="0"/>
          <w:numId w:val="21"/>
        </w:numPr>
        <w:contextualSpacing/>
        <w:rPr>
          <w:rFonts w:eastAsia="Calibri" w:cs="Times New Roman"/>
          <w:color w:val="FF0000"/>
        </w:rPr>
      </w:pPr>
      <w:r>
        <w:rPr>
          <w:rFonts w:eastAsia="Calibri" w:cs="Times New Roman"/>
          <w:b/>
        </w:rPr>
        <w:t>Approve</w:t>
      </w:r>
      <w:r w:rsidRPr="00E5448C">
        <w:rPr>
          <w:rFonts w:eastAsia="Calibri" w:cs="Times New Roman"/>
        </w:rPr>
        <w:t xml:space="preserve"> the</w:t>
      </w:r>
      <w:r w:rsidRPr="00E5448C">
        <w:rPr>
          <w:rFonts w:eastAsia="Calibri" w:cs="Times New Roman"/>
          <w:color w:val="FF0000"/>
        </w:rPr>
        <w:t xml:space="preserve"> </w:t>
      </w:r>
      <w:r w:rsidRPr="00E5448C">
        <w:rPr>
          <w:rFonts w:eastAsia="Calibri" w:cs="Times New Roman"/>
        </w:rPr>
        <w:t>request for revised implementation dates in Section 3.1.</w:t>
      </w:r>
      <w:r w:rsidR="00F97D8B">
        <w:rPr>
          <w:rFonts w:eastAsia="Calibri" w:cs="Times New Roman"/>
        </w:rPr>
        <w:t xml:space="preserve"> (Appendix </w:t>
      </w:r>
      <w:r w:rsidR="00A7528F">
        <w:rPr>
          <w:rFonts w:eastAsia="Calibri" w:cs="Times New Roman"/>
        </w:rPr>
        <w:t>1</w:t>
      </w:r>
      <w:bookmarkStart w:id="5" w:name="_GoBack"/>
      <w:bookmarkEnd w:id="5"/>
      <w:r w:rsidR="00F97D8B">
        <w:rPr>
          <w:rFonts w:eastAsia="Calibri" w:cs="Times New Roman"/>
        </w:rPr>
        <w:t>)</w:t>
      </w:r>
    </w:p>
    <w:p w:rsidR="00506C55" w:rsidRPr="008850B6" w:rsidRDefault="00142E6B" w:rsidP="00680CAE">
      <w:pPr>
        <w:numPr>
          <w:ilvl w:val="0"/>
          <w:numId w:val="21"/>
        </w:numPr>
        <w:contextualSpacing/>
        <w:jc w:val="both"/>
        <w:rPr>
          <w:rFonts w:eastAsia="Calibri" w:cs="Times New Roman"/>
        </w:rPr>
      </w:pPr>
      <w:r>
        <w:rPr>
          <w:rFonts w:eastAsia="Calibri" w:cs="Times New Roman"/>
          <w:b/>
        </w:rPr>
        <w:t>A</w:t>
      </w:r>
      <w:r w:rsidR="00CE679D">
        <w:rPr>
          <w:rFonts w:eastAsia="Calibri" w:cs="Times New Roman"/>
          <w:b/>
        </w:rPr>
        <w:t>pprove</w:t>
      </w:r>
      <w:r w:rsidR="00CE679D" w:rsidRPr="00E5448C">
        <w:rPr>
          <w:rFonts w:eastAsia="Calibri" w:cs="Times New Roman"/>
          <w:b/>
        </w:rPr>
        <w:t xml:space="preserve"> </w:t>
      </w:r>
      <w:r w:rsidR="00CE679D" w:rsidRPr="00E5448C">
        <w:rPr>
          <w:rFonts w:eastAsia="Calibri" w:cs="Times New Roman"/>
        </w:rPr>
        <w:t>the completion of the actions detailed in Section 3.</w:t>
      </w:r>
      <w:r w:rsidR="00CE679D">
        <w:rPr>
          <w:rFonts w:eastAsia="Calibri" w:cs="Times New Roman"/>
        </w:rPr>
        <w:t>2</w:t>
      </w:r>
      <w:r w:rsidR="00CE679D" w:rsidRPr="00E5448C">
        <w:rPr>
          <w:rFonts w:eastAsia="Calibri" w:cs="Times New Roman"/>
        </w:rPr>
        <w:t>.</w:t>
      </w:r>
      <w:r w:rsidR="00813197">
        <w:rPr>
          <w:rFonts w:eastAsia="Calibri" w:cs="Times New Roman"/>
        </w:rPr>
        <w:t xml:space="preserve"> (Appendix </w:t>
      </w:r>
      <w:r w:rsidR="00FC74CF">
        <w:rPr>
          <w:rFonts w:eastAsia="Calibri" w:cs="Times New Roman"/>
        </w:rPr>
        <w:t>3</w:t>
      </w:r>
      <w:r w:rsidR="00813197">
        <w:rPr>
          <w:rFonts w:eastAsia="Calibri" w:cs="Times New Roman"/>
        </w:rPr>
        <w:t>)</w:t>
      </w:r>
    </w:p>
    <w:sectPr w:rsidR="00506C55" w:rsidRPr="008850B6" w:rsidSect="00421898">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39E" w:rsidRDefault="00D1339E" w:rsidP="00497F39">
      <w:r>
        <w:separator/>
      </w:r>
    </w:p>
  </w:endnote>
  <w:endnote w:type="continuationSeparator" w:id="0">
    <w:p w:rsidR="00D1339E" w:rsidRDefault="00D1339E"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rsidTr="003B7361">
      <w:tc>
        <w:tcPr>
          <w:tcW w:w="3100" w:type="dxa"/>
        </w:tcPr>
        <w:p w:rsidR="007623DA" w:rsidRPr="00E5448C" w:rsidRDefault="007623DA" w:rsidP="008850B6">
          <w:pPr>
            <w:pStyle w:val="Footer"/>
            <w:tabs>
              <w:tab w:val="right" w:pos="9090"/>
            </w:tabs>
            <w:jc w:val="center"/>
            <w:rPr>
              <w:b/>
              <w:sz w:val="20"/>
            </w:rPr>
          </w:pPr>
          <w:r w:rsidRPr="00E5448C">
            <w:rPr>
              <w:b/>
              <w:sz w:val="20"/>
            </w:rPr>
            <w:t xml:space="preserve">Date: </w:t>
          </w:r>
          <w:r w:rsidRPr="00E5448C">
            <w:rPr>
              <w:sz w:val="20"/>
            </w:rPr>
            <w:t xml:space="preserve"> </w:t>
          </w:r>
          <w:r w:rsidR="008850B6">
            <w:rPr>
              <w:sz w:val="20"/>
            </w:rPr>
            <w:t>April 2021</w:t>
          </w:r>
        </w:p>
      </w:tc>
      <w:tc>
        <w:tcPr>
          <w:tcW w:w="3100" w:type="dxa"/>
        </w:tcPr>
        <w:p w:rsidR="007623DA" w:rsidRPr="00E5448C" w:rsidRDefault="007623DA" w:rsidP="00083853">
          <w:pPr>
            <w:pStyle w:val="Footer"/>
            <w:tabs>
              <w:tab w:val="center" w:pos="1433"/>
              <w:tab w:val="right" w:pos="2866"/>
              <w:tab w:val="right" w:pos="9090"/>
            </w:tabs>
            <w:jc w:val="center"/>
            <w:rPr>
              <w:b/>
              <w:sz w:val="20"/>
            </w:rPr>
          </w:pPr>
          <w:r w:rsidRPr="00E5448C">
            <w:rPr>
              <w:b/>
              <w:sz w:val="20"/>
            </w:rPr>
            <w:t>Version:</w:t>
          </w:r>
          <w:r w:rsidRPr="00E5448C">
            <w:rPr>
              <w:sz w:val="20"/>
            </w:rPr>
            <w:t xml:space="preserve"> </w:t>
          </w:r>
          <w:r w:rsidR="00083853">
            <w:rPr>
              <w:sz w:val="20"/>
            </w:rPr>
            <w:t>1.0</w:t>
          </w:r>
        </w:p>
      </w:tc>
      <w:tc>
        <w:tcPr>
          <w:tcW w:w="3101" w:type="dxa"/>
        </w:tcPr>
        <w:p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A7528F">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A7528F">
            <w:rPr>
              <w:rStyle w:val="PageNumber"/>
              <w:noProof/>
              <w:sz w:val="20"/>
            </w:rPr>
            <w:t>5</w:t>
          </w:r>
          <w:r w:rsidRPr="00511AFF">
            <w:rPr>
              <w:rStyle w:val="PageNumber"/>
              <w:sz w:val="20"/>
            </w:rPr>
            <w:fldChar w:fldCharType="end"/>
          </w:r>
        </w:p>
      </w:tc>
    </w:tr>
  </w:tbl>
  <w:p w:rsidR="007623DA" w:rsidRPr="00FA7943" w:rsidRDefault="007623D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676"/>
      <w:gridCol w:w="13041"/>
    </w:tblGrid>
    <w:tr w:rsidR="00FD7AF2" w:rsidRPr="00511AFF" w:rsidTr="00046673">
      <w:tc>
        <w:tcPr>
          <w:tcW w:w="4824" w:type="dxa"/>
        </w:tcPr>
        <w:p w:rsidR="00FD7AF2" w:rsidRPr="00E5448C" w:rsidRDefault="00FD7AF2" w:rsidP="008850B6">
          <w:pPr>
            <w:pStyle w:val="Footer"/>
            <w:tabs>
              <w:tab w:val="right" w:pos="9090"/>
            </w:tabs>
            <w:jc w:val="center"/>
            <w:rPr>
              <w:b/>
              <w:sz w:val="20"/>
            </w:rPr>
          </w:pPr>
          <w:r w:rsidRPr="00E5448C">
            <w:rPr>
              <w:b/>
              <w:sz w:val="20"/>
            </w:rPr>
            <w:t xml:space="preserve">Date: </w:t>
          </w:r>
          <w:r w:rsidRPr="00E5448C">
            <w:rPr>
              <w:sz w:val="20"/>
            </w:rPr>
            <w:t xml:space="preserve"> </w:t>
          </w:r>
          <w:r w:rsidR="008850B6">
            <w:rPr>
              <w:sz w:val="20"/>
            </w:rPr>
            <w:t>April 2021</w:t>
          </w:r>
        </w:p>
      </w:tc>
      <w:tc>
        <w:tcPr>
          <w:tcW w:w="3676" w:type="dxa"/>
        </w:tcPr>
        <w:p w:rsidR="00FD7AF2" w:rsidRPr="00E5448C" w:rsidRDefault="00FD7AF2" w:rsidP="00FE177D">
          <w:pPr>
            <w:pStyle w:val="Footer"/>
            <w:tabs>
              <w:tab w:val="center" w:pos="1433"/>
              <w:tab w:val="right" w:pos="2866"/>
              <w:tab w:val="right" w:pos="9090"/>
            </w:tabs>
            <w:jc w:val="center"/>
            <w:rPr>
              <w:b/>
              <w:sz w:val="20"/>
            </w:rPr>
          </w:pPr>
          <w:r w:rsidRPr="00E5448C">
            <w:rPr>
              <w:b/>
              <w:sz w:val="20"/>
            </w:rPr>
            <w:t>Version:</w:t>
          </w:r>
          <w:r w:rsidRPr="00E5448C">
            <w:rPr>
              <w:sz w:val="20"/>
            </w:rPr>
            <w:t xml:space="preserve"> </w:t>
          </w:r>
          <w:r w:rsidR="006B3840">
            <w:rPr>
              <w:sz w:val="20"/>
            </w:rPr>
            <w:t>1</w:t>
          </w:r>
          <w:r w:rsidR="00FD6BBA">
            <w:rPr>
              <w:sz w:val="20"/>
            </w:rPr>
            <w:t>.0</w:t>
          </w:r>
        </w:p>
      </w:tc>
      <w:tc>
        <w:tcPr>
          <w:tcW w:w="13041" w:type="dxa"/>
        </w:tcPr>
        <w:p w:rsidR="00FD7AF2" w:rsidRPr="00511AFF" w:rsidRDefault="00FD7AF2" w:rsidP="00FD7AF2">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A7528F">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A7528F">
            <w:rPr>
              <w:rStyle w:val="PageNumber"/>
              <w:noProof/>
              <w:sz w:val="20"/>
            </w:rPr>
            <w:t>5</w:t>
          </w:r>
          <w:r w:rsidRPr="00511AFF">
            <w:rPr>
              <w:rStyle w:val="PageNumber"/>
              <w:sz w:val="20"/>
            </w:rPr>
            <w:fldChar w:fldCharType="end"/>
          </w:r>
        </w:p>
      </w:tc>
    </w:tr>
  </w:tbl>
  <w:p w:rsidR="00FD7AF2" w:rsidRPr="00FA7943" w:rsidRDefault="00FD7AF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39E" w:rsidRDefault="00D1339E" w:rsidP="00497F39">
      <w:r>
        <w:separator/>
      </w:r>
    </w:p>
  </w:footnote>
  <w:footnote w:type="continuationSeparator" w:id="0">
    <w:p w:rsidR="00D1339E" w:rsidRDefault="00D1339E"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991BFC"/>
    <w:multiLevelType w:val="hybridMultilevel"/>
    <w:tmpl w:val="BE16E2AC"/>
    <w:lvl w:ilvl="0" w:tplc="675CC8F6">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881CE6"/>
    <w:multiLevelType w:val="multilevel"/>
    <w:tmpl w:val="AB16D936"/>
    <w:lvl w:ilvl="0">
      <w:start w:val="3"/>
      <w:numFmt w:val="decimal"/>
      <w:lvlText w:val="%1"/>
      <w:lvlJc w:val="left"/>
      <w:pPr>
        <w:ind w:left="430" w:hanging="43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21"/>
  </w:num>
  <w:num w:numId="4">
    <w:abstractNumId w:val="12"/>
  </w:num>
  <w:num w:numId="5">
    <w:abstractNumId w:val="0"/>
  </w:num>
  <w:num w:numId="6">
    <w:abstractNumId w:val="6"/>
  </w:num>
  <w:num w:numId="7">
    <w:abstractNumId w:val="5"/>
  </w:num>
  <w:num w:numId="8">
    <w:abstractNumId w:val="11"/>
  </w:num>
  <w:num w:numId="9">
    <w:abstractNumId w:val="15"/>
  </w:num>
  <w:num w:numId="10">
    <w:abstractNumId w:val="4"/>
  </w:num>
  <w:num w:numId="11">
    <w:abstractNumId w:val="16"/>
  </w:num>
  <w:num w:numId="12">
    <w:abstractNumId w:val="3"/>
  </w:num>
  <w:num w:numId="13">
    <w:abstractNumId w:val="8"/>
  </w:num>
  <w:num w:numId="14">
    <w:abstractNumId w:val="10"/>
  </w:num>
  <w:num w:numId="15">
    <w:abstractNumId w:val="2"/>
  </w:num>
  <w:num w:numId="16">
    <w:abstractNumId w:val="20"/>
  </w:num>
  <w:num w:numId="17">
    <w:abstractNumId w:val="13"/>
  </w:num>
  <w:num w:numId="18">
    <w:abstractNumId w:val="19"/>
  </w:num>
  <w:num w:numId="19">
    <w:abstractNumId w:val="18"/>
  </w:num>
  <w:num w:numId="20">
    <w:abstractNumId w:val="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05678"/>
    <w:rsid w:val="0001336B"/>
    <w:rsid w:val="00014AC2"/>
    <w:rsid w:val="00046673"/>
    <w:rsid w:val="00051CDC"/>
    <w:rsid w:val="00051E74"/>
    <w:rsid w:val="00057CFB"/>
    <w:rsid w:val="00083853"/>
    <w:rsid w:val="00097ACD"/>
    <w:rsid w:val="000A1C84"/>
    <w:rsid w:val="000B1391"/>
    <w:rsid w:val="000B306B"/>
    <w:rsid w:val="000F46F4"/>
    <w:rsid w:val="000F5A72"/>
    <w:rsid w:val="0011130A"/>
    <w:rsid w:val="00121679"/>
    <w:rsid w:val="00123FD2"/>
    <w:rsid w:val="00126327"/>
    <w:rsid w:val="001272F6"/>
    <w:rsid w:val="0013075E"/>
    <w:rsid w:val="00133373"/>
    <w:rsid w:val="00142E6B"/>
    <w:rsid w:val="00167296"/>
    <w:rsid w:val="001837A1"/>
    <w:rsid w:val="001B2A97"/>
    <w:rsid w:val="001B3428"/>
    <w:rsid w:val="001C02C6"/>
    <w:rsid w:val="001C305C"/>
    <w:rsid w:val="001C405D"/>
    <w:rsid w:val="001C60B5"/>
    <w:rsid w:val="001D0D9B"/>
    <w:rsid w:val="001E1AD5"/>
    <w:rsid w:val="001F6625"/>
    <w:rsid w:val="001F730F"/>
    <w:rsid w:val="00202AB8"/>
    <w:rsid w:val="00211B9D"/>
    <w:rsid w:val="00214BA4"/>
    <w:rsid w:val="0022713F"/>
    <w:rsid w:val="00250088"/>
    <w:rsid w:val="00257CD2"/>
    <w:rsid w:val="00260DDE"/>
    <w:rsid w:val="00267911"/>
    <w:rsid w:val="00273D26"/>
    <w:rsid w:val="002753B3"/>
    <w:rsid w:val="0027708F"/>
    <w:rsid w:val="00296664"/>
    <w:rsid w:val="00297CF8"/>
    <w:rsid w:val="002B0BC9"/>
    <w:rsid w:val="002B712E"/>
    <w:rsid w:val="002C0A83"/>
    <w:rsid w:val="002C170B"/>
    <w:rsid w:val="002C6A6B"/>
    <w:rsid w:val="002D11B1"/>
    <w:rsid w:val="002E6258"/>
    <w:rsid w:val="003013A3"/>
    <w:rsid w:val="003018F5"/>
    <w:rsid w:val="00304FD0"/>
    <w:rsid w:val="00305721"/>
    <w:rsid w:val="003147DA"/>
    <w:rsid w:val="00322403"/>
    <w:rsid w:val="00322D2E"/>
    <w:rsid w:val="00326EC6"/>
    <w:rsid w:val="003372E1"/>
    <w:rsid w:val="00337864"/>
    <w:rsid w:val="003404F6"/>
    <w:rsid w:val="003461AF"/>
    <w:rsid w:val="00352570"/>
    <w:rsid w:val="00361B9A"/>
    <w:rsid w:val="00371966"/>
    <w:rsid w:val="003A3414"/>
    <w:rsid w:val="003B40BB"/>
    <w:rsid w:val="003B7361"/>
    <w:rsid w:val="003B7B09"/>
    <w:rsid w:val="003C6952"/>
    <w:rsid w:val="003E304D"/>
    <w:rsid w:val="003F3D59"/>
    <w:rsid w:val="003F3E7F"/>
    <w:rsid w:val="003F7581"/>
    <w:rsid w:val="0040037A"/>
    <w:rsid w:val="00407604"/>
    <w:rsid w:val="00421898"/>
    <w:rsid w:val="00427779"/>
    <w:rsid w:val="004375CA"/>
    <w:rsid w:val="0044165A"/>
    <w:rsid w:val="00446F82"/>
    <w:rsid w:val="0046169C"/>
    <w:rsid w:val="00476DD1"/>
    <w:rsid w:val="00480353"/>
    <w:rsid w:val="004939C2"/>
    <w:rsid w:val="0049791D"/>
    <w:rsid w:val="00497F39"/>
    <w:rsid w:val="004A4626"/>
    <w:rsid w:val="004A4F1A"/>
    <w:rsid w:val="004A6253"/>
    <w:rsid w:val="004B2058"/>
    <w:rsid w:val="004B31A5"/>
    <w:rsid w:val="004D632B"/>
    <w:rsid w:val="004F24A1"/>
    <w:rsid w:val="004F410B"/>
    <w:rsid w:val="00504A87"/>
    <w:rsid w:val="00506C55"/>
    <w:rsid w:val="00516EBA"/>
    <w:rsid w:val="0052328C"/>
    <w:rsid w:val="00536FA4"/>
    <w:rsid w:val="005418C9"/>
    <w:rsid w:val="00541E50"/>
    <w:rsid w:val="00544C9E"/>
    <w:rsid w:val="005461E6"/>
    <w:rsid w:val="00554429"/>
    <w:rsid w:val="0055720E"/>
    <w:rsid w:val="00564789"/>
    <w:rsid w:val="005767ED"/>
    <w:rsid w:val="00577744"/>
    <w:rsid w:val="00590736"/>
    <w:rsid w:val="00594006"/>
    <w:rsid w:val="005B4E75"/>
    <w:rsid w:val="005C1BED"/>
    <w:rsid w:val="005C7D40"/>
    <w:rsid w:val="005D1D72"/>
    <w:rsid w:val="005E33CB"/>
    <w:rsid w:val="00606AF3"/>
    <w:rsid w:val="00607476"/>
    <w:rsid w:val="00611958"/>
    <w:rsid w:val="006178BB"/>
    <w:rsid w:val="006310BB"/>
    <w:rsid w:val="00657B25"/>
    <w:rsid w:val="00660772"/>
    <w:rsid w:val="00661078"/>
    <w:rsid w:val="00662098"/>
    <w:rsid w:val="00670182"/>
    <w:rsid w:val="00672175"/>
    <w:rsid w:val="00680248"/>
    <w:rsid w:val="00680CAE"/>
    <w:rsid w:val="0068275A"/>
    <w:rsid w:val="0068334E"/>
    <w:rsid w:val="00697D40"/>
    <w:rsid w:val="006A05B6"/>
    <w:rsid w:val="006B3840"/>
    <w:rsid w:val="006C3E4D"/>
    <w:rsid w:val="006C4A51"/>
    <w:rsid w:val="006C5696"/>
    <w:rsid w:val="006E3346"/>
    <w:rsid w:val="006F654D"/>
    <w:rsid w:val="0072079C"/>
    <w:rsid w:val="00723EC1"/>
    <w:rsid w:val="007366F7"/>
    <w:rsid w:val="00737008"/>
    <w:rsid w:val="00754449"/>
    <w:rsid w:val="007623DA"/>
    <w:rsid w:val="007774C7"/>
    <w:rsid w:val="0079005B"/>
    <w:rsid w:val="007A47F5"/>
    <w:rsid w:val="007B702B"/>
    <w:rsid w:val="007D01C9"/>
    <w:rsid w:val="007D03B8"/>
    <w:rsid w:val="007D04C7"/>
    <w:rsid w:val="007D79E4"/>
    <w:rsid w:val="007E22CE"/>
    <w:rsid w:val="007F7EA7"/>
    <w:rsid w:val="008027F8"/>
    <w:rsid w:val="008036D5"/>
    <w:rsid w:val="00805FAF"/>
    <w:rsid w:val="00810FAE"/>
    <w:rsid w:val="00813197"/>
    <w:rsid w:val="008132B4"/>
    <w:rsid w:val="00824A4C"/>
    <w:rsid w:val="00824D05"/>
    <w:rsid w:val="00845173"/>
    <w:rsid w:val="008524C0"/>
    <w:rsid w:val="008617B0"/>
    <w:rsid w:val="008653E0"/>
    <w:rsid w:val="0087331D"/>
    <w:rsid w:val="00875D6E"/>
    <w:rsid w:val="00880111"/>
    <w:rsid w:val="008844EF"/>
    <w:rsid w:val="008850B6"/>
    <w:rsid w:val="008902AA"/>
    <w:rsid w:val="00890A9D"/>
    <w:rsid w:val="00893123"/>
    <w:rsid w:val="00893619"/>
    <w:rsid w:val="008939E6"/>
    <w:rsid w:val="008A2D5F"/>
    <w:rsid w:val="008C12E0"/>
    <w:rsid w:val="008C745A"/>
    <w:rsid w:val="008D21D1"/>
    <w:rsid w:val="008D4CCD"/>
    <w:rsid w:val="008D551E"/>
    <w:rsid w:val="008F01B8"/>
    <w:rsid w:val="008F1F7E"/>
    <w:rsid w:val="00910DAE"/>
    <w:rsid w:val="00911572"/>
    <w:rsid w:val="00912C7B"/>
    <w:rsid w:val="00916053"/>
    <w:rsid w:val="00921F72"/>
    <w:rsid w:val="00922E7F"/>
    <w:rsid w:val="009233B4"/>
    <w:rsid w:val="00923A14"/>
    <w:rsid w:val="009328E2"/>
    <w:rsid w:val="0094199D"/>
    <w:rsid w:val="00961E2C"/>
    <w:rsid w:val="00980587"/>
    <w:rsid w:val="00980F99"/>
    <w:rsid w:val="0098365C"/>
    <w:rsid w:val="00985D20"/>
    <w:rsid w:val="009878C1"/>
    <w:rsid w:val="00987E54"/>
    <w:rsid w:val="009A3184"/>
    <w:rsid w:val="009B2519"/>
    <w:rsid w:val="009C0B0C"/>
    <w:rsid w:val="009F7E36"/>
    <w:rsid w:val="009F7F6B"/>
    <w:rsid w:val="00A25B36"/>
    <w:rsid w:val="00A25B7A"/>
    <w:rsid w:val="00A2796D"/>
    <w:rsid w:val="00A279F5"/>
    <w:rsid w:val="00A34009"/>
    <w:rsid w:val="00A41832"/>
    <w:rsid w:val="00A435F1"/>
    <w:rsid w:val="00A56D26"/>
    <w:rsid w:val="00A56F7B"/>
    <w:rsid w:val="00A60D6C"/>
    <w:rsid w:val="00A6215B"/>
    <w:rsid w:val="00A7528F"/>
    <w:rsid w:val="00A86E5F"/>
    <w:rsid w:val="00A86EA6"/>
    <w:rsid w:val="00A86FCD"/>
    <w:rsid w:val="00A871AB"/>
    <w:rsid w:val="00AA2467"/>
    <w:rsid w:val="00AB112A"/>
    <w:rsid w:val="00AB1D8E"/>
    <w:rsid w:val="00AC45EB"/>
    <w:rsid w:val="00AC5841"/>
    <w:rsid w:val="00AC6EA7"/>
    <w:rsid w:val="00AD7227"/>
    <w:rsid w:val="00AE063E"/>
    <w:rsid w:val="00AE3D01"/>
    <w:rsid w:val="00AF3146"/>
    <w:rsid w:val="00B00419"/>
    <w:rsid w:val="00B175DB"/>
    <w:rsid w:val="00B43013"/>
    <w:rsid w:val="00B45D4B"/>
    <w:rsid w:val="00B47936"/>
    <w:rsid w:val="00B509E3"/>
    <w:rsid w:val="00B62289"/>
    <w:rsid w:val="00B65F2D"/>
    <w:rsid w:val="00B67B4A"/>
    <w:rsid w:val="00B80218"/>
    <w:rsid w:val="00B936DE"/>
    <w:rsid w:val="00B94BB0"/>
    <w:rsid w:val="00BA3E2A"/>
    <w:rsid w:val="00BA4646"/>
    <w:rsid w:val="00BC39AE"/>
    <w:rsid w:val="00BC5B9C"/>
    <w:rsid w:val="00BF07C7"/>
    <w:rsid w:val="00BF3E39"/>
    <w:rsid w:val="00BF6A70"/>
    <w:rsid w:val="00C028E0"/>
    <w:rsid w:val="00C05D9F"/>
    <w:rsid w:val="00C11EDA"/>
    <w:rsid w:val="00C131FD"/>
    <w:rsid w:val="00C1444B"/>
    <w:rsid w:val="00C17DDB"/>
    <w:rsid w:val="00C3150C"/>
    <w:rsid w:val="00C43F96"/>
    <w:rsid w:val="00C47EE7"/>
    <w:rsid w:val="00C87F23"/>
    <w:rsid w:val="00C9163D"/>
    <w:rsid w:val="00C91961"/>
    <w:rsid w:val="00CA4D3A"/>
    <w:rsid w:val="00CA4DA9"/>
    <w:rsid w:val="00CA5841"/>
    <w:rsid w:val="00CA7E0D"/>
    <w:rsid w:val="00CB0E6B"/>
    <w:rsid w:val="00CC764D"/>
    <w:rsid w:val="00CD129E"/>
    <w:rsid w:val="00CD799F"/>
    <w:rsid w:val="00CE679D"/>
    <w:rsid w:val="00CE6EB8"/>
    <w:rsid w:val="00CF7674"/>
    <w:rsid w:val="00D06FB6"/>
    <w:rsid w:val="00D1136F"/>
    <w:rsid w:val="00D11AD1"/>
    <w:rsid w:val="00D1339E"/>
    <w:rsid w:val="00D162C7"/>
    <w:rsid w:val="00D22853"/>
    <w:rsid w:val="00D25D84"/>
    <w:rsid w:val="00D26E48"/>
    <w:rsid w:val="00D34F08"/>
    <w:rsid w:val="00D41503"/>
    <w:rsid w:val="00D45A01"/>
    <w:rsid w:val="00D475D0"/>
    <w:rsid w:val="00D55785"/>
    <w:rsid w:val="00D60F40"/>
    <w:rsid w:val="00D64BA8"/>
    <w:rsid w:val="00D64D43"/>
    <w:rsid w:val="00D713DC"/>
    <w:rsid w:val="00D72F00"/>
    <w:rsid w:val="00D74461"/>
    <w:rsid w:val="00D87080"/>
    <w:rsid w:val="00D95757"/>
    <w:rsid w:val="00DA2383"/>
    <w:rsid w:val="00DB1FB5"/>
    <w:rsid w:val="00DC594E"/>
    <w:rsid w:val="00DD3D71"/>
    <w:rsid w:val="00DD67A9"/>
    <w:rsid w:val="00DE7DF5"/>
    <w:rsid w:val="00DF0A45"/>
    <w:rsid w:val="00E0082C"/>
    <w:rsid w:val="00E01426"/>
    <w:rsid w:val="00E02A10"/>
    <w:rsid w:val="00E071A5"/>
    <w:rsid w:val="00E07F66"/>
    <w:rsid w:val="00E11F44"/>
    <w:rsid w:val="00E24001"/>
    <w:rsid w:val="00E33185"/>
    <w:rsid w:val="00E333F3"/>
    <w:rsid w:val="00E343B1"/>
    <w:rsid w:val="00E35E31"/>
    <w:rsid w:val="00E371EA"/>
    <w:rsid w:val="00E37B54"/>
    <w:rsid w:val="00E43AC8"/>
    <w:rsid w:val="00E5448C"/>
    <w:rsid w:val="00E56DBB"/>
    <w:rsid w:val="00E805CD"/>
    <w:rsid w:val="00E8303E"/>
    <w:rsid w:val="00E84C2C"/>
    <w:rsid w:val="00EA23FA"/>
    <w:rsid w:val="00EA4379"/>
    <w:rsid w:val="00EB0841"/>
    <w:rsid w:val="00EC6188"/>
    <w:rsid w:val="00EE1810"/>
    <w:rsid w:val="00EE7097"/>
    <w:rsid w:val="00F2582A"/>
    <w:rsid w:val="00F31C10"/>
    <w:rsid w:val="00F41E83"/>
    <w:rsid w:val="00F47896"/>
    <w:rsid w:val="00F479A1"/>
    <w:rsid w:val="00F506D5"/>
    <w:rsid w:val="00F509D5"/>
    <w:rsid w:val="00F75D0D"/>
    <w:rsid w:val="00F80C35"/>
    <w:rsid w:val="00F95B15"/>
    <w:rsid w:val="00F97D8B"/>
    <w:rsid w:val="00FA7943"/>
    <w:rsid w:val="00FB1E29"/>
    <w:rsid w:val="00FB67EB"/>
    <w:rsid w:val="00FC2859"/>
    <w:rsid w:val="00FC4EF8"/>
    <w:rsid w:val="00FC74CF"/>
    <w:rsid w:val="00FC7FAE"/>
    <w:rsid w:val="00FD1D43"/>
    <w:rsid w:val="00FD532E"/>
    <w:rsid w:val="00FD6BBA"/>
    <w:rsid w:val="00FD7AF2"/>
    <w:rsid w:val="00FE177D"/>
    <w:rsid w:val="00FE38E2"/>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4458F59"/>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E5448C"/>
    <w:pPr>
      <w:autoSpaceDE w:val="0"/>
      <w:autoSpaceDN w:val="0"/>
      <w:adjustRightInd w:val="0"/>
      <w:spacing w:line="241" w:lineRule="atLeast"/>
    </w:pPr>
    <w:rPr>
      <w:rFonts w:ascii="Helvetica 45 Light" w:hAnsi="Helvetica 45 Light"/>
      <w:szCs w:val="24"/>
    </w:rPr>
  </w:style>
  <w:style w:type="table" w:customStyle="1" w:styleId="TableGrid1">
    <w:name w:val="Table Grid1"/>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053">
      <w:bodyDiv w:val="1"/>
      <w:marLeft w:val="0"/>
      <w:marRight w:val="0"/>
      <w:marTop w:val="0"/>
      <w:marBottom w:val="0"/>
      <w:divBdr>
        <w:top w:val="none" w:sz="0" w:space="0" w:color="auto"/>
        <w:left w:val="none" w:sz="0" w:space="0" w:color="auto"/>
        <w:bottom w:val="none" w:sz="0" w:space="0" w:color="auto"/>
        <w:right w:val="none" w:sz="0" w:space="0" w:color="auto"/>
      </w:divBdr>
    </w:div>
    <w:div w:id="333266261">
      <w:bodyDiv w:val="1"/>
      <w:marLeft w:val="0"/>
      <w:marRight w:val="0"/>
      <w:marTop w:val="0"/>
      <w:marBottom w:val="0"/>
      <w:divBdr>
        <w:top w:val="none" w:sz="0" w:space="0" w:color="auto"/>
        <w:left w:val="none" w:sz="0" w:space="0" w:color="auto"/>
        <w:bottom w:val="none" w:sz="0" w:space="0" w:color="auto"/>
        <w:right w:val="none" w:sz="0" w:space="0" w:color="auto"/>
      </w:divBdr>
    </w:div>
    <w:div w:id="388260532">
      <w:bodyDiv w:val="1"/>
      <w:marLeft w:val="0"/>
      <w:marRight w:val="0"/>
      <w:marTop w:val="0"/>
      <w:marBottom w:val="0"/>
      <w:divBdr>
        <w:top w:val="none" w:sz="0" w:space="0" w:color="auto"/>
        <w:left w:val="none" w:sz="0" w:space="0" w:color="auto"/>
        <w:bottom w:val="none" w:sz="0" w:space="0" w:color="auto"/>
        <w:right w:val="none" w:sz="0" w:space="0" w:color="auto"/>
      </w:divBdr>
    </w:div>
    <w:div w:id="392778000">
      <w:bodyDiv w:val="1"/>
      <w:marLeft w:val="0"/>
      <w:marRight w:val="0"/>
      <w:marTop w:val="0"/>
      <w:marBottom w:val="0"/>
      <w:divBdr>
        <w:top w:val="none" w:sz="0" w:space="0" w:color="auto"/>
        <w:left w:val="none" w:sz="0" w:space="0" w:color="auto"/>
        <w:bottom w:val="none" w:sz="0" w:space="0" w:color="auto"/>
        <w:right w:val="none" w:sz="0" w:space="0" w:color="auto"/>
      </w:divBdr>
    </w:div>
    <w:div w:id="414203912">
      <w:bodyDiv w:val="1"/>
      <w:marLeft w:val="0"/>
      <w:marRight w:val="0"/>
      <w:marTop w:val="0"/>
      <w:marBottom w:val="0"/>
      <w:divBdr>
        <w:top w:val="none" w:sz="0" w:space="0" w:color="auto"/>
        <w:left w:val="none" w:sz="0" w:space="0" w:color="auto"/>
        <w:bottom w:val="none" w:sz="0" w:space="0" w:color="auto"/>
        <w:right w:val="none" w:sz="0" w:space="0" w:color="auto"/>
      </w:divBdr>
    </w:div>
    <w:div w:id="422187433">
      <w:bodyDiv w:val="1"/>
      <w:marLeft w:val="0"/>
      <w:marRight w:val="0"/>
      <w:marTop w:val="0"/>
      <w:marBottom w:val="0"/>
      <w:divBdr>
        <w:top w:val="none" w:sz="0" w:space="0" w:color="auto"/>
        <w:left w:val="none" w:sz="0" w:space="0" w:color="auto"/>
        <w:bottom w:val="none" w:sz="0" w:space="0" w:color="auto"/>
        <w:right w:val="none" w:sz="0" w:space="0" w:color="auto"/>
      </w:divBdr>
    </w:div>
    <w:div w:id="484787019">
      <w:bodyDiv w:val="1"/>
      <w:marLeft w:val="0"/>
      <w:marRight w:val="0"/>
      <w:marTop w:val="0"/>
      <w:marBottom w:val="0"/>
      <w:divBdr>
        <w:top w:val="none" w:sz="0" w:space="0" w:color="auto"/>
        <w:left w:val="none" w:sz="0" w:space="0" w:color="auto"/>
        <w:bottom w:val="none" w:sz="0" w:space="0" w:color="auto"/>
        <w:right w:val="none" w:sz="0" w:space="0" w:color="auto"/>
      </w:divBdr>
    </w:div>
    <w:div w:id="564950011">
      <w:bodyDiv w:val="1"/>
      <w:marLeft w:val="0"/>
      <w:marRight w:val="0"/>
      <w:marTop w:val="0"/>
      <w:marBottom w:val="0"/>
      <w:divBdr>
        <w:top w:val="none" w:sz="0" w:space="0" w:color="auto"/>
        <w:left w:val="none" w:sz="0" w:space="0" w:color="auto"/>
        <w:bottom w:val="none" w:sz="0" w:space="0" w:color="auto"/>
        <w:right w:val="none" w:sz="0" w:space="0" w:color="auto"/>
      </w:divBdr>
    </w:div>
    <w:div w:id="691227232">
      <w:bodyDiv w:val="1"/>
      <w:marLeft w:val="0"/>
      <w:marRight w:val="0"/>
      <w:marTop w:val="0"/>
      <w:marBottom w:val="0"/>
      <w:divBdr>
        <w:top w:val="none" w:sz="0" w:space="0" w:color="auto"/>
        <w:left w:val="none" w:sz="0" w:space="0" w:color="auto"/>
        <w:bottom w:val="none" w:sz="0" w:space="0" w:color="auto"/>
        <w:right w:val="none" w:sz="0" w:space="0" w:color="auto"/>
      </w:divBdr>
    </w:div>
    <w:div w:id="784957192">
      <w:bodyDiv w:val="1"/>
      <w:marLeft w:val="0"/>
      <w:marRight w:val="0"/>
      <w:marTop w:val="0"/>
      <w:marBottom w:val="0"/>
      <w:divBdr>
        <w:top w:val="none" w:sz="0" w:space="0" w:color="auto"/>
        <w:left w:val="none" w:sz="0" w:space="0" w:color="auto"/>
        <w:bottom w:val="none" w:sz="0" w:space="0" w:color="auto"/>
        <w:right w:val="none" w:sz="0" w:space="0" w:color="auto"/>
      </w:divBdr>
    </w:div>
    <w:div w:id="843015564">
      <w:bodyDiv w:val="1"/>
      <w:marLeft w:val="0"/>
      <w:marRight w:val="0"/>
      <w:marTop w:val="0"/>
      <w:marBottom w:val="0"/>
      <w:divBdr>
        <w:top w:val="none" w:sz="0" w:space="0" w:color="auto"/>
        <w:left w:val="none" w:sz="0" w:space="0" w:color="auto"/>
        <w:bottom w:val="none" w:sz="0" w:space="0" w:color="auto"/>
        <w:right w:val="none" w:sz="0" w:space="0" w:color="auto"/>
      </w:divBdr>
    </w:div>
    <w:div w:id="877013330">
      <w:bodyDiv w:val="1"/>
      <w:marLeft w:val="0"/>
      <w:marRight w:val="0"/>
      <w:marTop w:val="0"/>
      <w:marBottom w:val="0"/>
      <w:divBdr>
        <w:top w:val="none" w:sz="0" w:space="0" w:color="auto"/>
        <w:left w:val="none" w:sz="0" w:space="0" w:color="auto"/>
        <w:bottom w:val="none" w:sz="0" w:space="0" w:color="auto"/>
        <w:right w:val="none" w:sz="0" w:space="0" w:color="auto"/>
      </w:divBdr>
    </w:div>
    <w:div w:id="914822359">
      <w:bodyDiv w:val="1"/>
      <w:marLeft w:val="0"/>
      <w:marRight w:val="0"/>
      <w:marTop w:val="0"/>
      <w:marBottom w:val="0"/>
      <w:divBdr>
        <w:top w:val="none" w:sz="0" w:space="0" w:color="auto"/>
        <w:left w:val="none" w:sz="0" w:space="0" w:color="auto"/>
        <w:bottom w:val="none" w:sz="0" w:space="0" w:color="auto"/>
        <w:right w:val="none" w:sz="0" w:space="0" w:color="auto"/>
      </w:divBdr>
    </w:div>
    <w:div w:id="946817198">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193376566">
      <w:bodyDiv w:val="1"/>
      <w:marLeft w:val="0"/>
      <w:marRight w:val="0"/>
      <w:marTop w:val="0"/>
      <w:marBottom w:val="0"/>
      <w:divBdr>
        <w:top w:val="none" w:sz="0" w:space="0" w:color="auto"/>
        <w:left w:val="none" w:sz="0" w:space="0" w:color="auto"/>
        <w:bottom w:val="none" w:sz="0" w:space="0" w:color="auto"/>
        <w:right w:val="none" w:sz="0" w:space="0" w:color="auto"/>
      </w:divBdr>
    </w:div>
    <w:div w:id="1210998181">
      <w:bodyDiv w:val="1"/>
      <w:marLeft w:val="0"/>
      <w:marRight w:val="0"/>
      <w:marTop w:val="0"/>
      <w:marBottom w:val="0"/>
      <w:divBdr>
        <w:top w:val="none" w:sz="0" w:space="0" w:color="auto"/>
        <w:left w:val="none" w:sz="0" w:space="0" w:color="auto"/>
        <w:bottom w:val="none" w:sz="0" w:space="0" w:color="auto"/>
        <w:right w:val="none" w:sz="0" w:space="0" w:color="auto"/>
      </w:divBdr>
    </w:div>
    <w:div w:id="1257250024">
      <w:bodyDiv w:val="1"/>
      <w:marLeft w:val="0"/>
      <w:marRight w:val="0"/>
      <w:marTop w:val="0"/>
      <w:marBottom w:val="0"/>
      <w:divBdr>
        <w:top w:val="none" w:sz="0" w:space="0" w:color="auto"/>
        <w:left w:val="none" w:sz="0" w:space="0" w:color="auto"/>
        <w:bottom w:val="none" w:sz="0" w:space="0" w:color="auto"/>
        <w:right w:val="none" w:sz="0" w:space="0" w:color="auto"/>
      </w:divBdr>
    </w:div>
    <w:div w:id="1261721206">
      <w:bodyDiv w:val="1"/>
      <w:marLeft w:val="0"/>
      <w:marRight w:val="0"/>
      <w:marTop w:val="0"/>
      <w:marBottom w:val="0"/>
      <w:divBdr>
        <w:top w:val="none" w:sz="0" w:space="0" w:color="auto"/>
        <w:left w:val="none" w:sz="0" w:space="0" w:color="auto"/>
        <w:bottom w:val="none" w:sz="0" w:space="0" w:color="auto"/>
        <w:right w:val="none" w:sz="0" w:space="0" w:color="auto"/>
      </w:divBdr>
    </w:div>
    <w:div w:id="1362391649">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513182142">
      <w:bodyDiv w:val="1"/>
      <w:marLeft w:val="0"/>
      <w:marRight w:val="0"/>
      <w:marTop w:val="0"/>
      <w:marBottom w:val="0"/>
      <w:divBdr>
        <w:top w:val="none" w:sz="0" w:space="0" w:color="auto"/>
        <w:left w:val="none" w:sz="0" w:space="0" w:color="auto"/>
        <w:bottom w:val="none" w:sz="0" w:space="0" w:color="auto"/>
        <w:right w:val="none" w:sz="0" w:space="0" w:color="auto"/>
      </w:divBdr>
    </w:div>
    <w:div w:id="1524710280">
      <w:bodyDiv w:val="1"/>
      <w:marLeft w:val="0"/>
      <w:marRight w:val="0"/>
      <w:marTop w:val="0"/>
      <w:marBottom w:val="0"/>
      <w:divBdr>
        <w:top w:val="none" w:sz="0" w:space="0" w:color="auto"/>
        <w:left w:val="none" w:sz="0" w:space="0" w:color="auto"/>
        <w:bottom w:val="none" w:sz="0" w:space="0" w:color="auto"/>
        <w:right w:val="none" w:sz="0" w:space="0" w:color="auto"/>
      </w:divBdr>
    </w:div>
    <w:div w:id="1679387134">
      <w:bodyDiv w:val="1"/>
      <w:marLeft w:val="0"/>
      <w:marRight w:val="0"/>
      <w:marTop w:val="0"/>
      <w:marBottom w:val="0"/>
      <w:divBdr>
        <w:top w:val="none" w:sz="0" w:space="0" w:color="auto"/>
        <w:left w:val="none" w:sz="0" w:space="0" w:color="auto"/>
        <w:bottom w:val="none" w:sz="0" w:space="0" w:color="auto"/>
        <w:right w:val="none" w:sz="0" w:space="0" w:color="auto"/>
      </w:divBdr>
    </w:div>
    <w:div w:id="1839418182">
      <w:bodyDiv w:val="1"/>
      <w:marLeft w:val="0"/>
      <w:marRight w:val="0"/>
      <w:marTop w:val="0"/>
      <w:marBottom w:val="0"/>
      <w:divBdr>
        <w:top w:val="none" w:sz="0" w:space="0" w:color="auto"/>
        <w:left w:val="none" w:sz="0" w:space="0" w:color="auto"/>
        <w:bottom w:val="none" w:sz="0" w:space="0" w:color="auto"/>
        <w:right w:val="none" w:sz="0" w:space="0" w:color="auto"/>
      </w:divBdr>
    </w:div>
    <w:div w:id="1875266796">
      <w:bodyDiv w:val="1"/>
      <w:marLeft w:val="0"/>
      <w:marRight w:val="0"/>
      <w:marTop w:val="0"/>
      <w:marBottom w:val="0"/>
      <w:divBdr>
        <w:top w:val="none" w:sz="0" w:space="0" w:color="auto"/>
        <w:left w:val="none" w:sz="0" w:space="0" w:color="auto"/>
        <w:bottom w:val="none" w:sz="0" w:space="0" w:color="auto"/>
        <w:right w:val="none" w:sz="0" w:space="0" w:color="auto"/>
      </w:divBdr>
    </w:div>
    <w:div w:id="1883832758">
      <w:bodyDiv w:val="1"/>
      <w:marLeft w:val="0"/>
      <w:marRight w:val="0"/>
      <w:marTop w:val="0"/>
      <w:marBottom w:val="0"/>
      <w:divBdr>
        <w:top w:val="none" w:sz="0" w:space="0" w:color="auto"/>
        <w:left w:val="none" w:sz="0" w:space="0" w:color="auto"/>
        <w:bottom w:val="none" w:sz="0" w:space="0" w:color="auto"/>
        <w:right w:val="none" w:sz="0" w:space="0" w:color="auto"/>
      </w:divBdr>
    </w:div>
    <w:div w:id="2051567957">
      <w:bodyDiv w:val="1"/>
      <w:marLeft w:val="0"/>
      <w:marRight w:val="0"/>
      <w:marTop w:val="0"/>
      <w:marBottom w:val="0"/>
      <w:divBdr>
        <w:top w:val="none" w:sz="0" w:space="0" w:color="auto"/>
        <w:left w:val="none" w:sz="0" w:space="0" w:color="auto"/>
        <w:bottom w:val="none" w:sz="0" w:space="0" w:color="auto"/>
        <w:right w:val="none" w:sz="0" w:space="0" w:color="auto"/>
      </w:divBdr>
    </w:div>
    <w:div w:id="2056390017">
      <w:bodyDiv w:val="1"/>
      <w:marLeft w:val="0"/>
      <w:marRight w:val="0"/>
      <w:marTop w:val="0"/>
      <w:marBottom w:val="0"/>
      <w:divBdr>
        <w:top w:val="none" w:sz="0" w:space="0" w:color="auto"/>
        <w:left w:val="none" w:sz="0" w:space="0" w:color="auto"/>
        <w:bottom w:val="none" w:sz="0" w:space="0" w:color="auto"/>
        <w:right w:val="none" w:sz="0" w:space="0" w:color="auto"/>
      </w:divBdr>
    </w:div>
    <w:div w:id="20747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wales.nhs.uk/governance-emanual/how-the-health-and-care-standards-are-s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B5E75E7293A34274978C09F7D4B5735C"/>
        <w:category>
          <w:name w:val="General"/>
          <w:gallery w:val="placeholder"/>
        </w:category>
        <w:types>
          <w:type w:val="bbPlcHdr"/>
        </w:types>
        <w:behaviors>
          <w:behavior w:val="content"/>
        </w:behaviors>
        <w:guid w:val="{2018C20D-3C19-42B5-A7D4-F7FA91935E49}"/>
      </w:docPartPr>
      <w:docPartBody>
        <w:p w:rsidR="00884126" w:rsidRDefault="0098440F" w:rsidP="0098440F">
          <w:pPr>
            <w:pStyle w:val="B5E75E7293A34274978C09F7D4B5735C1"/>
          </w:pPr>
          <w:r w:rsidRPr="001C60B5">
            <w:rPr>
              <w:rStyle w:val="PlaceholderText"/>
              <w:szCs w:val="24"/>
            </w:rPr>
            <w:t>Choose an item.</w:t>
          </w:r>
        </w:p>
      </w:docPartBody>
    </w:docPart>
    <w:docPart>
      <w:docPartPr>
        <w:name w:val="8952B08D80D8485F8616604608967B5A"/>
        <w:category>
          <w:name w:val="General"/>
          <w:gallery w:val="placeholder"/>
        </w:category>
        <w:types>
          <w:type w:val="bbPlcHdr"/>
        </w:types>
        <w:behaviors>
          <w:behavior w:val="content"/>
        </w:behaviors>
        <w:guid w:val="{32ECEE53-E7BE-4F98-B27E-4FDF7DA27E4A}"/>
      </w:docPartPr>
      <w:docPartBody>
        <w:p w:rsidR="00A12BED" w:rsidRDefault="0098440F" w:rsidP="0098440F">
          <w:pPr>
            <w:pStyle w:val="8952B08D80D8485F8616604608967B5A1"/>
          </w:pPr>
          <w:r w:rsidRPr="00140A5D">
            <w:rPr>
              <w:rStyle w:val="PlaceholderText"/>
              <w:szCs w:val="24"/>
            </w:rPr>
            <w:t>Choose an item.</w:t>
          </w:r>
        </w:p>
      </w:docPartBody>
    </w:docPart>
    <w:docPart>
      <w:docPartPr>
        <w:name w:val="80D911A8548C4A20B0918E044529BA12"/>
        <w:category>
          <w:name w:val="General"/>
          <w:gallery w:val="placeholder"/>
        </w:category>
        <w:types>
          <w:type w:val="bbPlcHdr"/>
        </w:types>
        <w:behaviors>
          <w:behavior w:val="content"/>
        </w:behaviors>
        <w:guid w:val="{842E7007-5C1A-4D7F-973D-A5C15BD4C0BC}"/>
      </w:docPartPr>
      <w:docPartBody>
        <w:p w:rsidR="00A12BED" w:rsidRDefault="0098440F" w:rsidP="0098440F">
          <w:pPr>
            <w:pStyle w:val="80D911A8548C4A20B0918E044529BA121"/>
          </w:pPr>
          <w:r w:rsidRPr="004D737C">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5A164A"/>
    <w:rsid w:val="005D03BF"/>
    <w:rsid w:val="00760EAF"/>
    <w:rsid w:val="00884126"/>
    <w:rsid w:val="00895D61"/>
    <w:rsid w:val="00942F3C"/>
    <w:rsid w:val="0098440F"/>
    <w:rsid w:val="00A12BED"/>
    <w:rsid w:val="00B518DF"/>
    <w:rsid w:val="00B661DB"/>
    <w:rsid w:val="00BE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A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556A8-9A7C-48C7-AF06-8ABC4CA7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4</cp:revision>
  <cp:lastPrinted>2017-10-16T08:46:00Z</cp:lastPrinted>
  <dcterms:created xsi:type="dcterms:W3CDTF">2021-04-29T16:40:00Z</dcterms:created>
  <dcterms:modified xsi:type="dcterms:W3CDTF">2021-05-01T07:19:00Z</dcterms:modified>
</cp:coreProperties>
</file>