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956"/>
        <w:gridCol w:w="893"/>
        <w:gridCol w:w="1508"/>
        <w:gridCol w:w="334"/>
        <w:gridCol w:w="1661"/>
        <w:gridCol w:w="1820"/>
      </w:tblGrid>
      <w:tr w:rsidR="005362C8">
        <w:trPr>
          <w:trHeight w:val="875"/>
        </w:trPr>
        <w:tc>
          <w:tcPr>
            <w:tcW w:w="5205" w:type="dxa"/>
            <w:gridSpan w:val="4"/>
            <w:vMerge w:val="restart"/>
          </w:tcPr>
          <w:p w:rsidR="005362C8" w:rsidRDefault="006B2D5A">
            <w:pPr>
              <w:pStyle w:val="TableParagraph"/>
              <w:ind w:left="1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GB" w:eastAsia="en-GB" w:bidi="ar-SA"/>
              </w:rPr>
              <w:drawing>
                <wp:inline distT="0" distB="0" distL="0" distR="0">
                  <wp:extent cx="2586903" cy="73342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6903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" w:type="dxa"/>
            <w:tcBorders>
              <w:bottom w:val="nil"/>
              <w:right w:val="nil"/>
            </w:tcBorders>
          </w:tcPr>
          <w:p w:rsidR="005362C8" w:rsidRDefault="005362C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81" w:type="dxa"/>
            <w:gridSpan w:val="2"/>
            <w:tcBorders>
              <w:left w:val="nil"/>
              <w:bottom w:val="nil"/>
            </w:tcBorders>
          </w:tcPr>
          <w:p w:rsidR="005362C8" w:rsidRDefault="006B2D5A">
            <w:pPr>
              <w:pStyle w:val="TableParagraph"/>
              <w:spacing w:before="1" w:line="291" w:lineRule="exact"/>
              <w:ind w:left="1093"/>
              <w:rPr>
                <w:b/>
                <w:sz w:val="24"/>
              </w:rPr>
            </w:pPr>
            <w:r>
              <w:rPr>
                <w:b/>
                <w:sz w:val="24"/>
              </w:rPr>
              <w:t>Name 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Meeting</w:t>
            </w:r>
          </w:p>
          <w:p w:rsidR="005362C8" w:rsidRDefault="006B2D5A">
            <w:pPr>
              <w:pStyle w:val="TableParagraph"/>
              <w:spacing w:before="7" w:line="292" w:lineRule="exact"/>
              <w:ind w:left="533" w:right="90" w:firstLine="405"/>
              <w:rPr>
                <w:sz w:val="24"/>
              </w:rPr>
            </w:pPr>
            <w:r>
              <w:rPr>
                <w:sz w:val="24"/>
              </w:rPr>
              <w:t xml:space="preserve">Audit and </w:t>
            </w:r>
            <w:r>
              <w:rPr>
                <w:spacing w:val="-3"/>
                <w:sz w:val="24"/>
              </w:rPr>
              <w:t xml:space="preserve">Corporate </w:t>
            </w:r>
            <w:r>
              <w:rPr>
                <w:sz w:val="24"/>
              </w:rPr>
              <w:t>Governance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</w:p>
        </w:tc>
      </w:tr>
      <w:tr w:rsidR="005362C8">
        <w:trPr>
          <w:trHeight w:val="575"/>
        </w:trPr>
        <w:tc>
          <w:tcPr>
            <w:tcW w:w="5205" w:type="dxa"/>
            <w:gridSpan w:val="4"/>
            <w:vMerge/>
            <w:tcBorders>
              <w:top w:val="nil"/>
            </w:tcBorders>
          </w:tcPr>
          <w:p w:rsidR="005362C8" w:rsidRDefault="005362C8">
            <w:pPr>
              <w:rPr>
                <w:sz w:val="2"/>
                <w:szCs w:val="2"/>
              </w:rPr>
            </w:pPr>
          </w:p>
        </w:tc>
        <w:tc>
          <w:tcPr>
            <w:tcW w:w="334" w:type="dxa"/>
            <w:tcBorders>
              <w:top w:val="nil"/>
              <w:bottom w:val="nil"/>
              <w:right w:val="nil"/>
            </w:tcBorders>
          </w:tcPr>
          <w:p w:rsidR="005362C8" w:rsidRDefault="005362C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81" w:type="dxa"/>
            <w:gridSpan w:val="2"/>
            <w:tcBorders>
              <w:top w:val="nil"/>
              <w:left w:val="nil"/>
              <w:bottom w:val="nil"/>
            </w:tcBorders>
          </w:tcPr>
          <w:p w:rsidR="005362C8" w:rsidRDefault="006B2D5A">
            <w:pPr>
              <w:pStyle w:val="TableParagraph"/>
              <w:spacing w:line="283" w:lineRule="exact"/>
              <w:ind w:left="1239"/>
              <w:rPr>
                <w:b/>
                <w:sz w:val="24"/>
              </w:rPr>
            </w:pPr>
            <w:r>
              <w:rPr>
                <w:b/>
                <w:sz w:val="24"/>
              </w:rPr>
              <w:t>Date 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Meeting</w:t>
            </w:r>
          </w:p>
          <w:p w:rsidR="005362C8" w:rsidRDefault="00175883" w:rsidP="00175883">
            <w:pPr>
              <w:pStyle w:val="TableParagraph"/>
              <w:spacing w:before="1" w:line="272" w:lineRule="exact"/>
              <w:ind w:left="1408"/>
              <w:jc w:val="right"/>
              <w:rPr>
                <w:sz w:val="24"/>
              </w:rPr>
            </w:pPr>
            <w:r>
              <w:rPr>
                <w:sz w:val="24"/>
              </w:rPr>
              <w:t>5 May 2021</w:t>
            </w:r>
          </w:p>
        </w:tc>
      </w:tr>
      <w:tr w:rsidR="005362C8">
        <w:trPr>
          <w:trHeight w:val="582"/>
        </w:trPr>
        <w:tc>
          <w:tcPr>
            <w:tcW w:w="5205" w:type="dxa"/>
            <w:gridSpan w:val="4"/>
            <w:vMerge/>
            <w:tcBorders>
              <w:top w:val="nil"/>
            </w:tcBorders>
          </w:tcPr>
          <w:p w:rsidR="005362C8" w:rsidRDefault="005362C8">
            <w:pPr>
              <w:rPr>
                <w:sz w:val="2"/>
                <w:szCs w:val="2"/>
              </w:rPr>
            </w:pPr>
          </w:p>
        </w:tc>
        <w:tc>
          <w:tcPr>
            <w:tcW w:w="334" w:type="dxa"/>
            <w:tcBorders>
              <w:top w:val="nil"/>
              <w:right w:val="nil"/>
            </w:tcBorders>
          </w:tcPr>
          <w:p w:rsidR="005362C8" w:rsidRDefault="005362C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81" w:type="dxa"/>
            <w:gridSpan w:val="2"/>
            <w:tcBorders>
              <w:top w:val="nil"/>
              <w:left w:val="nil"/>
            </w:tcBorders>
          </w:tcPr>
          <w:p w:rsidR="005362C8" w:rsidRDefault="006B2D5A">
            <w:pPr>
              <w:pStyle w:val="TableParagraph"/>
              <w:spacing w:line="291" w:lineRule="exact"/>
              <w:ind w:left="158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item:</w:t>
            </w:r>
          </w:p>
          <w:p w:rsidR="00205E2C" w:rsidRPr="00175883" w:rsidRDefault="00FD525C" w:rsidP="00175883">
            <w:pPr>
              <w:pStyle w:val="TableParagraph"/>
              <w:spacing w:line="291" w:lineRule="exact"/>
              <w:ind w:left="1580"/>
              <w:jc w:val="right"/>
              <w:rPr>
                <w:sz w:val="24"/>
              </w:rPr>
            </w:pPr>
            <w:r>
              <w:rPr>
                <w:sz w:val="24"/>
              </w:rPr>
              <w:t>4.8</w:t>
            </w:r>
          </w:p>
          <w:p w:rsidR="005362C8" w:rsidRDefault="005362C8" w:rsidP="0010426F">
            <w:pPr>
              <w:pStyle w:val="TableParagraph"/>
              <w:spacing w:line="271" w:lineRule="exact"/>
              <w:ind w:left="1208"/>
              <w:jc w:val="right"/>
              <w:rPr>
                <w:sz w:val="24"/>
              </w:rPr>
            </w:pPr>
          </w:p>
        </w:tc>
      </w:tr>
      <w:tr w:rsidR="005362C8">
        <w:trPr>
          <w:trHeight w:val="681"/>
        </w:trPr>
        <w:tc>
          <w:tcPr>
            <w:tcW w:w="9020" w:type="dxa"/>
            <w:gridSpan w:val="7"/>
            <w:tcBorders>
              <w:left w:val="nil"/>
              <w:right w:val="nil"/>
            </w:tcBorders>
          </w:tcPr>
          <w:p w:rsidR="005362C8" w:rsidRDefault="005362C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5362C8">
        <w:trPr>
          <w:trHeight w:val="875"/>
        </w:trPr>
        <w:tc>
          <w:tcPr>
            <w:tcW w:w="9020" w:type="dxa"/>
            <w:gridSpan w:val="7"/>
          </w:tcPr>
          <w:p w:rsidR="00216D97" w:rsidRDefault="00216D97" w:rsidP="00216D97">
            <w:pPr>
              <w:pStyle w:val="TableParagraph"/>
              <w:spacing w:before="13" w:line="436" w:lineRule="exact"/>
              <w:ind w:left="152" w:right="12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Bi Annual Update on Compliance with Welsh Health Circulars</w:t>
            </w:r>
          </w:p>
          <w:p w:rsidR="005362C8" w:rsidRDefault="001C1276" w:rsidP="00D90445">
            <w:pPr>
              <w:pStyle w:val="TableParagraph"/>
              <w:spacing w:before="13" w:line="436" w:lineRule="exact"/>
              <w:ind w:left="152" w:right="12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 August</w:t>
            </w:r>
            <w:r w:rsidR="00175883">
              <w:rPr>
                <w:b/>
                <w:sz w:val="36"/>
              </w:rPr>
              <w:t xml:space="preserve"> 2020 to </w:t>
            </w:r>
            <w:r>
              <w:rPr>
                <w:b/>
                <w:sz w:val="36"/>
              </w:rPr>
              <w:t xml:space="preserve">31 </w:t>
            </w:r>
            <w:r w:rsidR="00175883">
              <w:rPr>
                <w:b/>
                <w:sz w:val="36"/>
              </w:rPr>
              <w:t>March 2021</w:t>
            </w:r>
          </w:p>
        </w:tc>
      </w:tr>
      <w:tr w:rsidR="005362C8">
        <w:trPr>
          <w:trHeight w:val="574"/>
        </w:trPr>
        <w:tc>
          <w:tcPr>
            <w:tcW w:w="2804" w:type="dxa"/>
            <w:gridSpan w:val="2"/>
          </w:tcPr>
          <w:p w:rsidR="005362C8" w:rsidRDefault="006B2D5A">
            <w:pPr>
              <w:pStyle w:val="TableParagraph"/>
              <w:spacing w:line="28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Executive lead:</w:t>
            </w:r>
          </w:p>
        </w:tc>
        <w:tc>
          <w:tcPr>
            <w:tcW w:w="6216" w:type="dxa"/>
            <w:gridSpan w:val="5"/>
          </w:tcPr>
          <w:p w:rsidR="005362C8" w:rsidRDefault="009705FC" w:rsidP="00502FDE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 xml:space="preserve">Helen Bushell, </w:t>
            </w:r>
            <w:r w:rsidR="006B2D5A">
              <w:rPr>
                <w:sz w:val="24"/>
              </w:rPr>
              <w:t xml:space="preserve">Board Secretary and Head of </w:t>
            </w:r>
            <w:r w:rsidR="00502FDE">
              <w:rPr>
                <w:sz w:val="24"/>
              </w:rPr>
              <w:t>Board Business Unit</w:t>
            </w:r>
          </w:p>
        </w:tc>
      </w:tr>
      <w:tr w:rsidR="005362C8">
        <w:trPr>
          <w:trHeight w:val="292"/>
        </w:trPr>
        <w:tc>
          <w:tcPr>
            <w:tcW w:w="2804" w:type="dxa"/>
            <w:gridSpan w:val="2"/>
          </w:tcPr>
          <w:p w:rsidR="005362C8" w:rsidRDefault="006B2D5A">
            <w:pPr>
              <w:pStyle w:val="TableParagraph"/>
              <w:spacing w:before="1"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6216" w:type="dxa"/>
            <w:gridSpan w:val="5"/>
          </w:tcPr>
          <w:p w:rsidR="005362C8" w:rsidRDefault="009705FC">
            <w:pPr>
              <w:pStyle w:val="TableParagraph"/>
              <w:spacing w:before="1" w:line="271" w:lineRule="exact"/>
              <w:rPr>
                <w:sz w:val="24"/>
              </w:rPr>
            </w:pPr>
            <w:r>
              <w:rPr>
                <w:sz w:val="24"/>
              </w:rPr>
              <w:t>Liz Blayney, Deputy board Secretary and Board Governance Manager</w:t>
            </w:r>
          </w:p>
        </w:tc>
      </w:tr>
      <w:tr w:rsidR="005362C8">
        <w:trPr>
          <w:trHeight w:val="148"/>
        </w:trPr>
        <w:tc>
          <w:tcPr>
            <w:tcW w:w="9020" w:type="dxa"/>
            <w:gridSpan w:val="7"/>
            <w:tcBorders>
              <w:left w:val="nil"/>
              <w:right w:val="nil"/>
            </w:tcBorders>
          </w:tcPr>
          <w:p w:rsidR="005362C8" w:rsidRDefault="005362C8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</w:tr>
      <w:tr w:rsidR="005362C8">
        <w:trPr>
          <w:trHeight w:val="875"/>
        </w:trPr>
        <w:tc>
          <w:tcPr>
            <w:tcW w:w="2804" w:type="dxa"/>
            <w:gridSpan w:val="2"/>
          </w:tcPr>
          <w:p w:rsidR="005362C8" w:rsidRDefault="006B2D5A">
            <w:pPr>
              <w:pStyle w:val="TableParagraph"/>
              <w:spacing w:before="1"/>
              <w:ind w:right="176"/>
              <w:rPr>
                <w:b/>
                <w:sz w:val="24"/>
              </w:rPr>
            </w:pPr>
            <w:r>
              <w:rPr>
                <w:b/>
                <w:sz w:val="24"/>
              </w:rPr>
              <w:t>Approval/Scrutiny route:</w:t>
            </w:r>
          </w:p>
        </w:tc>
        <w:tc>
          <w:tcPr>
            <w:tcW w:w="6216" w:type="dxa"/>
            <w:gridSpan w:val="5"/>
          </w:tcPr>
          <w:p w:rsidR="005362C8" w:rsidRDefault="009705F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Helen Bushell, Board Secretary and Head of Board Business Unit</w:t>
            </w:r>
          </w:p>
        </w:tc>
      </w:tr>
      <w:tr w:rsidR="005362C8">
        <w:trPr>
          <w:trHeight w:val="146"/>
        </w:trPr>
        <w:tc>
          <w:tcPr>
            <w:tcW w:w="9020" w:type="dxa"/>
            <w:gridSpan w:val="7"/>
            <w:tcBorders>
              <w:left w:val="nil"/>
              <w:right w:val="nil"/>
            </w:tcBorders>
          </w:tcPr>
          <w:p w:rsidR="005362C8" w:rsidRDefault="005362C8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</w:tr>
      <w:tr w:rsidR="005362C8">
        <w:trPr>
          <w:trHeight w:val="290"/>
        </w:trPr>
        <w:tc>
          <w:tcPr>
            <w:tcW w:w="9020" w:type="dxa"/>
            <w:gridSpan w:val="7"/>
          </w:tcPr>
          <w:p w:rsidR="005362C8" w:rsidRDefault="006B2D5A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Purpose</w:t>
            </w:r>
          </w:p>
        </w:tc>
      </w:tr>
      <w:tr w:rsidR="005362C8">
        <w:trPr>
          <w:trHeight w:val="1752"/>
        </w:trPr>
        <w:tc>
          <w:tcPr>
            <w:tcW w:w="9020" w:type="dxa"/>
            <w:gridSpan w:val="7"/>
          </w:tcPr>
          <w:p w:rsidR="005362C8" w:rsidRDefault="006B2D5A" w:rsidP="00216D97">
            <w:pPr>
              <w:tabs>
                <w:tab w:val="left" w:pos="972"/>
                <w:tab w:val="left" w:pos="973"/>
              </w:tabs>
              <w:ind w:right="358"/>
              <w:rPr>
                <w:sz w:val="24"/>
              </w:rPr>
            </w:pPr>
            <w:r w:rsidRPr="003F69A9">
              <w:rPr>
                <w:sz w:val="24"/>
              </w:rPr>
              <w:t>The purpose of this report is to provide assurance to the Audit and</w:t>
            </w:r>
            <w:r w:rsidR="00502FDE" w:rsidRPr="003F69A9">
              <w:rPr>
                <w:sz w:val="24"/>
              </w:rPr>
              <w:t xml:space="preserve"> Corporate Governance Committee </w:t>
            </w:r>
            <w:r w:rsidR="0010426F">
              <w:rPr>
                <w:sz w:val="24"/>
              </w:rPr>
              <w:t>of the Organisations</w:t>
            </w:r>
            <w:r w:rsidR="00216D97">
              <w:rPr>
                <w:sz w:val="24"/>
              </w:rPr>
              <w:t xml:space="preserve"> management of the process to ensure</w:t>
            </w:r>
            <w:r w:rsidR="0010426F">
              <w:rPr>
                <w:sz w:val="24"/>
              </w:rPr>
              <w:t xml:space="preserve"> compliance </w:t>
            </w:r>
            <w:r w:rsidR="00216D97">
              <w:rPr>
                <w:sz w:val="24"/>
              </w:rPr>
              <w:t xml:space="preserve">with the Welsh Health Circulars issued by the Welsh Government. </w:t>
            </w:r>
            <w:r w:rsidR="0010426F">
              <w:rPr>
                <w:sz w:val="24"/>
              </w:rPr>
              <w:t xml:space="preserve"> </w:t>
            </w:r>
          </w:p>
        </w:tc>
      </w:tr>
      <w:tr w:rsidR="005362C8">
        <w:trPr>
          <w:trHeight w:val="145"/>
        </w:trPr>
        <w:tc>
          <w:tcPr>
            <w:tcW w:w="9020" w:type="dxa"/>
            <w:gridSpan w:val="7"/>
            <w:tcBorders>
              <w:left w:val="nil"/>
              <w:right w:val="nil"/>
            </w:tcBorders>
          </w:tcPr>
          <w:p w:rsidR="005362C8" w:rsidRDefault="005362C8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</w:tr>
      <w:tr w:rsidR="005362C8">
        <w:trPr>
          <w:trHeight w:val="585"/>
        </w:trPr>
        <w:tc>
          <w:tcPr>
            <w:tcW w:w="1848" w:type="dxa"/>
          </w:tcPr>
          <w:p w:rsidR="005362C8" w:rsidRDefault="0010426F">
            <w:pPr>
              <w:pStyle w:val="TableParagraph"/>
              <w:spacing w:before="1"/>
              <w:ind w:left="359"/>
              <w:rPr>
                <w:sz w:val="24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>
                      <wp:simplePos x="0" y="0"/>
                      <wp:positionH relativeFrom="page">
                        <wp:posOffset>504190</wp:posOffset>
                      </wp:positionH>
                      <wp:positionV relativeFrom="page">
                        <wp:posOffset>212121</wp:posOffset>
                      </wp:positionV>
                      <wp:extent cx="140335" cy="140335"/>
                      <wp:effectExtent l="13335" t="13335" r="8255" b="8255"/>
                      <wp:wrapNone/>
                      <wp:docPr id="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59B80" id="Rectangle 8" o:spid="_x0000_s1026" style="position:absolute;margin-left:39.7pt;margin-top:16.7pt;width:11.05pt;height:11.0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" filled="f" strokeweight=".72pt">
                      <w10:wrap anchorx="page" anchory="page"/>
                    </v:rect>
                  </w:pict>
                </mc:Fallback>
              </mc:AlternateContent>
            </w:r>
            <w:r w:rsidR="006B2D5A">
              <w:rPr>
                <w:sz w:val="24"/>
              </w:rPr>
              <w:t>APPROVE</w:t>
            </w:r>
          </w:p>
        </w:tc>
        <w:tc>
          <w:tcPr>
            <w:tcW w:w="1849" w:type="dxa"/>
            <w:gridSpan w:val="2"/>
          </w:tcPr>
          <w:p w:rsidR="005362C8" w:rsidRDefault="0010426F">
            <w:pPr>
              <w:pStyle w:val="TableParagraph"/>
              <w:spacing w:before="1"/>
              <w:ind w:left="270"/>
              <w:rPr>
                <w:sz w:val="24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>
                      <wp:simplePos x="0" y="0"/>
                      <wp:positionH relativeFrom="page">
                        <wp:posOffset>497205</wp:posOffset>
                      </wp:positionH>
                      <wp:positionV relativeFrom="page">
                        <wp:posOffset>208389</wp:posOffset>
                      </wp:positionV>
                      <wp:extent cx="156845" cy="156845"/>
                      <wp:effectExtent l="8255" t="13335" r="6350" b="10795"/>
                      <wp:wrapNone/>
                      <wp:docPr id="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45" cy="15684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C1ACE" id="Rectangle 7" o:spid="_x0000_s1026" style="position:absolute;margin-left:39.15pt;margin-top:16.4pt;width:12.35pt;height:12.3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z2gewIAABM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" filled="f" strokeweight=".72pt">
                      <w10:wrap anchorx="page" anchory="page"/>
                    </v:rect>
                  </w:pict>
                </mc:Fallback>
              </mc:AlternateContent>
            </w:r>
            <w:r w:rsidR="006B2D5A">
              <w:rPr>
                <w:sz w:val="24"/>
              </w:rPr>
              <w:t>CONSIDER</w:t>
            </w:r>
          </w:p>
        </w:tc>
        <w:tc>
          <w:tcPr>
            <w:tcW w:w="1842" w:type="dxa"/>
            <w:gridSpan w:val="2"/>
          </w:tcPr>
          <w:p w:rsidR="005362C8" w:rsidRDefault="0010426F">
            <w:pPr>
              <w:pStyle w:val="TableParagraph"/>
              <w:spacing w:before="1"/>
              <w:ind w:left="121"/>
              <w:rPr>
                <w:sz w:val="24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page">
                        <wp:posOffset>493395</wp:posOffset>
                      </wp:positionH>
                      <wp:positionV relativeFrom="page">
                        <wp:posOffset>208389</wp:posOffset>
                      </wp:positionV>
                      <wp:extent cx="156845" cy="156845"/>
                      <wp:effectExtent l="6985" t="13335" r="7620" b="10795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45" cy="15684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D1A08" id="Rectangle 6" o:spid="_x0000_s1026" style="position:absolute;margin-left:38.85pt;margin-top:16.4pt;width:12.35pt;height:12.3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VBMfAIAABM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" filled="f" strokeweight=".72pt">
                      <w10:wrap anchorx="page" anchory="page"/>
                    </v:rect>
                  </w:pict>
                </mc:Fallback>
              </mc:AlternateContent>
            </w:r>
            <w:r w:rsidR="006B2D5A">
              <w:rPr>
                <w:sz w:val="24"/>
              </w:rPr>
              <w:t>RECOMMEND</w:t>
            </w:r>
          </w:p>
        </w:tc>
        <w:tc>
          <w:tcPr>
            <w:tcW w:w="1661" w:type="dxa"/>
          </w:tcPr>
          <w:p w:rsidR="005362C8" w:rsidRDefault="0010426F">
            <w:pPr>
              <w:pStyle w:val="TableParagraph"/>
              <w:spacing w:before="1"/>
              <w:ind w:left="413"/>
              <w:rPr>
                <w:sz w:val="24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page">
                        <wp:posOffset>436880</wp:posOffset>
                      </wp:positionH>
                      <wp:positionV relativeFrom="page">
                        <wp:posOffset>174934</wp:posOffset>
                      </wp:positionV>
                      <wp:extent cx="156845" cy="156845"/>
                      <wp:effectExtent l="5715" t="13335" r="8890" b="10795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45" cy="15684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72FC1" id="Rectangle 5" o:spid="_x0000_s1026" style="position:absolute;margin-left:34.4pt;margin-top:13.75pt;width:12.35pt;height:12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q6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" filled="f" strokeweight=".72pt">
                      <w10:wrap anchorx="page" anchory="page"/>
                    </v:rect>
                  </w:pict>
                </mc:Fallback>
              </mc:AlternateContent>
            </w:r>
            <w:r w:rsidR="006B2D5A">
              <w:rPr>
                <w:sz w:val="24"/>
              </w:rPr>
              <w:t>ADOPT</w:t>
            </w:r>
          </w:p>
        </w:tc>
        <w:tc>
          <w:tcPr>
            <w:tcW w:w="1820" w:type="dxa"/>
          </w:tcPr>
          <w:p w:rsidR="005362C8" w:rsidRDefault="006B2D5A">
            <w:pPr>
              <w:pStyle w:val="TableParagraph"/>
              <w:spacing w:before="1"/>
              <w:ind w:left="159"/>
              <w:rPr>
                <w:sz w:val="24"/>
              </w:rPr>
            </w:pPr>
            <w:r>
              <w:rPr>
                <w:sz w:val="24"/>
              </w:rPr>
              <w:t>ASSURANCE</w:t>
            </w:r>
          </w:p>
          <w:p w:rsidR="005362C8" w:rsidRDefault="006B2D5A">
            <w:pPr>
              <w:pStyle w:val="TableParagraph"/>
              <w:ind w:left="77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GB" w:eastAsia="en-GB" w:bidi="ar-SA"/>
              </w:rPr>
              <w:drawing>
                <wp:inline distT="0" distB="0" distL="0" distR="0">
                  <wp:extent cx="166687" cy="16668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" cy="16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2C8" w:rsidTr="003D2F56">
        <w:trPr>
          <w:trHeight w:val="1110"/>
        </w:trPr>
        <w:tc>
          <w:tcPr>
            <w:tcW w:w="9020" w:type="dxa"/>
            <w:gridSpan w:val="7"/>
          </w:tcPr>
          <w:p w:rsidR="003D2F56" w:rsidRDefault="003D2F56" w:rsidP="003D2F56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Recommendation:</w:t>
            </w:r>
          </w:p>
          <w:p w:rsidR="003D2F56" w:rsidRDefault="003D2F56" w:rsidP="003D2F56">
            <w:pPr>
              <w:pStyle w:val="TableParagraph"/>
              <w:spacing w:line="270" w:lineRule="exact"/>
              <w:rPr>
                <w:b/>
                <w:sz w:val="24"/>
              </w:rPr>
            </w:pPr>
          </w:p>
          <w:p w:rsidR="005E474E" w:rsidRPr="005E474E" w:rsidRDefault="006B2D5A" w:rsidP="00427ADD">
            <w:pPr>
              <w:tabs>
                <w:tab w:val="left" w:pos="115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The Audit and Corporate G</w:t>
            </w:r>
            <w:r w:rsidR="005E474E">
              <w:rPr>
                <w:sz w:val="24"/>
              </w:rPr>
              <w:t>overnance Committee a</w:t>
            </w:r>
            <w:r w:rsidR="005E474E" w:rsidRPr="005E474E">
              <w:rPr>
                <w:sz w:val="24"/>
              </w:rPr>
              <w:t>re asked to take assurance on the process for recording and monitoring the organisations compliance with Welsh Health Circulars.</w:t>
            </w:r>
          </w:p>
          <w:p w:rsidR="003D2F56" w:rsidRDefault="003D2F56" w:rsidP="003D2F56">
            <w:pPr>
              <w:pStyle w:val="TableParagraph"/>
              <w:spacing w:line="290" w:lineRule="exact"/>
              <w:rPr>
                <w:sz w:val="24"/>
              </w:rPr>
            </w:pPr>
          </w:p>
        </w:tc>
      </w:tr>
    </w:tbl>
    <w:p w:rsidR="005362C8" w:rsidRDefault="005362C8">
      <w:pPr>
        <w:rPr>
          <w:sz w:val="2"/>
          <w:szCs w:val="2"/>
        </w:rPr>
      </w:pPr>
    </w:p>
    <w:p w:rsidR="005362C8" w:rsidRDefault="005362C8">
      <w:pPr>
        <w:rPr>
          <w:sz w:val="2"/>
          <w:szCs w:val="2"/>
        </w:rPr>
        <w:sectPr w:rsidR="005362C8">
          <w:footerReference w:type="default" r:id="rId9"/>
          <w:type w:val="continuous"/>
          <w:pgSz w:w="11910" w:h="16840"/>
          <w:pgMar w:top="1420" w:right="1320" w:bottom="1200" w:left="1320" w:header="720" w:footer="1008" w:gutter="0"/>
          <w:pgNumType w:start="1"/>
          <w:cols w:space="720"/>
        </w:sectPr>
      </w:pPr>
    </w:p>
    <w:p w:rsidR="005362C8" w:rsidRDefault="00811193">
      <w:pPr>
        <w:pStyle w:val="BodyText"/>
        <w:spacing w:line="20" w:lineRule="exact"/>
        <w:ind w:left="115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en-GB" w:eastAsia="en-GB" w:bidi="ar-SA"/>
        </w:rPr>
        <w:lastRenderedPageBreak/>
        <mc:AlternateContent>
          <mc:Choice Requires="wpg">
            <w:drawing>
              <wp:inline distT="0" distB="0" distL="0" distR="0">
                <wp:extent cx="5732780" cy="6350"/>
                <wp:effectExtent l="12700" t="4445" r="7620" b="825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780" cy="6350"/>
                          <a:chOff x="0" y="0"/>
                          <a:chExt cx="9028" cy="10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C7E854" id="Group 3" o:spid="_x0000_s1026" style="width:451.4pt;height:.5pt;mso-position-horizontal-relative:char;mso-position-vertical-relative:line" coordsize="902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">
                <v:line id="Line 4" o:spid="_x0000_s1027" style="position:absolute;visibility:visible;mso-wrap-style:square" from="0,5" to="902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:rsidR="005362C8" w:rsidRDefault="005362C8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5"/>
        <w:gridCol w:w="6894"/>
      </w:tblGrid>
      <w:tr w:rsidR="005362C8">
        <w:trPr>
          <w:trHeight w:val="2042"/>
        </w:trPr>
        <w:tc>
          <w:tcPr>
            <w:tcW w:w="9029" w:type="dxa"/>
            <w:gridSpan w:val="2"/>
            <w:shd w:val="clear" w:color="auto" w:fill="F1F1F1"/>
          </w:tcPr>
          <w:p w:rsidR="005362C8" w:rsidRDefault="006B2D5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Link to Public Health Wales </w:t>
            </w:r>
            <w:hyperlink r:id="rId10">
              <w:r>
                <w:rPr>
                  <w:b/>
                  <w:color w:val="0000FF"/>
                  <w:sz w:val="24"/>
                  <w:u w:val="thick" w:color="0000FF"/>
                </w:rPr>
                <w:t>Strategic Plan</w:t>
              </w:r>
            </w:hyperlink>
          </w:p>
          <w:p w:rsidR="005362C8" w:rsidRDefault="005362C8">
            <w:pPr>
              <w:pStyle w:val="TableParagraph"/>
              <w:spacing w:before="4"/>
              <w:ind w:left="0"/>
              <w:rPr>
                <w:rFonts w:ascii="Times New Roman"/>
                <w:sz w:val="25"/>
              </w:rPr>
            </w:pPr>
          </w:p>
          <w:p w:rsidR="005362C8" w:rsidRDefault="006B2D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Public Health Wales has an agreed strategic plan, which has identified seven strategic priorities and well-being objectives.</w:t>
            </w:r>
          </w:p>
          <w:p w:rsidR="005362C8" w:rsidRDefault="005362C8">
            <w:pPr>
              <w:pStyle w:val="TableParagraph"/>
              <w:spacing w:before="3"/>
              <w:ind w:left="0"/>
              <w:rPr>
                <w:rFonts w:ascii="Times New Roman"/>
                <w:sz w:val="25"/>
              </w:rPr>
            </w:pPr>
          </w:p>
          <w:p w:rsidR="005362C8" w:rsidRDefault="006B2D5A">
            <w:pPr>
              <w:pStyle w:val="TableParagraph"/>
              <w:spacing w:line="290" w:lineRule="atLeast"/>
              <w:ind w:right="233"/>
              <w:rPr>
                <w:sz w:val="24"/>
              </w:rPr>
            </w:pPr>
            <w:r>
              <w:rPr>
                <w:sz w:val="24"/>
              </w:rPr>
              <w:t>This report contributes to all 7 of the Strategic Priorities and Well-being Objectives.</w:t>
            </w:r>
          </w:p>
        </w:tc>
      </w:tr>
      <w:tr w:rsidR="005362C8">
        <w:trPr>
          <w:trHeight w:val="146"/>
        </w:trPr>
        <w:tc>
          <w:tcPr>
            <w:tcW w:w="9029" w:type="dxa"/>
            <w:gridSpan w:val="2"/>
            <w:tcBorders>
              <w:left w:val="nil"/>
              <w:right w:val="nil"/>
            </w:tcBorders>
          </w:tcPr>
          <w:p w:rsidR="005362C8" w:rsidRDefault="005362C8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</w:tr>
      <w:tr w:rsidR="005362C8">
        <w:trPr>
          <w:trHeight w:val="582"/>
        </w:trPr>
        <w:tc>
          <w:tcPr>
            <w:tcW w:w="9029" w:type="dxa"/>
            <w:gridSpan w:val="2"/>
            <w:shd w:val="clear" w:color="auto" w:fill="F1F1F1"/>
          </w:tcPr>
          <w:p w:rsidR="005362C8" w:rsidRDefault="006B2D5A"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Summary impact analysis</w:t>
            </w:r>
          </w:p>
        </w:tc>
      </w:tr>
      <w:tr w:rsidR="005362C8" w:rsidTr="003D2F56">
        <w:trPr>
          <w:trHeight w:val="718"/>
        </w:trPr>
        <w:tc>
          <w:tcPr>
            <w:tcW w:w="2135" w:type="dxa"/>
          </w:tcPr>
          <w:p w:rsidR="005362C8" w:rsidRDefault="006B2D5A" w:rsidP="003D2F56">
            <w:pPr>
              <w:pStyle w:val="TableParagraph"/>
              <w:spacing w:before="1"/>
              <w:ind w:right="401"/>
              <w:rPr>
                <w:b/>
                <w:sz w:val="24"/>
              </w:rPr>
            </w:pPr>
            <w:r>
              <w:rPr>
                <w:b/>
                <w:sz w:val="24"/>
              </w:rPr>
              <w:t>Equality and Health Impact Assessment</w:t>
            </w:r>
          </w:p>
        </w:tc>
        <w:tc>
          <w:tcPr>
            <w:tcW w:w="6894" w:type="dxa"/>
          </w:tcPr>
          <w:p w:rsidR="005362C8" w:rsidRDefault="006B2D5A" w:rsidP="003D2F56">
            <w:pPr>
              <w:pStyle w:val="TableParagraph"/>
              <w:spacing w:before="1"/>
              <w:ind w:right="198"/>
              <w:rPr>
                <w:sz w:val="24"/>
              </w:rPr>
            </w:pPr>
            <w:r>
              <w:rPr>
                <w:sz w:val="24"/>
              </w:rPr>
              <w:t>A specific Equality and Health Impact Assessment (EHIA) is not required to support of this report.</w:t>
            </w:r>
          </w:p>
        </w:tc>
      </w:tr>
      <w:tr w:rsidR="005362C8" w:rsidTr="003D2F56">
        <w:trPr>
          <w:trHeight w:val="1074"/>
        </w:trPr>
        <w:tc>
          <w:tcPr>
            <w:tcW w:w="2135" w:type="dxa"/>
          </w:tcPr>
          <w:p w:rsidR="005362C8" w:rsidRDefault="006B2D5A" w:rsidP="003D2F5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Risk and Assurance</w:t>
            </w:r>
          </w:p>
        </w:tc>
        <w:tc>
          <w:tcPr>
            <w:tcW w:w="6894" w:type="dxa"/>
          </w:tcPr>
          <w:p w:rsidR="005362C8" w:rsidRDefault="006B2D5A" w:rsidP="00216D97">
            <w:pPr>
              <w:pStyle w:val="TableParagraph"/>
              <w:spacing w:before="1"/>
              <w:ind w:right="174"/>
              <w:rPr>
                <w:sz w:val="24"/>
              </w:rPr>
            </w:pPr>
            <w:r>
              <w:rPr>
                <w:sz w:val="24"/>
              </w:rPr>
              <w:t xml:space="preserve">This report provides assurance </w:t>
            </w:r>
            <w:r w:rsidR="00216D97">
              <w:rPr>
                <w:sz w:val="24"/>
              </w:rPr>
              <w:t xml:space="preserve">on the organisations compliance with the Welsh Health Circulars issued by Welsh Government. </w:t>
            </w:r>
          </w:p>
        </w:tc>
      </w:tr>
      <w:tr w:rsidR="005362C8" w:rsidTr="003D2F56">
        <w:trPr>
          <w:trHeight w:val="953"/>
        </w:trPr>
        <w:tc>
          <w:tcPr>
            <w:tcW w:w="2135" w:type="dxa"/>
            <w:vMerge w:val="restart"/>
          </w:tcPr>
          <w:p w:rsidR="005362C8" w:rsidRDefault="003D2F56" w:rsidP="003D2F56">
            <w:pPr>
              <w:pStyle w:val="TableParagraph"/>
              <w:spacing w:before="1"/>
              <w:ind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H</w:t>
            </w:r>
            <w:r w:rsidR="006B2D5A">
              <w:rPr>
                <w:b/>
                <w:sz w:val="24"/>
              </w:rPr>
              <w:t>ealth and Care Standard</w:t>
            </w:r>
            <w:r>
              <w:rPr>
                <w:b/>
                <w:sz w:val="24"/>
              </w:rPr>
              <w:t>s</w:t>
            </w:r>
          </w:p>
        </w:tc>
        <w:tc>
          <w:tcPr>
            <w:tcW w:w="6894" w:type="dxa"/>
            <w:tcBorders>
              <w:bottom w:val="nil"/>
            </w:tcBorders>
          </w:tcPr>
          <w:p w:rsidR="005362C8" w:rsidRDefault="006B2D5A">
            <w:pPr>
              <w:pStyle w:val="TableParagraph"/>
              <w:spacing w:before="1"/>
              <w:ind w:right="524"/>
              <w:rPr>
                <w:sz w:val="24"/>
              </w:rPr>
            </w:pPr>
            <w:r>
              <w:rPr>
                <w:sz w:val="24"/>
              </w:rPr>
              <w:t xml:space="preserve">This report supports and/or takes into account the 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Health and Care Standards for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NHS Wales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Quality Themes</w:t>
            </w:r>
          </w:p>
        </w:tc>
      </w:tr>
      <w:tr w:rsidR="005362C8" w:rsidTr="003D2F56">
        <w:trPr>
          <w:trHeight w:val="661"/>
        </w:trPr>
        <w:tc>
          <w:tcPr>
            <w:tcW w:w="2135" w:type="dxa"/>
            <w:vMerge/>
            <w:tcBorders>
              <w:top w:val="nil"/>
            </w:tcBorders>
          </w:tcPr>
          <w:p w:rsidR="005362C8" w:rsidRDefault="005362C8" w:rsidP="003D2F56">
            <w:pPr>
              <w:ind w:left="107"/>
              <w:rPr>
                <w:sz w:val="2"/>
                <w:szCs w:val="2"/>
              </w:rPr>
            </w:pPr>
          </w:p>
        </w:tc>
        <w:tc>
          <w:tcPr>
            <w:tcW w:w="6894" w:type="dxa"/>
            <w:tcBorders>
              <w:top w:val="nil"/>
              <w:bottom w:val="nil"/>
            </w:tcBorders>
          </w:tcPr>
          <w:p w:rsidR="005362C8" w:rsidRDefault="006B2D5A">
            <w:pPr>
              <w:pStyle w:val="TableParagraph"/>
              <w:spacing w:before="77" w:line="290" w:lineRule="atLeast"/>
              <w:ind w:left="544" w:right="198"/>
              <w:rPr>
                <w:sz w:val="24"/>
              </w:rPr>
            </w:pPr>
            <w:r>
              <w:rPr>
                <w:sz w:val="24"/>
              </w:rPr>
              <w:t>Governance, Leadership and Accountability</w:t>
            </w:r>
          </w:p>
        </w:tc>
      </w:tr>
      <w:tr w:rsidR="005362C8" w:rsidTr="003D2F56">
        <w:trPr>
          <w:trHeight w:val="582"/>
        </w:trPr>
        <w:tc>
          <w:tcPr>
            <w:tcW w:w="2135" w:type="dxa"/>
          </w:tcPr>
          <w:p w:rsidR="005362C8" w:rsidRDefault="006B2D5A" w:rsidP="003D2F56"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Financial implications</w:t>
            </w:r>
          </w:p>
        </w:tc>
        <w:tc>
          <w:tcPr>
            <w:tcW w:w="6894" w:type="dxa"/>
          </w:tcPr>
          <w:p w:rsidR="005362C8" w:rsidRDefault="006B2D5A">
            <w:pPr>
              <w:pStyle w:val="TableParagraph"/>
              <w:spacing w:before="6" w:line="292" w:lineRule="exact"/>
              <w:ind w:right="15"/>
              <w:rPr>
                <w:sz w:val="24"/>
              </w:rPr>
            </w:pPr>
            <w:r>
              <w:rPr>
                <w:sz w:val="24"/>
              </w:rPr>
              <w:t>There are no financial implications as a result of approval of this report.</w:t>
            </w:r>
          </w:p>
        </w:tc>
      </w:tr>
      <w:tr w:rsidR="005362C8" w:rsidTr="003D2F56">
        <w:trPr>
          <w:trHeight w:val="578"/>
        </w:trPr>
        <w:tc>
          <w:tcPr>
            <w:tcW w:w="2135" w:type="dxa"/>
          </w:tcPr>
          <w:p w:rsidR="005362C8" w:rsidRDefault="006B2D5A" w:rsidP="003D2F56">
            <w:pPr>
              <w:pStyle w:val="TableParagraph"/>
              <w:spacing w:line="28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People implications</w:t>
            </w:r>
          </w:p>
        </w:tc>
        <w:tc>
          <w:tcPr>
            <w:tcW w:w="6894" w:type="dxa"/>
          </w:tcPr>
          <w:p w:rsidR="005362C8" w:rsidRDefault="006B2D5A">
            <w:pPr>
              <w:pStyle w:val="TableParagraph"/>
              <w:spacing w:before="3" w:line="290" w:lineRule="exact"/>
              <w:rPr>
                <w:sz w:val="24"/>
              </w:rPr>
            </w:pPr>
            <w:r>
              <w:rPr>
                <w:sz w:val="24"/>
              </w:rPr>
              <w:t>There are no people implications as a result of approval of this report.</w:t>
            </w:r>
          </w:p>
        </w:tc>
      </w:tr>
    </w:tbl>
    <w:p w:rsidR="005362C8" w:rsidRDefault="005362C8">
      <w:pPr>
        <w:spacing w:line="290" w:lineRule="exact"/>
        <w:rPr>
          <w:sz w:val="24"/>
        </w:rPr>
        <w:sectPr w:rsidR="005362C8">
          <w:pgSz w:w="11910" w:h="16840"/>
          <w:pgMar w:top="1420" w:right="1320" w:bottom="1200" w:left="1320" w:header="0" w:footer="1008" w:gutter="0"/>
          <w:cols w:space="720"/>
        </w:sectPr>
      </w:pPr>
    </w:p>
    <w:p w:rsidR="005362C8" w:rsidRDefault="005362C8">
      <w:pPr>
        <w:pStyle w:val="BodyText"/>
        <w:spacing w:before="4"/>
        <w:rPr>
          <w:rFonts w:ascii="Times New Roman"/>
          <w:sz w:val="19"/>
        </w:rPr>
      </w:pPr>
    </w:p>
    <w:p w:rsidR="005362C8" w:rsidRPr="002C2D96" w:rsidRDefault="006B2D5A">
      <w:pPr>
        <w:pStyle w:val="Heading1"/>
        <w:numPr>
          <w:ilvl w:val="0"/>
          <w:numId w:val="4"/>
        </w:numPr>
        <w:tabs>
          <w:tab w:val="left" w:pos="686"/>
          <w:tab w:val="left" w:pos="687"/>
        </w:tabs>
        <w:spacing w:before="100"/>
        <w:ind w:hanging="566"/>
        <w:rPr>
          <w:sz w:val="22"/>
          <w:szCs w:val="22"/>
        </w:rPr>
      </w:pPr>
      <w:r w:rsidRPr="002C2D96">
        <w:rPr>
          <w:sz w:val="22"/>
          <w:szCs w:val="22"/>
        </w:rPr>
        <w:t>Purpose /</w:t>
      </w:r>
      <w:r w:rsidRPr="002C2D96">
        <w:rPr>
          <w:spacing w:val="-4"/>
          <w:sz w:val="22"/>
          <w:szCs w:val="22"/>
        </w:rPr>
        <w:t xml:space="preserve"> </w:t>
      </w:r>
      <w:r w:rsidRPr="002C2D96">
        <w:rPr>
          <w:sz w:val="22"/>
          <w:szCs w:val="22"/>
        </w:rPr>
        <w:t>situation</w:t>
      </w:r>
    </w:p>
    <w:p w:rsidR="005362C8" w:rsidRPr="002C2D96" w:rsidRDefault="005362C8">
      <w:pPr>
        <w:pStyle w:val="BodyText"/>
        <w:rPr>
          <w:b/>
          <w:sz w:val="22"/>
          <w:szCs w:val="22"/>
        </w:rPr>
      </w:pPr>
    </w:p>
    <w:p w:rsidR="0010426F" w:rsidRPr="00427ADD" w:rsidRDefault="00216D97" w:rsidP="00DE4F5E">
      <w:pPr>
        <w:pStyle w:val="BodyText"/>
        <w:spacing w:before="4"/>
        <w:jc w:val="both"/>
      </w:pPr>
      <w:r w:rsidRPr="00427ADD">
        <w:t xml:space="preserve">The purpose of this report is to provide assurance to the Audit and Corporate Governance Committee of the </w:t>
      </w:r>
      <w:proofErr w:type="spellStart"/>
      <w:r w:rsidRPr="00427ADD">
        <w:t>Organisation</w:t>
      </w:r>
      <w:r w:rsidR="00DE4F5E" w:rsidRPr="00427ADD">
        <w:t>’</w:t>
      </w:r>
      <w:r w:rsidRPr="00427ADD">
        <w:t>s</w:t>
      </w:r>
      <w:proofErr w:type="spellEnd"/>
      <w:r w:rsidRPr="00427ADD">
        <w:t xml:space="preserve"> management of the process to ensure compliance with the Welsh Health Circulars issued by the Welsh Government.  </w:t>
      </w:r>
    </w:p>
    <w:p w:rsidR="00216D97" w:rsidRPr="00427ADD" w:rsidRDefault="00216D97" w:rsidP="00811193">
      <w:pPr>
        <w:pStyle w:val="BodyText"/>
        <w:spacing w:before="4"/>
      </w:pPr>
    </w:p>
    <w:p w:rsidR="005362C8" w:rsidRPr="00427ADD" w:rsidRDefault="006B2D5A">
      <w:pPr>
        <w:pStyle w:val="Heading1"/>
        <w:numPr>
          <w:ilvl w:val="0"/>
          <w:numId w:val="4"/>
        </w:numPr>
        <w:tabs>
          <w:tab w:val="left" w:pos="481"/>
        </w:tabs>
        <w:ind w:left="480" w:hanging="360"/>
      </w:pPr>
      <w:r w:rsidRPr="00427ADD">
        <w:t>Background</w:t>
      </w:r>
    </w:p>
    <w:p w:rsidR="00216D97" w:rsidRPr="00427ADD" w:rsidRDefault="00216D97" w:rsidP="00216D97">
      <w:pPr>
        <w:pStyle w:val="Default"/>
      </w:pPr>
    </w:p>
    <w:p w:rsidR="00216D97" w:rsidRPr="00427ADD" w:rsidRDefault="00216D97" w:rsidP="00DE4F5E">
      <w:pPr>
        <w:pStyle w:val="Default"/>
        <w:jc w:val="both"/>
      </w:pPr>
      <w:r w:rsidRPr="00427ADD">
        <w:t>The Board Business Unit maintain a tracker for monitoring and recording the Welsh Health Circulars</w:t>
      </w:r>
      <w:r w:rsidR="00AC7899" w:rsidRPr="00427ADD">
        <w:t xml:space="preserve"> that are received by the Trust. The WHCs are sent to the relevant executive Lead for action, and the </w:t>
      </w:r>
      <w:r w:rsidR="006C682C" w:rsidRPr="00427ADD">
        <w:t>completion of</w:t>
      </w:r>
      <w:r w:rsidR="00AC7899" w:rsidRPr="00427ADD">
        <w:t xml:space="preserve"> actions are recorded in a compliance form. </w:t>
      </w:r>
      <w:r w:rsidRPr="00427ADD">
        <w:t xml:space="preserve"> </w:t>
      </w:r>
    </w:p>
    <w:p w:rsidR="006B6FEC" w:rsidRPr="00427ADD" w:rsidRDefault="006B6FEC" w:rsidP="006B6FEC">
      <w:pPr>
        <w:adjustRightInd w:val="0"/>
        <w:rPr>
          <w:b/>
          <w:sz w:val="24"/>
          <w:szCs w:val="24"/>
        </w:rPr>
      </w:pPr>
    </w:p>
    <w:p w:rsidR="00AC7899" w:rsidRPr="00427ADD" w:rsidRDefault="00216D97" w:rsidP="00216D97">
      <w:pPr>
        <w:pStyle w:val="Default"/>
        <w:rPr>
          <w:b/>
        </w:rPr>
      </w:pPr>
      <w:r w:rsidRPr="00427ADD">
        <w:rPr>
          <w:b/>
        </w:rPr>
        <w:t xml:space="preserve">Internal Audit – Limited assurance </w:t>
      </w:r>
      <w:r w:rsidR="00AC7899" w:rsidRPr="00427ADD">
        <w:rPr>
          <w:b/>
        </w:rPr>
        <w:t>Report</w:t>
      </w:r>
    </w:p>
    <w:p w:rsidR="00216D97" w:rsidRPr="00427ADD" w:rsidRDefault="006C682C" w:rsidP="00DE4F5E">
      <w:pPr>
        <w:pStyle w:val="Default"/>
        <w:jc w:val="both"/>
      </w:pPr>
      <w:r w:rsidRPr="00427ADD">
        <w:t>In May 2020, the Welsh Health Circular process was part of a</w:t>
      </w:r>
      <w:r w:rsidR="002C2D96" w:rsidRPr="00427ADD">
        <w:t>n</w:t>
      </w:r>
      <w:r w:rsidRPr="00427ADD">
        <w:t xml:space="preserve"> Internal Audit Report on the management alerts, which received a limited assurance rating. Following the Audit, the process </w:t>
      </w:r>
      <w:r w:rsidR="005E474E" w:rsidRPr="00427ADD">
        <w:t xml:space="preserve">has been revised </w:t>
      </w:r>
      <w:r w:rsidRPr="00427ADD">
        <w:t xml:space="preserve">for </w:t>
      </w:r>
      <w:r w:rsidR="00216D97" w:rsidRPr="00427ADD">
        <w:t xml:space="preserve">recording and monitoring responses to Welsh Health </w:t>
      </w:r>
      <w:r w:rsidR="005E474E" w:rsidRPr="00427ADD">
        <w:t xml:space="preserve">Circulars, to </w:t>
      </w:r>
      <w:r w:rsidR="00216D97" w:rsidRPr="00427ADD">
        <w:t xml:space="preserve">ensure additional checks </w:t>
      </w:r>
      <w:r w:rsidR="005E474E" w:rsidRPr="00427ADD">
        <w:t>were</w:t>
      </w:r>
      <w:r w:rsidR="00216D97" w:rsidRPr="00427ADD">
        <w:t xml:space="preserve"> put in place to proactively monitor the HOWIS website to ensure all WHC are logged, circulated and communicated around the trust in a timely manner. </w:t>
      </w:r>
    </w:p>
    <w:p w:rsidR="00216D97" w:rsidRPr="00427ADD" w:rsidRDefault="00216D97" w:rsidP="006B6FEC">
      <w:pPr>
        <w:adjustRightInd w:val="0"/>
        <w:rPr>
          <w:b/>
          <w:sz w:val="24"/>
          <w:szCs w:val="24"/>
        </w:rPr>
      </w:pPr>
    </w:p>
    <w:p w:rsidR="002C2D96" w:rsidRPr="00427ADD" w:rsidRDefault="002C2D96" w:rsidP="00427ADD">
      <w:pPr>
        <w:adjustRightInd w:val="0"/>
        <w:jc w:val="both"/>
        <w:rPr>
          <w:rFonts w:eastAsia="Times New Roman" w:cs="Arial"/>
          <w:sz w:val="24"/>
          <w:szCs w:val="24"/>
          <w:lang w:eastAsia="en-GB"/>
        </w:rPr>
      </w:pPr>
      <w:r w:rsidRPr="00427ADD">
        <w:rPr>
          <w:rFonts w:eastAsia="Times New Roman" w:cs="Arial"/>
          <w:b/>
          <w:sz w:val="24"/>
          <w:szCs w:val="24"/>
          <w:lang w:eastAsia="en-GB"/>
        </w:rPr>
        <w:t>Attached at appendix</w:t>
      </w:r>
      <w:r w:rsidRPr="00427ADD">
        <w:rPr>
          <w:rFonts w:eastAsia="Times New Roman" w:cs="Arial"/>
          <w:sz w:val="24"/>
          <w:szCs w:val="24"/>
          <w:lang w:eastAsia="en-GB"/>
        </w:rPr>
        <w:t xml:space="preserve"> 1 is the latest update from the WHC log covering the period </w:t>
      </w:r>
      <w:r w:rsidR="00175883">
        <w:rPr>
          <w:rFonts w:eastAsia="Times New Roman" w:cs="Arial"/>
          <w:sz w:val="24"/>
          <w:szCs w:val="24"/>
          <w:lang w:eastAsia="en-GB"/>
        </w:rPr>
        <w:t>1 August 2020 to 31 March 2021</w:t>
      </w:r>
      <w:r w:rsidRPr="00427ADD">
        <w:rPr>
          <w:rFonts w:eastAsia="Times New Roman" w:cs="Arial"/>
          <w:sz w:val="24"/>
          <w:szCs w:val="24"/>
          <w:lang w:eastAsia="en-GB"/>
        </w:rPr>
        <w:t xml:space="preserve">. </w:t>
      </w:r>
      <w:r w:rsidR="00201D6D">
        <w:rPr>
          <w:rFonts w:eastAsia="Times New Roman" w:cs="Arial"/>
          <w:sz w:val="24"/>
          <w:szCs w:val="24"/>
          <w:lang w:eastAsia="en-GB"/>
        </w:rPr>
        <w:t>17</w:t>
      </w:r>
      <w:r w:rsidRPr="00427ADD">
        <w:rPr>
          <w:rFonts w:eastAsia="Times New Roman" w:cs="Arial"/>
          <w:sz w:val="24"/>
          <w:szCs w:val="24"/>
          <w:lang w:eastAsia="en-GB"/>
        </w:rPr>
        <w:t xml:space="preserve"> Welsh Health Circulars have been received in total:</w:t>
      </w:r>
    </w:p>
    <w:p w:rsidR="002C2D96" w:rsidRDefault="002C2D96" w:rsidP="006B6FEC">
      <w:pPr>
        <w:adjustRightInd w:val="0"/>
        <w:rPr>
          <w:rFonts w:eastAsia="Times New Roman" w:cs="Arial"/>
          <w:sz w:val="24"/>
          <w:szCs w:val="24"/>
          <w:lang w:eastAsia="en-GB"/>
        </w:rPr>
      </w:pPr>
    </w:p>
    <w:p w:rsidR="00E33450" w:rsidRPr="00427ADD" w:rsidRDefault="00E33450" w:rsidP="006B6FEC">
      <w:pPr>
        <w:adjustRightInd w:val="0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>Of the 17 received:</w:t>
      </w:r>
    </w:p>
    <w:p w:rsidR="002C2D96" w:rsidRPr="00427ADD" w:rsidRDefault="00E33450" w:rsidP="00B9287D">
      <w:pPr>
        <w:pStyle w:val="ListParagraph"/>
        <w:numPr>
          <w:ilvl w:val="0"/>
          <w:numId w:val="7"/>
        </w:numPr>
        <w:adjustRightInd w:val="0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>4</w:t>
      </w:r>
      <w:r w:rsidR="005F2EEB" w:rsidRPr="00427ADD">
        <w:rPr>
          <w:rFonts w:eastAsia="Times New Roman" w:cs="Arial"/>
          <w:sz w:val="24"/>
          <w:szCs w:val="24"/>
          <w:lang w:eastAsia="en-GB"/>
        </w:rPr>
        <w:t xml:space="preserve"> were</w:t>
      </w:r>
      <w:r>
        <w:rPr>
          <w:rFonts w:eastAsia="Times New Roman" w:cs="Arial"/>
          <w:sz w:val="24"/>
          <w:szCs w:val="24"/>
          <w:lang w:eastAsia="en-GB"/>
        </w:rPr>
        <w:t xml:space="preserve"> for information </w:t>
      </w:r>
    </w:p>
    <w:p w:rsidR="002C2D96" w:rsidRDefault="00E33450" w:rsidP="00B9287D">
      <w:pPr>
        <w:pStyle w:val="ListParagraph"/>
        <w:numPr>
          <w:ilvl w:val="0"/>
          <w:numId w:val="7"/>
        </w:numPr>
        <w:adjustRightInd w:val="0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12 were for action </w:t>
      </w:r>
    </w:p>
    <w:p w:rsidR="00E33450" w:rsidRDefault="00E33450" w:rsidP="00B9287D">
      <w:pPr>
        <w:pStyle w:val="ListParagraph"/>
        <w:numPr>
          <w:ilvl w:val="0"/>
          <w:numId w:val="7"/>
        </w:numPr>
        <w:adjustRightInd w:val="0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>1 was for compliance</w:t>
      </w:r>
    </w:p>
    <w:p w:rsidR="00E33450" w:rsidRPr="00E33450" w:rsidRDefault="00E33450" w:rsidP="00E33450">
      <w:pPr>
        <w:adjustRightInd w:val="0"/>
        <w:ind w:left="360"/>
        <w:rPr>
          <w:rFonts w:eastAsia="Times New Roman" w:cs="Arial"/>
          <w:sz w:val="24"/>
          <w:szCs w:val="24"/>
          <w:lang w:eastAsia="en-GB"/>
        </w:rPr>
      </w:pPr>
    </w:p>
    <w:p w:rsidR="00E33450" w:rsidRPr="00E33450" w:rsidRDefault="00E33450" w:rsidP="00E33450">
      <w:pPr>
        <w:adjustRightInd w:val="0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>Following the review of the WHCs, 6 of the 17 received w</w:t>
      </w:r>
      <w:r w:rsidRPr="00E33450">
        <w:rPr>
          <w:rFonts w:eastAsia="Times New Roman" w:cs="Arial"/>
          <w:sz w:val="24"/>
          <w:szCs w:val="24"/>
          <w:lang w:eastAsia="en-GB"/>
        </w:rPr>
        <w:t>ere not applicable to Public Health Wales.</w:t>
      </w:r>
    </w:p>
    <w:p w:rsidR="002C2D96" w:rsidRPr="00427ADD" w:rsidRDefault="002C2D96" w:rsidP="002C2D96">
      <w:pPr>
        <w:pStyle w:val="ListParagraph"/>
        <w:adjustRightInd w:val="0"/>
        <w:ind w:left="720" w:firstLine="0"/>
        <w:rPr>
          <w:rFonts w:eastAsia="Times New Roman" w:cs="Arial"/>
          <w:sz w:val="24"/>
          <w:szCs w:val="24"/>
          <w:lang w:eastAsia="en-GB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536"/>
        <w:gridCol w:w="2693"/>
      </w:tblGrid>
      <w:tr w:rsidR="00ED1B4A" w:rsidRPr="00ED1B4A" w:rsidTr="00E33450">
        <w:trPr>
          <w:trHeight w:val="600"/>
        </w:trPr>
        <w:tc>
          <w:tcPr>
            <w:tcW w:w="1980" w:type="dxa"/>
            <w:shd w:val="clear" w:color="auto" w:fill="auto"/>
            <w:hideMark/>
          </w:tcPr>
          <w:p w:rsidR="00ED1B4A" w:rsidRPr="00ED1B4A" w:rsidRDefault="00ED1B4A" w:rsidP="00ED1B4A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 w:rsidRPr="00ED1B4A"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>WHC 2020/012</w:t>
            </w:r>
          </w:p>
        </w:tc>
        <w:tc>
          <w:tcPr>
            <w:tcW w:w="4536" w:type="dxa"/>
            <w:shd w:val="clear" w:color="auto" w:fill="auto"/>
            <w:hideMark/>
          </w:tcPr>
          <w:p w:rsidR="00ED1B4A" w:rsidRPr="00ED1B4A" w:rsidRDefault="00ED1B4A" w:rsidP="00ED1B4A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</w:pPr>
            <w:r w:rsidRPr="00ED1B4A"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  <w:t>Clinical Assessment of COVID-19 in the Community</w:t>
            </w:r>
          </w:p>
        </w:tc>
        <w:tc>
          <w:tcPr>
            <w:tcW w:w="2693" w:type="dxa"/>
            <w:shd w:val="clear" w:color="auto" w:fill="auto"/>
            <w:hideMark/>
          </w:tcPr>
          <w:p w:rsidR="00ED1B4A" w:rsidRDefault="00ED1B4A" w:rsidP="00ED1B4A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 w:rsidRPr="00ED1B4A"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 xml:space="preserve">Information </w:t>
            </w:r>
          </w:p>
          <w:p w:rsidR="00E33450" w:rsidRPr="00ED1B4A" w:rsidRDefault="00E33450" w:rsidP="00ED1B4A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>(not applicable to PHW)</w:t>
            </w:r>
          </w:p>
        </w:tc>
      </w:tr>
      <w:tr w:rsidR="00ED1B4A" w:rsidRPr="00ED1B4A" w:rsidTr="00E33450">
        <w:trPr>
          <w:trHeight w:val="600"/>
        </w:trPr>
        <w:tc>
          <w:tcPr>
            <w:tcW w:w="1980" w:type="dxa"/>
            <w:shd w:val="clear" w:color="auto" w:fill="auto"/>
            <w:hideMark/>
          </w:tcPr>
          <w:p w:rsidR="00ED1B4A" w:rsidRPr="00ED1B4A" w:rsidRDefault="00ED1B4A" w:rsidP="00ED1B4A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 w:rsidRPr="00ED1B4A"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>WHC 2020/013</w:t>
            </w:r>
          </w:p>
        </w:tc>
        <w:tc>
          <w:tcPr>
            <w:tcW w:w="4536" w:type="dxa"/>
            <w:shd w:val="clear" w:color="auto" w:fill="auto"/>
            <w:hideMark/>
          </w:tcPr>
          <w:p w:rsidR="00ED1B4A" w:rsidRPr="00ED1B4A" w:rsidRDefault="00ED1B4A" w:rsidP="00B12B43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</w:pPr>
            <w:r w:rsidRPr="00201D6D"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  <w:t>The National Influenza Immunisation Programme 2020-21 (2)</w:t>
            </w:r>
            <w:r w:rsidRPr="00ED1B4A"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  <w:br/>
            </w:r>
            <w:r w:rsidRPr="00ED1B4A"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:rsidR="00ED1B4A" w:rsidRPr="00ED1B4A" w:rsidRDefault="00ED1B4A" w:rsidP="00ED1B4A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 w:rsidRPr="00ED1B4A"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>Action</w:t>
            </w:r>
          </w:p>
        </w:tc>
      </w:tr>
      <w:tr w:rsidR="00ED1B4A" w:rsidRPr="00ED1B4A" w:rsidTr="00E33450">
        <w:trPr>
          <w:trHeight w:val="480"/>
        </w:trPr>
        <w:tc>
          <w:tcPr>
            <w:tcW w:w="1980" w:type="dxa"/>
            <w:shd w:val="clear" w:color="000000" w:fill="FFFFFF"/>
            <w:hideMark/>
          </w:tcPr>
          <w:p w:rsidR="00ED1B4A" w:rsidRPr="00ED1B4A" w:rsidRDefault="00ED1B4A" w:rsidP="00ED1B4A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 w:rsidRPr="00ED1B4A"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>WHC 2020/014</w:t>
            </w:r>
          </w:p>
        </w:tc>
        <w:tc>
          <w:tcPr>
            <w:tcW w:w="4536" w:type="dxa"/>
            <w:shd w:val="clear" w:color="000000" w:fill="FFFFFF"/>
            <w:hideMark/>
          </w:tcPr>
          <w:p w:rsidR="00ED1B4A" w:rsidRPr="00ED1B4A" w:rsidRDefault="00ED1B4A" w:rsidP="00ED1B4A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</w:pPr>
            <w:r w:rsidRPr="00ED1B4A"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  <w:t>Ear Wax Management Primary Care and Community Pathway</w:t>
            </w:r>
          </w:p>
        </w:tc>
        <w:tc>
          <w:tcPr>
            <w:tcW w:w="2693" w:type="dxa"/>
            <w:shd w:val="clear" w:color="000000" w:fill="FFFFFF"/>
            <w:hideMark/>
          </w:tcPr>
          <w:p w:rsidR="00ED1B4A" w:rsidRDefault="00ED1B4A" w:rsidP="00ED1B4A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 w:rsidRPr="00ED1B4A"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>Compliance</w:t>
            </w:r>
          </w:p>
          <w:p w:rsidR="00E33450" w:rsidRPr="00ED1B4A" w:rsidRDefault="00E33450" w:rsidP="00ED1B4A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>(not applicable to PHW)</w:t>
            </w:r>
          </w:p>
        </w:tc>
      </w:tr>
      <w:tr w:rsidR="00ED1B4A" w:rsidRPr="00ED1B4A" w:rsidTr="00E33450">
        <w:trPr>
          <w:trHeight w:val="600"/>
        </w:trPr>
        <w:tc>
          <w:tcPr>
            <w:tcW w:w="1980" w:type="dxa"/>
            <w:shd w:val="clear" w:color="auto" w:fill="auto"/>
            <w:hideMark/>
          </w:tcPr>
          <w:p w:rsidR="00ED1B4A" w:rsidRPr="00ED1B4A" w:rsidRDefault="00ED1B4A" w:rsidP="00ED1B4A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 w:rsidRPr="00ED1B4A"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>WHC 2020/015</w:t>
            </w:r>
          </w:p>
        </w:tc>
        <w:tc>
          <w:tcPr>
            <w:tcW w:w="4536" w:type="dxa"/>
            <w:shd w:val="clear" w:color="auto" w:fill="auto"/>
            <w:hideMark/>
          </w:tcPr>
          <w:p w:rsidR="00ED1B4A" w:rsidRPr="00ED1B4A" w:rsidRDefault="00ED1B4A" w:rsidP="00ED1B4A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</w:pPr>
            <w:r w:rsidRPr="00ED1B4A"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  <w:t>Policy on Single Use and Reusable Laryngoscopes</w:t>
            </w:r>
          </w:p>
        </w:tc>
        <w:tc>
          <w:tcPr>
            <w:tcW w:w="2693" w:type="dxa"/>
            <w:shd w:val="clear" w:color="auto" w:fill="auto"/>
            <w:hideMark/>
          </w:tcPr>
          <w:p w:rsidR="00ED1B4A" w:rsidRDefault="00ED1B4A" w:rsidP="00ED1B4A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 w:rsidRPr="00ED1B4A"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>Action</w:t>
            </w:r>
          </w:p>
          <w:p w:rsidR="00E33450" w:rsidRPr="00ED1B4A" w:rsidRDefault="00E33450" w:rsidP="00ED1B4A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>(not applicable to PHW)</w:t>
            </w:r>
          </w:p>
        </w:tc>
      </w:tr>
      <w:tr w:rsidR="00ED1B4A" w:rsidRPr="00ED1B4A" w:rsidTr="00E33450">
        <w:trPr>
          <w:trHeight w:val="1285"/>
        </w:trPr>
        <w:tc>
          <w:tcPr>
            <w:tcW w:w="1980" w:type="dxa"/>
            <w:shd w:val="clear" w:color="auto" w:fill="auto"/>
            <w:hideMark/>
          </w:tcPr>
          <w:p w:rsidR="00ED1B4A" w:rsidRPr="00ED1B4A" w:rsidRDefault="00ED1B4A" w:rsidP="00ED1B4A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 w:rsidRPr="00ED1B4A"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lastRenderedPageBreak/>
              <w:t>WHC 2020/016</w:t>
            </w:r>
          </w:p>
        </w:tc>
        <w:tc>
          <w:tcPr>
            <w:tcW w:w="4536" w:type="dxa"/>
            <w:shd w:val="clear" w:color="auto" w:fill="auto"/>
            <w:hideMark/>
          </w:tcPr>
          <w:p w:rsidR="00ED1B4A" w:rsidRPr="00ED1B4A" w:rsidRDefault="00ED1B4A" w:rsidP="00ED1B4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 w:bidi="ar-SA"/>
              </w:rPr>
            </w:pPr>
            <w:r w:rsidRPr="00ED1B4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 w:bidi="ar-SA"/>
              </w:rPr>
              <w:t xml:space="preserve">Procedure for Performance Management, Removal or Suspension of NHS Chairs, Vice-Chairs and Independent Members/Non-Executive Directors, Including Associate Members </w:t>
            </w:r>
          </w:p>
        </w:tc>
        <w:tc>
          <w:tcPr>
            <w:tcW w:w="2693" w:type="dxa"/>
            <w:shd w:val="clear" w:color="auto" w:fill="auto"/>
            <w:hideMark/>
          </w:tcPr>
          <w:p w:rsidR="00ED1B4A" w:rsidRPr="00ED1B4A" w:rsidRDefault="00ED1B4A" w:rsidP="00ED1B4A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 w:rsidRPr="00ED1B4A"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>Action</w:t>
            </w:r>
          </w:p>
        </w:tc>
      </w:tr>
      <w:tr w:rsidR="00ED1B4A" w:rsidRPr="00ED1B4A" w:rsidTr="00E33450">
        <w:trPr>
          <w:trHeight w:val="600"/>
        </w:trPr>
        <w:tc>
          <w:tcPr>
            <w:tcW w:w="1980" w:type="dxa"/>
            <w:shd w:val="clear" w:color="auto" w:fill="auto"/>
            <w:hideMark/>
          </w:tcPr>
          <w:p w:rsidR="00ED1B4A" w:rsidRPr="00ED1B4A" w:rsidRDefault="00ED1B4A" w:rsidP="00ED1B4A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 w:rsidRPr="00ED1B4A"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>WHC 2020/018</w:t>
            </w:r>
          </w:p>
        </w:tc>
        <w:tc>
          <w:tcPr>
            <w:tcW w:w="4536" w:type="dxa"/>
            <w:shd w:val="clear" w:color="auto" w:fill="auto"/>
            <w:hideMark/>
          </w:tcPr>
          <w:p w:rsidR="00ED1B4A" w:rsidRPr="00ED1B4A" w:rsidRDefault="00ED1B4A" w:rsidP="00ED1B4A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</w:pPr>
            <w:r w:rsidRPr="00ED1B4A"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  <w:t>Last Person Standing</w:t>
            </w:r>
          </w:p>
        </w:tc>
        <w:tc>
          <w:tcPr>
            <w:tcW w:w="2693" w:type="dxa"/>
            <w:shd w:val="clear" w:color="auto" w:fill="auto"/>
            <w:hideMark/>
          </w:tcPr>
          <w:p w:rsidR="00ED1B4A" w:rsidRDefault="00ED1B4A" w:rsidP="00ED1B4A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 w:rsidRPr="00ED1B4A"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 xml:space="preserve">Information </w:t>
            </w:r>
          </w:p>
          <w:p w:rsidR="00E33450" w:rsidRPr="00ED1B4A" w:rsidRDefault="00E33450" w:rsidP="00ED1B4A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>(not applicable to PHW)</w:t>
            </w:r>
          </w:p>
        </w:tc>
      </w:tr>
      <w:tr w:rsidR="00ED1B4A" w:rsidRPr="00ED1B4A" w:rsidTr="00E33450">
        <w:trPr>
          <w:trHeight w:val="600"/>
        </w:trPr>
        <w:tc>
          <w:tcPr>
            <w:tcW w:w="1980" w:type="dxa"/>
            <w:shd w:val="clear" w:color="auto" w:fill="auto"/>
            <w:hideMark/>
          </w:tcPr>
          <w:p w:rsidR="00ED1B4A" w:rsidRPr="00ED1B4A" w:rsidRDefault="00ED1B4A" w:rsidP="00ED1B4A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 w:rsidRPr="00ED1B4A"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>WHC 2020/019</w:t>
            </w:r>
          </w:p>
        </w:tc>
        <w:tc>
          <w:tcPr>
            <w:tcW w:w="4536" w:type="dxa"/>
            <w:shd w:val="clear" w:color="auto" w:fill="auto"/>
            <w:hideMark/>
          </w:tcPr>
          <w:p w:rsidR="00ED1B4A" w:rsidRPr="00ED1B4A" w:rsidRDefault="00ED1B4A" w:rsidP="00ED1B4A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</w:pPr>
            <w:r w:rsidRPr="00ED1B4A"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  <w:t>Expectations for NHS Health Boards and Trusts to ensure the health and wellbeing of the workforce during the Covid 19 pandemic</w:t>
            </w:r>
          </w:p>
        </w:tc>
        <w:tc>
          <w:tcPr>
            <w:tcW w:w="2693" w:type="dxa"/>
            <w:shd w:val="clear" w:color="auto" w:fill="auto"/>
            <w:hideMark/>
          </w:tcPr>
          <w:p w:rsidR="00ED1B4A" w:rsidRPr="00ED1B4A" w:rsidRDefault="00ED1B4A" w:rsidP="00ED1B4A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 w:rsidRPr="00ED1B4A"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>Action</w:t>
            </w:r>
          </w:p>
        </w:tc>
      </w:tr>
      <w:tr w:rsidR="00ED1B4A" w:rsidRPr="00ED1B4A" w:rsidTr="00E33450">
        <w:trPr>
          <w:trHeight w:val="600"/>
        </w:trPr>
        <w:tc>
          <w:tcPr>
            <w:tcW w:w="1980" w:type="dxa"/>
            <w:shd w:val="clear" w:color="auto" w:fill="auto"/>
            <w:hideMark/>
          </w:tcPr>
          <w:p w:rsidR="00ED1B4A" w:rsidRPr="00ED1B4A" w:rsidRDefault="00ED1B4A" w:rsidP="00ED1B4A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 w:rsidRPr="00ED1B4A"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>WHC 2020/022</w:t>
            </w:r>
          </w:p>
        </w:tc>
        <w:tc>
          <w:tcPr>
            <w:tcW w:w="4536" w:type="dxa"/>
            <w:shd w:val="clear" w:color="auto" w:fill="auto"/>
            <w:hideMark/>
          </w:tcPr>
          <w:p w:rsidR="00ED1B4A" w:rsidRPr="00ED1B4A" w:rsidRDefault="00ED1B4A" w:rsidP="00ED1B4A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</w:pPr>
            <w:r w:rsidRPr="00ED1B4A"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  <w:t>NHS Wales Annual Planning Framework 2021-22</w:t>
            </w:r>
          </w:p>
        </w:tc>
        <w:tc>
          <w:tcPr>
            <w:tcW w:w="2693" w:type="dxa"/>
            <w:shd w:val="clear" w:color="auto" w:fill="auto"/>
            <w:hideMark/>
          </w:tcPr>
          <w:p w:rsidR="00ED1B4A" w:rsidRPr="00ED1B4A" w:rsidRDefault="00ED1B4A" w:rsidP="00ED1B4A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 w:rsidRPr="00ED1B4A"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>Action</w:t>
            </w:r>
          </w:p>
        </w:tc>
      </w:tr>
      <w:tr w:rsidR="00ED1B4A" w:rsidRPr="00ED1B4A" w:rsidTr="00E33450">
        <w:trPr>
          <w:trHeight w:val="600"/>
        </w:trPr>
        <w:tc>
          <w:tcPr>
            <w:tcW w:w="1980" w:type="dxa"/>
            <w:shd w:val="clear" w:color="auto" w:fill="auto"/>
            <w:hideMark/>
          </w:tcPr>
          <w:p w:rsidR="00ED1B4A" w:rsidRPr="00ED1B4A" w:rsidRDefault="00ED1B4A" w:rsidP="00ED1B4A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 w:rsidRPr="00ED1B4A"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>WHC 2020/023</w:t>
            </w:r>
          </w:p>
        </w:tc>
        <w:tc>
          <w:tcPr>
            <w:tcW w:w="4536" w:type="dxa"/>
            <w:shd w:val="clear" w:color="auto" w:fill="auto"/>
            <w:hideMark/>
          </w:tcPr>
          <w:p w:rsidR="00ED1B4A" w:rsidRPr="00ED1B4A" w:rsidRDefault="00ED1B4A" w:rsidP="00ED1B4A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</w:pPr>
            <w:r w:rsidRPr="00ED1B4A"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  <w:t>EU Exit - Continuity of Medicine Supply at the end of the Transition Period</w:t>
            </w:r>
          </w:p>
        </w:tc>
        <w:tc>
          <w:tcPr>
            <w:tcW w:w="2693" w:type="dxa"/>
            <w:shd w:val="clear" w:color="auto" w:fill="auto"/>
            <w:hideMark/>
          </w:tcPr>
          <w:p w:rsidR="00ED1B4A" w:rsidRPr="00ED1B4A" w:rsidRDefault="00ED1B4A" w:rsidP="00ED1B4A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 w:rsidRPr="00ED1B4A"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 xml:space="preserve">Information </w:t>
            </w:r>
          </w:p>
        </w:tc>
      </w:tr>
      <w:tr w:rsidR="00ED1B4A" w:rsidRPr="00ED1B4A" w:rsidTr="00E33450">
        <w:trPr>
          <w:trHeight w:val="600"/>
        </w:trPr>
        <w:tc>
          <w:tcPr>
            <w:tcW w:w="1980" w:type="dxa"/>
            <w:shd w:val="clear" w:color="auto" w:fill="auto"/>
            <w:hideMark/>
          </w:tcPr>
          <w:p w:rsidR="00ED1B4A" w:rsidRPr="00ED1B4A" w:rsidRDefault="00ED1B4A" w:rsidP="00ED1B4A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 w:rsidRPr="00ED1B4A"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>WHC 2020/024</w:t>
            </w:r>
          </w:p>
        </w:tc>
        <w:tc>
          <w:tcPr>
            <w:tcW w:w="4536" w:type="dxa"/>
            <w:shd w:val="clear" w:color="auto" w:fill="auto"/>
            <w:hideMark/>
          </w:tcPr>
          <w:p w:rsidR="00ED1B4A" w:rsidRPr="00ED1B4A" w:rsidRDefault="00ED1B4A" w:rsidP="00ED1B4A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</w:pPr>
            <w:r w:rsidRPr="00ED1B4A"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  <w:t>Clinical Assessment of COVID-19 in the Community Updated</w:t>
            </w:r>
          </w:p>
        </w:tc>
        <w:tc>
          <w:tcPr>
            <w:tcW w:w="2693" w:type="dxa"/>
            <w:shd w:val="clear" w:color="auto" w:fill="auto"/>
            <w:hideMark/>
          </w:tcPr>
          <w:p w:rsidR="00ED1B4A" w:rsidRPr="00ED1B4A" w:rsidRDefault="00ED1B4A" w:rsidP="00ED1B4A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 w:rsidRPr="00ED1B4A"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 xml:space="preserve">Information </w:t>
            </w:r>
          </w:p>
        </w:tc>
      </w:tr>
      <w:tr w:rsidR="00ED1B4A" w:rsidRPr="00ED1B4A" w:rsidTr="00E33450">
        <w:trPr>
          <w:trHeight w:val="600"/>
        </w:trPr>
        <w:tc>
          <w:tcPr>
            <w:tcW w:w="1980" w:type="dxa"/>
            <w:shd w:val="clear" w:color="auto" w:fill="auto"/>
            <w:hideMark/>
          </w:tcPr>
          <w:p w:rsidR="00ED1B4A" w:rsidRPr="00ED1B4A" w:rsidRDefault="00ED1B4A" w:rsidP="00ED1B4A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 w:rsidRPr="00ED1B4A"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>WHC 2020/025</w:t>
            </w:r>
          </w:p>
        </w:tc>
        <w:tc>
          <w:tcPr>
            <w:tcW w:w="4536" w:type="dxa"/>
            <w:shd w:val="clear" w:color="auto" w:fill="auto"/>
            <w:hideMark/>
          </w:tcPr>
          <w:p w:rsidR="00ED1B4A" w:rsidRPr="00ED1B4A" w:rsidRDefault="00ED1B4A" w:rsidP="00ED1B4A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</w:pPr>
            <w:r w:rsidRPr="00ED1B4A"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  <w:t>2021-22 Health Board and Public Health Wales NHS Trust Allocations</w:t>
            </w:r>
          </w:p>
        </w:tc>
        <w:tc>
          <w:tcPr>
            <w:tcW w:w="2693" w:type="dxa"/>
            <w:shd w:val="clear" w:color="auto" w:fill="auto"/>
            <w:hideMark/>
          </w:tcPr>
          <w:p w:rsidR="00ED1B4A" w:rsidRPr="00ED1B4A" w:rsidRDefault="00ED1B4A" w:rsidP="00ED1B4A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 w:rsidRPr="00ED1B4A"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>Action</w:t>
            </w:r>
          </w:p>
        </w:tc>
      </w:tr>
      <w:tr w:rsidR="00B12B43" w:rsidRPr="00B12B43" w:rsidTr="00E33450">
        <w:trPr>
          <w:trHeight w:val="600"/>
        </w:trPr>
        <w:tc>
          <w:tcPr>
            <w:tcW w:w="1980" w:type="dxa"/>
            <w:shd w:val="clear" w:color="auto" w:fill="auto"/>
            <w:hideMark/>
          </w:tcPr>
          <w:p w:rsidR="00B12B43" w:rsidRPr="00B12B43" w:rsidRDefault="00B12B43" w:rsidP="00B12B43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 w:rsidRPr="00B12B43"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>WHC 2021/002</w:t>
            </w:r>
          </w:p>
        </w:tc>
        <w:tc>
          <w:tcPr>
            <w:tcW w:w="4536" w:type="dxa"/>
            <w:shd w:val="clear" w:color="auto" w:fill="auto"/>
            <w:hideMark/>
          </w:tcPr>
          <w:p w:rsidR="00B12B43" w:rsidRPr="00B12B43" w:rsidRDefault="00B12B43" w:rsidP="00B12B43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</w:pPr>
            <w:r w:rsidRPr="00B12B43"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  <w:t>Board Champions</w:t>
            </w:r>
          </w:p>
        </w:tc>
        <w:tc>
          <w:tcPr>
            <w:tcW w:w="2693" w:type="dxa"/>
            <w:shd w:val="clear" w:color="auto" w:fill="auto"/>
            <w:hideMark/>
          </w:tcPr>
          <w:p w:rsidR="00B12B43" w:rsidRPr="00B12B43" w:rsidRDefault="00B12B43" w:rsidP="00B12B43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 w:rsidRPr="00B12B43"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>Action</w:t>
            </w:r>
          </w:p>
        </w:tc>
      </w:tr>
      <w:tr w:rsidR="00B12B43" w:rsidRPr="00B12B43" w:rsidTr="00E33450">
        <w:trPr>
          <w:trHeight w:val="600"/>
        </w:trPr>
        <w:tc>
          <w:tcPr>
            <w:tcW w:w="1980" w:type="dxa"/>
            <w:shd w:val="clear" w:color="auto" w:fill="auto"/>
            <w:hideMark/>
          </w:tcPr>
          <w:p w:rsidR="00B12B43" w:rsidRPr="00B12B43" w:rsidRDefault="00B12B43" w:rsidP="00B12B43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 w:rsidRPr="00B12B43"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>WHC 2021/003</w:t>
            </w:r>
          </w:p>
        </w:tc>
        <w:tc>
          <w:tcPr>
            <w:tcW w:w="4536" w:type="dxa"/>
            <w:shd w:val="clear" w:color="auto" w:fill="auto"/>
            <w:hideMark/>
          </w:tcPr>
          <w:p w:rsidR="00B12B43" w:rsidRPr="00B12B43" w:rsidRDefault="00B12B43" w:rsidP="00B12B43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</w:pPr>
            <w:r w:rsidRPr="00B12B43"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  <w:t>Senedd Election 2021</w:t>
            </w:r>
          </w:p>
        </w:tc>
        <w:tc>
          <w:tcPr>
            <w:tcW w:w="2693" w:type="dxa"/>
            <w:shd w:val="clear" w:color="auto" w:fill="auto"/>
            <w:hideMark/>
          </w:tcPr>
          <w:p w:rsidR="00B12B43" w:rsidRPr="00B12B43" w:rsidRDefault="00B12B43" w:rsidP="00B12B43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 w:rsidRPr="00B12B43"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>Action</w:t>
            </w:r>
          </w:p>
        </w:tc>
      </w:tr>
      <w:tr w:rsidR="00B12B43" w:rsidRPr="00B12B43" w:rsidTr="00E33450">
        <w:trPr>
          <w:trHeight w:val="600"/>
        </w:trPr>
        <w:tc>
          <w:tcPr>
            <w:tcW w:w="1980" w:type="dxa"/>
            <w:shd w:val="clear" w:color="auto" w:fill="auto"/>
            <w:hideMark/>
          </w:tcPr>
          <w:p w:rsidR="00B12B43" w:rsidRPr="00B12B43" w:rsidRDefault="00B12B43" w:rsidP="00B12B43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 w:rsidRPr="00B12B43"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>WHC 2021/004</w:t>
            </w:r>
          </w:p>
        </w:tc>
        <w:tc>
          <w:tcPr>
            <w:tcW w:w="4536" w:type="dxa"/>
            <w:shd w:val="clear" w:color="auto" w:fill="auto"/>
            <w:hideMark/>
          </w:tcPr>
          <w:p w:rsidR="00B12B43" w:rsidRPr="00B12B43" w:rsidRDefault="00B12B43" w:rsidP="00B12B43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</w:pPr>
            <w:r w:rsidRPr="00B12B43"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  <w:t>Ordering influenza vaccines for the 2021-2022 season</w:t>
            </w:r>
          </w:p>
        </w:tc>
        <w:tc>
          <w:tcPr>
            <w:tcW w:w="2693" w:type="dxa"/>
            <w:shd w:val="clear" w:color="auto" w:fill="auto"/>
            <w:hideMark/>
          </w:tcPr>
          <w:p w:rsidR="00B12B43" w:rsidRPr="00B12B43" w:rsidRDefault="00B12B43" w:rsidP="00B12B43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 w:rsidRPr="00B12B43"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>Action</w:t>
            </w:r>
          </w:p>
        </w:tc>
      </w:tr>
      <w:tr w:rsidR="00B12B43" w:rsidRPr="00B12B43" w:rsidTr="00E33450">
        <w:trPr>
          <w:trHeight w:val="600"/>
        </w:trPr>
        <w:tc>
          <w:tcPr>
            <w:tcW w:w="1980" w:type="dxa"/>
            <w:shd w:val="clear" w:color="auto" w:fill="auto"/>
            <w:hideMark/>
          </w:tcPr>
          <w:p w:rsidR="00B12B43" w:rsidRPr="00B12B43" w:rsidRDefault="00B12B43" w:rsidP="00B12B43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 w:rsidRPr="00B12B43"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>WHC 2021/006</w:t>
            </w:r>
          </w:p>
        </w:tc>
        <w:tc>
          <w:tcPr>
            <w:tcW w:w="4536" w:type="dxa"/>
            <w:shd w:val="clear" w:color="auto" w:fill="auto"/>
            <w:hideMark/>
          </w:tcPr>
          <w:p w:rsidR="00B12B43" w:rsidRPr="00B12B43" w:rsidRDefault="00B12B43" w:rsidP="00B12B43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</w:pPr>
            <w:r w:rsidRPr="00B12B43"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  <w:t>Senedd Election 2021 - Guidance for NHS Wales</w:t>
            </w:r>
          </w:p>
        </w:tc>
        <w:tc>
          <w:tcPr>
            <w:tcW w:w="2693" w:type="dxa"/>
            <w:shd w:val="clear" w:color="auto" w:fill="auto"/>
            <w:hideMark/>
          </w:tcPr>
          <w:p w:rsidR="00B12B43" w:rsidRPr="00B12B43" w:rsidRDefault="00B12B43" w:rsidP="00B12B43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 w:rsidRPr="00B12B43"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>Action</w:t>
            </w:r>
          </w:p>
        </w:tc>
      </w:tr>
      <w:tr w:rsidR="00B12B43" w:rsidRPr="00B12B43" w:rsidTr="00E33450">
        <w:trPr>
          <w:trHeight w:val="600"/>
        </w:trPr>
        <w:tc>
          <w:tcPr>
            <w:tcW w:w="1980" w:type="dxa"/>
            <w:shd w:val="clear" w:color="auto" w:fill="auto"/>
            <w:hideMark/>
          </w:tcPr>
          <w:p w:rsidR="00B12B43" w:rsidRPr="00B12B43" w:rsidRDefault="00B12B43" w:rsidP="00B12B43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 w:rsidRPr="00B12B43"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>WHC 2021/007</w:t>
            </w:r>
          </w:p>
        </w:tc>
        <w:tc>
          <w:tcPr>
            <w:tcW w:w="4536" w:type="dxa"/>
            <w:shd w:val="clear" w:color="auto" w:fill="auto"/>
            <w:hideMark/>
          </w:tcPr>
          <w:p w:rsidR="00B12B43" w:rsidRPr="00B12B43" w:rsidRDefault="00B12B43" w:rsidP="00B12B43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</w:pPr>
            <w:r w:rsidRPr="00B12B43"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  <w:t xml:space="preserve">The Health Child Wales Programme - The 6 week </w:t>
            </w:r>
            <w:proofErr w:type="spellStart"/>
            <w:r w:rsidRPr="00B12B43"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  <w:t>post natal</w:t>
            </w:r>
            <w:proofErr w:type="spellEnd"/>
            <w:r w:rsidRPr="00B12B43"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  <w:t xml:space="preserve"> GP physical examination of child contact</w:t>
            </w:r>
          </w:p>
        </w:tc>
        <w:tc>
          <w:tcPr>
            <w:tcW w:w="2693" w:type="dxa"/>
            <w:shd w:val="clear" w:color="auto" w:fill="auto"/>
            <w:hideMark/>
          </w:tcPr>
          <w:p w:rsidR="00B12B43" w:rsidRDefault="00B12B43" w:rsidP="00B12B43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 w:rsidRPr="00B12B43"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>Action</w:t>
            </w:r>
          </w:p>
          <w:p w:rsidR="00E33450" w:rsidRPr="00B12B43" w:rsidRDefault="00E33450" w:rsidP="00B12B43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>(not applicable to PHW)</w:t>
            </w:r>
          </w:p>
        </w:tc>
      </w:tr>
      <w:tr w:rsidR="00B12B43" w:rsidRPr="00B12B43" w:rsidTr="00E33450">
        <w:trPr>
          <w:trHeight w:val="600"/>
        </w:trPr>
        <w:tc>
          <w:tcPr>
            <w:tcW w:w="1980" w:type="dxa"/>
            <w:shd w:val="clear" w:color="auto" w:fill="auto"/>
            <w:hideMark/>
          </w:tcPr>
          <w:p w:rsidR="00B12B43" w:rsidRPr="00B12B43" w:rsidRDefault="00B12B43" w:rsidP="00B12B43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 w:rsidRPr="00B12B43"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>WHC 2021/009</w:t>
            </w:r>
          </w:p>
        </w:tc>
        <w:tc>
          <w:tcPr>
            <w:tcW w:w="4536" w:type="dxa"/>
            <w:shd w:val="clear" w:color="auto" w:fill="auto"/>
            <w:hideMark/>
          </w:tcPr>
          <w:p w:rsidR="00B12B43" w:rsidRPr="00B12B43" w:rsidRDefault="00B12B43" w:rsidP="00B12B43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</w:pPr>
            <w:r w:rsidRPr="00B12B43"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  <w:t>School Entry Hearing Screening Pathway</w:t>
            </w:r>
          </w:p>
        </w:tc>
        <w:tc>
          <w:tcPr>
            <w:tcW w:w="2693" w:type="dxa"/>
            <w:shd w:val="clear" w:color="auto" w:fill="auto"/>
            <w:hideMark/>
          </w:tcPr>
          <w:p w:rsidR="00B12B43" w:rsidRDefault="00B12B43" w:rsidP="00B12B43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 w:rsidRPr="00B12B43"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>Action</w:t>
            </w:r>
          </w:p>
          <w:p w:rsidR="00E33450" w:rsidRPr="00B12B43" w:rsidRDefault="00E33450" w:rsidP="00B12B43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>(not applicable to PHW)</w:t>
            </w:r>
          </w:p>
        </w:tc>
      </w:tr>
    </w:tbl>
    <w:p w:rsidR="002C2D96" w:rsidRPr="00427ADD" w:rsidRDefault="002C2D96" w:rsidP="006B6FEC">
      <w:pPr>
        <w:adjustRightInd w:val="0"/>
        <w:rPr>
          <w:rFonts w:eastAsia="Times New Roman" w:cs="Arial"/>
          <w:sz w:val="24"/>
          <w:szCs w:val="24"/>
          <w:lang w:eastAsia="en-GB"/>
        </w:rPr>
      </w:pPr>
    </w:p>
    <w:p w:rsidR="002C2D96" w:rsidRPr="00427ADD" w:rsidRDefault="002C2D96" w:rsidP="00427ADD">
      <w:pPr>
        <w:adjustRightInd w:val="0"/>
        <w:jc w:val="both"/>
        <w:rPr>
          <w:rFonts w:eastAsia="Times New Roman" w:cs="Arial"/>
          <w:sz w:val="24"/>
          <w:szCs w:val="24"/>
          <w:lang w:eastAsia="en-GB"/>
        </w:rPr>
      </w:pPr>
      <w:r w:rsidRPr="00427ADD">
        <w:rPr>
          <w:rFonts w:eastAsia="Times New Roman" w:cs="Arial"/>
          <w:sz w:val="24"/>
          <w:szCs w:val="24"/>
          <w:lang w:eastAsia="en-GB"/>
        </w:rPr>
        <w:t xml:space="preserve">In line with the revised process, the HOWIS website has been checked to ensure no WHCs are missed from the log.  </w:t>
      </w:r>
    </w:p>
    <w:p w:rsidR="002C2D96" w:rsidRPr="00427ADD" w:rsidRDefault="002C2D96" w:rsidP="006B6FEC">
      <w:pPr>
        <w:adjustRightInd w:val="0"/>
        <w:rPr>
          <w:rFonts w:eastAsia="Times New Roman" w:cs="Arial"/>
          <w:sz w:val="24"/>
          <w:szCs w:val="24"/>
          <w:lang w:eastAsia="en-GB"/>
        </w:rPr>
      </w:pPr>
    </w:p>
    <w:p w:rsidR="002C2D96" w:rsidRDefault="002C2D96" w:rsidP="00172B50">
      <w:pPr>
        <w:adjustRightInd w:val="0"/>
        <w:jc w:val="both"/>
        <w:rPr>
          <w:rFonts w:eastAsia="Times New Roman" w:cs="Arial"/>
          <w:sz w:val="24"/>
          <w:szCs w:val="24"/>
          <w:lang w:eastAsia="en-GB"/>
        </w:rPr>
      </w:pPr>
      <w:r w:rsidRPr="00427ADD">
        <w:rPr>
          <w:rFonts w:eastAsia="Times New Roman" w:cs="Arial"/>
          <w:sz w:val="24"/>
          <w:szCs w:val="24"/>
          <w:lang w:eastAsia="en-GB"/>
        </w:rPr>
        <w:t>There are a number of WHC reference numbers</w:t>
      </w:r>
      <w:r w:rsidR="00B82FEA" w:rsidRPr="00427ADD">
        <w:rPr>
          <w:rFonts w:eastAsia="Times New Roman" w:cs="Arial"/>
          <w:sz w:val="24"/>
          <w:szCs w:val="24"/>
          <w:lang w:eastAsia="en-GB"/>
        </w:rPr>
        <w:t xml:space="preserve"> noted within the log that we have not received. </w:t>
      </w:r>
      <w:r w:rsidRPr="00427ADD">
        <w:rPr>
          <w:rFonts w:eastAsia="Times New Roman" w:cs="Arial"/>
          <w:sz w:val="24"/>
          <w:szCs w:val="24"/>
          <w:lang w:eastAsia="en-GB"/>
        </w:rPr>
        <w:t>This has been checked against the website and none h</w:t>
      </w:r>
      <w:r w:rsidR="00B82FEA" w:rsidRPr="00427ADD">
        <w:rPr>
          <w:rFonts w:eastAsia="Times New Roman" w:cs="Arial"/>
          <w:sz w:val="24"/>
          <w:szCs w:val="24"/>
          <w:lang w:eastAsia="en-GB"/>
        </w:rPr>
        <w:t xml:space="preserve">ave been omitted from the list, those listed have not yet been issued by Welsh Government. </w:t>
      </w:r>
    </w:p>
    <w:p w:rsidR="00ED1B4A" w:rsidRDefault="00ED1B4A" w:rsidP="00172B50">
      <w:pPr>
        <w:adjustRightInd w:val="0"/>
        <w:jc w:val="both"/>
        <w:rPr>
          <w:rFonts w:eastAsia="Times New Roman" w:cs="Arial"/>
          <w:sz w:val="24"/>
          <w:szCs w:val="24"/>
          <w:lang w:eastAsia="en-GB"/>
        </w:rPr>
      </w:pPr>
    </w:p>
    <w:p w:rsidR="00B12B43" w:rsidRDefault="00B12B43" w:rsidP="00172B50">
      <w:pPr>
        <w:adjustRightInd w:val="0"/>
        <w:jc w:val="both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>The following WHC’s are ongoing:</w:t>
      </w:r>
    </w:p>
    <w:p w:rsidR="00ED1B4A" w:rsidRDefault="00ED1B4A" w:rsidP="00ED1B4A">
      <w:pPr>
        <w:widowControl/>
        <w:autoSpaceDE/>
        <w:autoSpaceDN/>
        <w:jc w:val="both"/>
        <w:rPr>
          <w:rFonts w:eastAsia="Times New Roman" w:cs="Calibri"/>
          <w:color w:val="000000"/>
          <w:sz w:val="20"/>
          <w:szCs w:val="20"/>
          <w:u w:val="single"/>
          <w:lang w:val="en-GB" w:eastAsia="en-GB" w:bidi="ar-SA"/>
        </w:rPr>
      </w:pPr>
    </w:p>
    <w:tbl>
      <w:tblPr>
        <w:tblW w:w="9260" w:type="dxa"/>
        <w:tblLook w:val="04A0" w:firstRow="1" w:lastRow="0" w:firstColumn="1" w:lastColumn="0" w:noHBand="0" w:noVBand="1"/>
      </w:tblPr>
      <w:tblGrid>
        <w:gridCol w:w="1555"/>
        <w:gridCol w:w="4054"/>
        <w:gridCol w:w="3651"/>
      </w:tblGrid>
      <w:tr w:rsidR="00ED1B4A" w:rsidRPr="00ED1B4A" w:rsidTr="00B12B43">
        <w:trPr>
          <w:trHeight w:val="6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B4A" w:rsidRDefault="00ED1B4A" w:rsidP="00ED1B4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WHC 2020/019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43" w:rsidRDefault="00ED1B4A" w:rsidP="00E33450">
            <w:pPr>
              <w:jc w:val="center"/>
              <w:rPr>
                <w:rFonts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cs="Calibri"/>
                <w:color w:val="000000"/>
                <w:sz w:val="20"/>
                <w:szCs w:val="20"/>
                <w:u w:val="single"/>
              </w:rPr>
              <w:t>Expectations for NHS Health Boards and Trusts to ensure the health and wellbeing of the workforce during the Covid 19 pandemic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4A" w:rsidRDefault="00ED1B4A" w:rsidP="00ED1B4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Action</w:t>
            </w:r>
          </w:p>
          <w:p w:rsidR="00ED1B4A" w:rsidRDefault="00ED1B4A" w:rsidP="00ED1B4A">
            <w:pPr>
              <w:jc w:val="center"/>
              <w:rPr>
                <w:rFonts w:cs="Calibri"/>
                <w:color w:val="000000"/>
                <w:sz w:val="20"/>
                <w:szCs w:val="20"/>
                <w:u w:val="single"/>
              </w:rPr>
            </w:pPr>
          </w:p>
        </w:tc>
      </w:tr>
      <w:tr w:rsidR="00ED1B4A" w:rsidRPr="00ED1B4A" w:rsidTr="00B12B43">
        <w:trPr>
          <w:trHeight w:val="6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4A" w:rsidRPr="00ED1B4A" w:rsidRDefault="00ED1B4A" w:rsidP="00ED1B4A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 w:rsidRPr="00ED1B4A"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t>WHC 2020/023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B43" w:rsidRPr="00ED1B4A" w:rsidRDefault="00ED1B4A" w:rsidP="00E3345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</w:pPr>
            <w:r w:rsidRPr="00ED1B4A"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  <w:t>EU Exit - Continuity of Medicine Supply at the end of the Transition Period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4A" w:rsidRDefault="00ED1B4A" w:rsidP="00ED1B4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Information </w:t>
            </w:r>
          </w:p>
        </w:tc>
      </w:tr>
      <w:tr w:rsidR="00B12B43" w:rsidRPr="00ED1B4A" w:rsidTr="00B12B43">
        <w:trPr>
          <w:trHeight w:val="6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B43" w:rsidRPr="00ED1B4A" w:rsidRDefault="00B12B43" w:rsidP="00B12B43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</w:pPr>
            <w:r w:rsidRPr="00ED1B4A">
              <w:rPr>
                <w:rFonts w:eastAsia="Times New Roman" w:cs="Calibri"/>
                <w:color w:val="000000"/>
                <w:sz w:val="20"/>
                <w:szCs w:val="20"/>
                <w:lang w:val="en-GB" w:eastAsia="en-GB" w:bidi="ar-SA"/>
              </w:rPr>
              <w:lastRenderedPageBreak/>
              <w:t>WHC 2020/024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B43" w:rsidRPr="00ED1B4A" w:rsidRDefault="00B12B43" w:rsidP="00E3345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</w:pPr>
            <w:r w:rsidRPr="00ED1B4A"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GB" w:eastAsia="en-GB" w:bidi="ar-SA"/>
              </w:rPr>
              <w:t>Clinical Assessment of COVID-19 in the Community Updated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43" w:rsidRDefault="00B12B43" w:rsidP="00B12B43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Information </w:t>
            </w:r>
          </w:p>
        </w:tc>
      </w:tr>
      <w:tr w:rsidR="00B12B43" w:rsidRPr="00ED1B4A" w:rsidTr="00B12B43">
        <w:trPr>
          <w:trHeight w:val="6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43" w:rsidRDefault="00B12B43" w:rsidP="00B12B4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WHC 2021/004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43" w:rsidRDefault="00B12B43" w:rsidP="00E33450">
            <w:pPr>
              <w:jc w:val="center"/>
              <w:rPr>
                <w:rFonts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cs="Calibri"/>
                <w:color w:val="000000"/>
                <w:sz w:val="20"/>
                <w:szCs w:val="20"/>
                <w:u w:val="single"/>
              </w:rPr>
              <w:t>Ordering influenza vaccines for the 2021-2022 season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43" w:rsidRDefault="00B12B43" w:rsidP="00B12B4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Action</w:t>
            </w:r>
          </w:p>
        </w:tc>
      </w:tr>
    </w:tbl>
    <w:p w:rsidR="00ED1B4A" w:rsidRPr="00ED1B4A" w:rsidRDefault="00ED1B4A" w:rsidP="00ED1B4A">
      <w:pPr>
        <w:widowControl/>
        <w:autoSpaceDE/>
        <w:autoSpaceDN/>
        <w:jc w:val="both"/>
        <w:rPr>
          <w:rFonts w:eastAsia="Times New Roman" w:cs="Calibri"/>
          <w:color w:val="000000"/>
          <w:sz w:val="20"/>
          <w:szCs w:val="20"/>
          <w:u w:val="single"/>
          <w:lang w:val="en-GB" w:eastAsia="en-GB" w:bidi="ar-SA"/>
        </w:rPr>
      </w:pPr>
    </w:p>
    <w:p w:rsidR="00ED1B4A" w:rsidRPr="00427ADD" w:rsidRDefault="00ED1B4A" w:rsidP="00172B50">
      <w:pPr>
        <w:adjustRightInd w:val="0"/>
        <w:jc w:val="both"/>
        <w:rPr>
          <w:rFonts w:eastAsia="Times New Roman" w:cs="Arial"/>
          <w:sz w:val="24"/>
          <w:szCs w:val="24"/>
          <w:lang w:eastAsia="en-GB"/>
        </w:rPr>
      </w:pPr>
    </w:p>
    <w:p w:rsidR="005362C8" w:rsidRPr="00427ADD" w:rsidRDefault="006B2D5A">
      <w:pPr>
        <w:pStyle w:val="Heading1"/>
        <w:numPr>
          <w:ilvl w:val="0"/>
          <w:numId w:val="4"/>
        </w:numPr>
        <w:tabs>
          <w:tab w:val="left" w:pos="481"/>
        </w:tabs>
        <w:spacing w:before="238"/>
        <w:ind w:left="480" w:hanging="360"/>
      </w:pPr>
      <w:r w:rsidRPr="00427ADD">
        <w:t>Recommendation</w:t>
      </w:r>
    </w:p>
    <w:p w:rsidR="00F0372C" w:rsidRPr="00427ADD" w:rsidRDefault="00F0372C" w:rsidP="009705FC">
      <w:pPr>
        <w:tabs>
          <w:tab w:val="left" w:pos="1155"/>
        </w:tabs>
        <w:rPr>
          <w:sz w:val="24"/>
          <w:szCs w:val="24"/>
        </w:rPr>
      </w:pPr>
    </w:p>
    <w:p w:rsidR="005362C8" w:rsidRPr="00427ADD" w:rsidRDefault="005E474E" w:rsidP="00BF2FD3">
      <w:pPr>
        <w:tabs>
          <w:tab w:val="left" w:pos="1155"/>
        </w:tabs>
        <w:jc w:val="both"/>
        <w:rPr>
          <w:sz w:val="24"/>
          <w:szCs w:val="24"/>
        </w:rPr>
      </w:pPr>
      <w:bookmarkStart w:id="0" w:name="_GoBack"/>
      <w:r w:rsidRPr="00427ADD">
        <w:rPr>
          <w:sz w:val="24"/>
          <w:szCs w:val="24"/>
        </w:rPr>
        <w:t>The Committee are asked to take assurance on the process for recording and monitoring the organisations compliance with Welsh Health Circulars.</w:t>
      </w:r>
      <w:bookmarkEnd w:id="0"/>
    </w:p>
    <w:sectPr w:rsidR="005362C8" w:rsidRPr="00427ADD">
      <w:pgSz w:w="11910" w:h="16840"/>
      <w:pgMar w:top="1340" w:right="1320" w:bottom="1200" w:left="1320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A67" w:rsidRDefault="006B2D5A">
      <w:r>
        <w:separator/>
      </w:r>
    </w:p>
  </w:endnote>
  <w:endnote w:type="continuationSeparator" w:id="0">
    <w:p w:rsidR="001F7A67" w:rsidRDefault="006B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2C8" w:rsidRDefault="00811193">
    <w:pPr>
      <w:pStyle w:val="BodyText"/>
      <w:spacing w:line="14" w:lineRule="auto"/>
      <w:rPr>
        <w:sz w:val="20"/>
      </w:rPr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page">
                <wp:posOffset>1017917</wp:posOffset>
              </wp:positionH>
              <wp:positionV relativeFrom="page">
                <wp:posOffset>9922510</wp:posOffset>
              </wp:positionV>
              <wp:extent cx="5735955" cy="167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8978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144"/>
                            <w:gridCol w:w="378"/>
                            <w:gridCol w:w="1445"/>
                            <w:gridCol w:w="1807"/>
                            <w:gridCol w:w="1206"/>
                            <w:gridCol w:w="1521"/>
                            <w:gridCol w:w="195"/>
                            <w:gridCol w:w="262"/>
                            <w:gridCol w:w="1020"/>
                          </w:tblGrid>
                          <w:tr w:rsidR="009705FC" w:rsidTr="009705FC">
                            <w:trPr>
                              <w:trHeight w:val="244"/>
                            </w:trPr>
                            <w:tc>
                              <w:tcPr>
                                <w:tcW w:w="1144" w:type="dxa"/>
                                <w:tcBorders>
                                  <w:right w:val="nil"/>
                                </w:tcBorders>
                              </w:tcPr>
                              <w:p w:rsidR="009705FC" w:rsidRDefault="009705FC">
                                <w:pPr>
                                  <w:pStyle w:val="TableParagraph"/>
                                  <w:spacing w:line="224" w:lineRule="exact"/>
                                  <w:ind w:left="47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Date:</w:t>
                                </w:r>
                              </w:p>
                            </w:tc>
                            <w:tc>
                              <w:tcPr>
                                <w:tcW w:w="378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:rsidR="009705FC" w:rsidRDefault="009705FC">
                                <w:pPr>
                                  <w:pStyle w:val="TableParagraph"/>
                                  <w:spacing w:line="224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5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:rsidR="009705FC" w:rsidRDefault="00175883" w:rsidP="009705FC">
                                <w:pPr>
                                  <w:pStyle w:val="TableParagraph"/>
                                  <w:spacing w:line="224" w:lineRule="exact"/>
                                  <w:ind w:left="0" w:right="-12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27 April 2021</w:t>
                                </w:r>
                              </w:p>
                            </w:tc>
                            <w:tc>
                              <w:tcPr>
                                <w:tcW w:w="1807" w:type="dxa"/>
                                <w:tcBorders>
                                  <w:right w:val="nil"/>
                                </w:tcBorders>
                              </w:tcPr>
                              <w:p w:rsidR="009705FC" w:rsidRDefault="009705FC">
                                <w:pPr>
                                  <w:pStyle w:val="TableParagraph"/>
                                  <w:spacing w:line="224" w:lineRule="exact"/>
                                  <w:ind w:left="84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Version:</w:t>
                                </w:r>
                              </w:p>
                            </w:tc>
                            <w:tc>
                              <w:tcPr>
                                <w:tcW w:w="1206" w:type="dxa"/>
                                <w:tcBorders>
                                  <w:left w:val="nil"/>
                                </w:tcBorders>
                              </w:tcPr>
                              <w:p w:rsidR="009705FC" w:rsidRDefault="009705FC">
                                <w:pPr>
                                  <w:pStyle w:val="TableParagraph"/>
                                  <w:spacing w:line="224" w:lineRule="exact"/>
                                  <w:ind w:left="4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1.0</w:t>
                                </w:r>
                              </w:p>
                            </w:tc>
                            <w:tc>
                              <w:tcPr>
                                <w:tcW w:w="1521" w:type="dxa"/>
                                <w:tcBorders>
                                  <w:right w:val="nil"/>
                                </w:tcBorders>
                              </w:tcPr>
                              <w:p w:rsidR="009705FC" w:rsidRDefault="009705FC">
                                <w:pPr>
                                  <w:pStyle w:val="TableParagraph"/>
                                  <w:spacing w:line="224" w:lineRule="exact"/>
                                  <w:ind w:left="85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Page:</w:t>
                                </w:r>
                              </w:p>
                            </w:tc>
                            <w:tc>
                              <w:tcPr>
                                <w:tcW w:w="195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:rsidR="009705FC" w:rsidRDefault="009705FC" w:rsidP="00811193">
                                <w:pPr>
                                  <w:pStyle w:val="TableParagraph"/>
                                  <w:spacing w:line="224" w:lineRule="exact"/>
                                  <w:ind w:left="41"/>
                                  <w:rPr>
                                    <w:sz w:val="20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rPr>
                                    <w:w w:val="99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5F51D3">
                                  <w:rPr>
                                    <w:noProof/>
                                    <w:w w:val="99"/>
                                    <w:sz w:val="20"/>
                                  </w:rPr>
                                  <w:t>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262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:rsidR="009705FC" w:rsidRDefault="009705FC">
                                <w:pPr>
                                  <w:pStyle w:val="TableParagraph"/>
                                  <w:spacing w:line="224" w:lineRule="exact"/>
                                  <w:ind w:left="46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of</w:t>
                                </w:r>
                              </w:p>
                            </w:tc>
                            <w:tc>
                              <w:tcPr>
                                <w:tcW w:w="1020" w:type="dxa"/>
                                <w:tcBorders>
                                  <w:left w:val="nil"/>
                                </w:tcBorders>
                              </w:tcPr>
                              <w:p w:rsidR="009705FC" w:rsidRDefault="009705FC">
                                <w:pPr>
                                  <w:pStyle w:val="TableParagraph"/>
                                  <w:spacing w:line="224" w:lineRule="exact"/>
                                  <w:ind w:left="45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w w:val="99"/>
                                    <w:sz w:val="20"/>
                                  </w:rPr>
                                  <w:t>6</w:t>
                                </w:r>
                              </w:p>
                            </w:tc>
                          </w:tr>
                        </w:tbl>
                        <w:p w:rsidR="005362C8" w:rsidRDefault="005362C8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.15pt;margin-top:781.3pt;width:451.65pt;height:13.2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" filled="f" stroked="f">
              <v:textbox inset="0,0,0,0">
                <w:txbxContent>
                  <w:tbl>
                    <w:tblPr>
                      <w:tblW w:w="8978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144"/>
                      <w:gridCol w:w="378"/>
                      <w:gridCol w:w="1445"/>
                      <w:gridCol w:w="1807"/>
                      <w:gridCol w:w="1206"/>
                      <w:gridCol w:w="1521"/>
                      <w:gridCol w:w="195"/>
                      <w:gridCol w:w="262"/>
                      <w:gridCol w:w="1020"/>
                    </w:tblGrid>
                    <w:tr w:rsidR="009705FC" w:rsidTr="009705FC">
                      <w:trPr>
                        <w:trHeight w:val="244"/>
                      </w:trPr>
                      <w:tc>
                        <w:tcPr>
                          <w:tcW w:w="1144" w:type="dxa"/>
                          <w:tcBorders>
                            <w:right w:val="nil"/>
                          </w:tcBorders>
                        </w:tcPr>
                        <w:p w:rsidR="009705FC" w:rsidRDefault="009705FC">
                          <w:pPr>
                            <w:pStyle w:val="TableParagraph"/>
                            <w:spacing w:line="224" w:lineRule="exact"/>
                            <w:ind w:left="47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Date:</w:t>
                          </w:r>
                        </w:p>
                      </w:tc>
                      <w:tc>
                        <w:tcPr>
                          <w:tcW w:w="378" w:type="dxa"/>
                          <w:tcBorders>
                            <w:left w:val="nil"/>
                            <w:right w:val="nil"/>
                          </w:tcBorders>
                        </w:tcPr>
                        <w:p w:rsidR="009705FC" w:rsidRDefault="009705FC">
                          <w:pPr>
                            <w:pStyle w:val="TableParagraph"/>
                            <w:spacing w:line="224" w:lineRule="exact"/>
                            <w:ind w:left="72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445" w:type="dxa"/>
                          <w:tcBorders>
                            <w:left w:val="nil"/>
                            <w:right w:val="nil"/>
                          </w:tcBorders>
                        </w:tcPr>
                        <w:p w:rsidR="009705FC" w:rsidRDefault="00175883" w:rsidP="009705FC">
                          <w:pPr>
                            <w:pStyle w:val="TableParagraph"/>
                            <w:spacing w:line="224" w:lineRule="exact"/>
                            <w:ind w:left="0" w:right="-12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27 April 2021</w:t>
                          </w:r>
                        </w:p>
                      </w:tc>
                      <w:tc>
                        <w:tcPr>
                          <w:tcW w:w="1807" w:type="dxa"/>
                          <w:tcBorders>
                            <w:right w:val="nil"/>
                          </w:tcBorders>
                        </w:tcPr>
                        <w:p w:rsidR="009705FC" w:rsidRDefault="009705FC">
                          <w:pPr>
                            <w:pStyle w:val="TableParagraph"/>
                            <w:spacing w:line="224" w:lineRule="exact"/>
                            <w:ind w:left="84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Version:</w:t>
                          </w:r>
                        </w:p>
                      </w:tc>
                      <w:tc>
                        <w:tcPr>
                          <w:tcW w:w="1206" w:type="dxa"/>
                          <w:tcBorders>
                            <w:left w:val="nil"/>
                          </w:tcBorders>
                        </w:tcPr>
                        <w:p w:rsidR="009705FC" w:rsidRDefault="009705FC">
                          <w:pPr>
                            <w:pStyle w:val="TableParagraph"/>
                            <w:spacing w:line="224" w:lineRule="exact"/>
                            <w:ind w:left="4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1.0</w:t>
                          </w:r>
                        </w:p>
                      </w:tc>
                      <w:tc>
                        <w:tcPr>
                          <w:tcW w:w="1521" w:type="dxa"/>
                          <w:tcBorders>
                            <w:right w:val="nil"/>
                          </w:tcBorders>
                        </w:tcPr>
                        <w:p w:rsidR="009705FC" w:rsidRDefault="009705FC">
                          <w:pPr>
                            <w:pStyle w:val="TableParagraph"/>
                            <w:spacing w:line="224" w:lineRule="exact"/>
                            <w:ind w:left="85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Page:</w:t>
                          </w:r>
                        </w:p>
                      </w:tc>
                      <w:tc>
                        <w:tcPr>
                          <w:tcW w:w="195" w:type="dxa"/>
                          <w:tcBorders>
                            <w:left w:val="nil"/>
                            <w:right w:val="nil"/>
                          </w:tcBorders>
                        </w:tcPr>
                        <w:p w:rsidR="009705FC" w:rsidRDefault="009705FC" w:rsidP="00811193">
                          <w:pPr>
                            <w:pStyle w:val="TableParagraph"/>
                            <w:spacing w:line="224" w:lineRule="exact"/>
                            <w:ind w:left="41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51D3">
                            <w:rPr>
                              <w:noProof/>
                              <w:w w:val="99"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c>
                      <w:tc>
                        <w:tcPr>
                          <w:tcW w:w="262" w:type="dxa"/>
                          <w:tcBorders>
                            <w:left w:val="nil"/>
                            <w:right w:val="nil"/>
                          </w:tcBorders>
                        </w:tcPr>
                        <w:p w:rsidR="009705FC" w:rsidRDefault="009705FC">
                          <w:pPr>
                            <w:pStyle w:val="TableParagraph"/>
                            <w:spacing w:line="224" w:lineRule="exact"/>
                            <w:ind w:left="46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of</w:t>
                          </w:r>
                        </w:p>
                      </w:tc>
                      <w:tc>
                        <w:tcPr>
                          <w:tcW w:w="1020" w:type="dxa"/>
                          <w:tcBorders>
                            <w:left w:val="nil"/>
                          </w:tcBorders>
                        </w:tcPr>
                        <w:p w:rsidR="009705FC" w:rsidRDefault="009705FC">
                          <w:pPr>
                            <w:pStyle w:val="TableParagraph"/>
                            <w:spacing w:line="224" w:lineRule="exact"/>
                            <w:ind w:left="45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6</w:t>
                          </w:r>
                        </w:p>
                      </w:tc>
                    </w:tr>
                  </w:tbl>
                  <w:p w:rsidR="005362C8" w:rsidRDefault="005362C8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A67" w:rsidRDefault="006B2D5A">
      <w:r>
        <w:separator/>
      </w:r>
    </w:p>
  </w:footnote>
  <w:footnote w:type="continuationSeparator" w:id="0">
    <w:p w:rsidR="001F7A67" w:rsidRDefault="006B2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68B"/>
    <w:multiLevelType w:val="hybridMultilevel"/>
    <w:tmpl w:val="846E04E6"/>
    <w:lvl w:ilvl="0" w:tplc="4C302410">
      <w:numFmt w:val="bullet"/>
      <w:lvlText w:val=""/>
      <w:lvlJc w:val="left"/>
      <w:pPr>
        <w:ind w:left="959" w:hanging="56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7E65638">
      <w:numFmt w:val="bullet"/>
      <w:lvlText w:val="•"/>
      <w:lvlJc w:val="left"/>
      <w:pPr>
        <w:ind w:left="1765" w:hanging="569"/>
      </w:pPr>
      <w:rPr>
        <w:rFonts w:hint="default"/>
        <w:lang w:val="en-US" w:eastAsia="en-US" w:bidi="en-US"/>
      </w:rPr>
    </w:lvl>
    <w:lvl w:ilvl="2" w:tplc="17EC3506">
      <w:numFmt w:val="bullet"/>
      <w:lvlText w:val="•"/>
      <w:lvlJc w:val="left"/>
      <w:pPr>
        <w:ind w:left="2570" w:hanging="569"/>
      </w:pPr>
      <w:rPr>
        <w:rFonts w:hint="default"/>
        <w:lang w:val="en-US" w:eastAsia="en-US" w:bidi="en-US"/>
      </w:rPr>
    </w:lvl>
    <w:lvl w:ilvl="3" w:tplc="B91AAD02">
      <w:numFmt w:val="bullet"/>
      <w:lvlText w:val="•"/>
      <w:lvlJc w:val="left"/>
      <w:pPr>
        <w:ind w:left="3375" w:hanging="569"/>
      </w:pPr>
      <w:rPr>
        <w:rFonts w:hint="default"/>
        <w:lang w:val="en-US" w:eastAsia="en-US" w:bidi="en-US"/>
      </w:rPr>
    </w:lvl>
    <w:lvl w:ilvl="4" w:tplc="D1927BC8">
      <w:numFmt w:val="bullet"/>
      <w:lvlText w:val="•"/>
      <w:lvlJc w:val="left"/>
      <w:pPr>
        <w:ind w:left="4180" w:hanging="569"/>
      </w:pPr>
      <w:rPr>
        <w:rFonts w:hint="default"/>
        <w:lang w:val="en-US" w:eastAsia="en-US" w:bidi="en-US"/>
      </w:rPr>
    </w:lvl>
    <w:lvl w:ilvl="5" w:tplc="1CBE18C8">
      <w:numFmt w:val="bullet"/>
      <w:lvlText w:val="•"/>
      <w:lvlJc w:val="left"/>
      <w:pPr>
        <w:ind w:left="4985" w:hanging="569"/>
      </w:pPr>
      <w:rPr>
        <w:rFonts w:hint="default"/>
        <w:lang w:val="en-US" w:eastAsia="en-US" w:bidi="en-US"/>
      </w:rPr>
    </w:lvl>
    <w:lvl w:ilvl="6" w:tplc="03A65FE0">
      <w:numFmt w:val="bullet"/>
      <w:lvlText w:val="•"/>
      <w:lvlJc w:val="left"/>
      <w:pPr>
        <w:ind w:left="5790" w:hanging="569"/>
      </w:pPr>
      <w:rPr>
        <w:rFonts w:hint="default"/>
        <w:lang w:val="en-US" w:eastAsia="en-US" w:bidi="en-US"/>
      </w:rPr>
    </w:lvl>
    <w:lvl w:ilvl="7" w:tplc="7A2E9B9A">
      <w:numFmt w:val="bullet"/>
      <w:lvlText w:val="•"/>
      <w:lvlJc w:val="left"/>
      <w:pPr>
        <w:ind w:left="6595" w:hanging="569"/>
      </w:pPr>
      <w:rPr>
        <w:rFonts w:hint="default"/>
        <w:lang w:val="en-US" w:eastAsia="en-US" w:bidi="en-US"/>
      </w:rPr>
    </w:lvl>
    <w:lvl w:ilvl="8" w:tplc="007032A6">
      <w:numFmt w:val="bullet"/>
      <w:lvlText w:val="•"/>
      <w:lvlJc w:val="left"/>
      <w:pPr>
        <w:ind w:left="7400" w:hanging="569"/>
      </w:pPr>
      <w:rPr>
        <w:rFonts w:hint="default"/>
        <w:lang w:val="en-US" w:eastAsia="en-US" w:bidi="en-US"/>
      </w:rPr>
    </w:lvl>
  </w:abstractNum>
  <w:abstractNum w:abstractNumId="1" w15:restartNumberingAfterBreak="0">
    <w:nsid w:val="0B9F0AC6"/>
    <w:multiLevelType w:val="multilevel"/>
    <w:tmpl w:val="E2F435AA"/>
    <w:lvl w:ilvl="0">
      <w:start w:val="1"/>
      <w:numFmt w:val="decimal"/>
      <w:lvlText w:val="%1."/>
      <w:lvlJc w:val="left"/>
      <w:pPr>
        <w:ind w:left="686" w:hanging="567"/>
      </w:pPr>
      <w:rPr>
        <w:rFonts w:ascii="Verdana" w:eastAsia="Verdana" w:hAnsi="Verdana" w:cs="Verdana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989" w:hanging="720"/>
      </w:pPr>
      <w:rPr>
        <w:rFonts w:ascii="Verdana" w:eastAsia="Verdana" w:hAnsi="Verdana" w:cs="Verdana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840" w:hanging="72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893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946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999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053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106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159" w:hanging="720"/>
      </w:pPr>
      <w:rPr>
        <w:rFonts w:hint="default"/>
        <w:lang w:val="en-US" w:eastAsia="en-US" w:bidi="en-US"/>
      </w:rPr>
    </w:lvl>
  </w:abstractNum>
  <w:abstractNum w:abstractNumId="2" w15:restartNumberingAfterBreak="0">
    <w:nsid w:val="3D291EE8"/>
    <w:multiLevelType w:val="hybridMultilevel"/>
    <w:tmpl w:val="CEF41D6A"/>
    <w:lvl w:ilvl="0" w:tplc="E80CA19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90A6A724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en-US"/>
      </w:rPr>
    </w:lvl>
    <w:lvl w:ilvl="2" w:tplc="A06E274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en-US"/>
      </w:rPr>
    </w:lvl>
    <w:lvl w:ilvl="3" w:tplc="0B6CA228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en-US"/>
      </w:rPr>
    </w:lvl>
    <w:lvl w:ilvl="4" w:tplc="6088A51E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en-US"/>
      </w:rPr>
    </w:lvl>
    <w:lvl w:ilvl="5" w:tplc="DDD6FA06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en-US"/>
      </w:rPr>
    </w:lvl>
    <w:lvl w:ilvl="6" w:tplc="3F760834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en-US"/>
      </w:rPr>
    </w:lvl>
    <w:lvl w:ilvl="7" w:tplc="03E82E10"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en-US"/>
      </w:rPr>
    </w:lvl>
    <w:lvl w:ilvl="8" w:tplc="A19A0F44">
      <w:numFmt w:val="bullet"/>
      <w:lvlText w:val="•"/>
      <w:lvlJc w:val="left"/>
      <w:pPr>
        <w:ind w:left="758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61361263"/>
    <w:multiLevelType w:val="hybridMultilevel"/>
    <w:tmpl w:val="48763BEE"/>
    <w:lvl w:ilvl="0" w:tplc="85A202C8">
      <w:numFmt w:val="bullet"/>
      <w:lvlText w:val=""/>
      <w:lvlJc w:val="left"/>
      <w:pPr>
        <w:ind w:left="972" w:hanging="56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1D603512">
      <w:numFmt w:val="bullet"/>
      <w:lvlText w:val="•"/>
      <w:lvlJc w:val="left"/>
      <w:pPr>
        <w:ind w:left="1808" w:hanging="569"/>
      </w:pPr>
      <w:rPr>
        <w:rFonts w:hint="default"/>
        <w:lang w:val="en-US" w:eastAsia="en-US" w:bidi="en-US"/>
      </w:rPr>
    </w:lvl>
    <w:lvl w:ilvl="2" w:tplc="3B465696">
      <w:numFmt w:val="bullet"/>
      <w:lvlText w:val="•"/>
      <w:lvlJc w:val="left"/>
      <w:pPr>
        <w:ind w:left="2637" w:hanging="569"/>
      </w:pPr>
      <w:rPr>
        <w:rFonts w:hint="default"/>
        <w:lang w:val="en-US" w:eastAsia="en-US" w:bidi="en-US"/>
      </w:rPr>
    </w:lvl>
    <w:lvl w:ilvl="3" w:tplc="19648CEA">
      <w:numFmt w:val="bullet"/>
      <w:lvlText w:val="•"/>
      <w:lvlJc w:val="left"/>
      <w:pPr>
        <w:ind w:left="3465" w:hanging="569"/>
      </w:pPr>
      <w:rPr>
        <w:rFonts w:hint="default"/>
        <w:lang w:val="en-US" w:eastAsia="en-US" w:bidi="en-US"/>
      </w:rPr>
    </w:lvl>
    <w:lvl w:ilvl="4" w:tplc="6EAADD58">
      <w:numFmt w:val="bullet"/>
      <w:lvlText w:val="•"/>
      <w:lvlJc w:val="left"/>
      <w:pPr>
        <w:ind w:left="4294" w:hanging="569"/>
      </w:pPr>
      <w:rPr>
        <w:rFonts w:hint="default"/>
        <w:lang w:val="en-US" w:eastAsia="en-US" w:bidi="en-US"/>
      </w:rPr>
    </w:lvl>
    <w:lvl w:ilvl="5" w:tplc="1E68E8B2">
      <w:numFmt w:val="bullet"/>
      <w:lvlText w:val="•"/>
      <w:lvlJc w:val="left"/>
      <w:pPr>
        <w:ind w:left="5123" w:hanging="569"/>
      </w:pPr>
      <w:rPr>
        <w:rFonts w:hint="default"/>
        <w:lang w:val="en-US" w:eastAsia="en-US" w:bidi="en-US"/>
      </w:rPr>
    </w:lvl>
    <w:lvl w:ilvl="6" w:tplc="753E2FFC">
      <w:numFmt w:val="bullet"/>
      <w:lvlText w:val="•"/>
      <w:lvlJc w:val="left"/>
      <w:pPr>
        <w:ind w:left="5951" w:hanging="569"/>
      </w:pPr>
      <w:rPr>
        <w:rFonts w:hint="default"/>
        <w:lang w:val="en-US" w:eastAsia="en-US" w:bidi="en-US"/>
      </w:rPr>
    </w:lvl>
    <w:lvl w:ilvl="7" w:tplc="356E241A">
      <w:numFmt w:val="bullet"/>
      <w:lvlText w:val="•"/>
      <w:lvlJc w:val="left"/>
      <w:pPr>
        <w:ind w:left="6780" w:hanging="569"/>
      </w:pPr>
      <w:rPr>
        <w:rFonts w:hint="default"/>
        <w:lang w:val="en-US" w:eastAsia="en-US" w:bidi="en-US"/>
      </w:rPr>
    </w:lvl>
    <w:lvl w:ilvl="8" w:tplc="513CC9BC">
      <w:numFmt w:val="bullet"/>
      <w:lvlText w:val="•"/>
      <w:lvlJc w:val="left"/>
      <w:pPr>
        <w:ind w:left="7609" w:hanging="569"/>
      </w:pPr>
      <w:rPr>
        <w:rFonts w:hint="default"/>
        <w:lang w:val="en-US" w:eastAsia="en-US" w:bidi="en-US"/>
      </w:rPr>
    </w:lvl>
  </w:abstractNum>
  <w:abstractNum w:abstractNumId="4" w15:restartNumberingAfterBreak="0">
    <w:nsid w:val="62FA5471"/>
    <w:multiLevelType w:val="hybridMultilevel"/>
    <w:tmpl w:val="84B23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32D76"/>
    <w:multiLevelType w:val="hybridMultilevel"/>
    <w:tmpl w:val="7E76142E"/>
    <w:lvl w:ilvl="0" w:tplc="AA24C20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A08AE0E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en-US"/>
      </w:rPr>
    </w:lvl>
    <w:lvl w:ilvl="2" w:tplc="E6643ED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en-US"/>
      </w:rPr>
    </w:lvl>
    <w:lvl w:ilvl="3" w:tplc="159C8600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en-US"/>
      </w:rPr>
    </w:lvl>
    <w:lvl w:ilvl="4" w:tplc="4C70E778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en-US"/>
      </w:rPr>
    </w:lvl>
    <w:lvl w:ilvl="5" w:tplc="8D7EB516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en-US"/>
      </w:rPr>
    </w:lvl>
    <w:lvl w:ilvl="6" w:tplc="B170AEA4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en-US"/>
      </w:rPr>
    </w:lvl>
    <w:lvl w:ilvl="7" w:tplc="77102FCA"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en-US"/>
      </w:rPr>
    </w:lvl>
    <w:lvl w:ilvl="8" w:tplc="B8FE56AC">
      <w:numFmt w:val="bullet"/>
      <w:lvlText w:val="•"/>
      <w:lvlJc w:val="left"/>
      <w:pPr>
        <w:ind w:left="7581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7DD34EC8"/>
    <w:multiLevelType w:val="hybridMultilevel"/>
    <w:tmpl w:val="51D26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2C8"/>
    <w:rsid w:val="0010426F"/>
    <w:rsid w:val="001551BB"/>
    <w:rsid w:val="00172B50"/>
    <w:rsid w:val="00175883"/>
    <w:rsid w:val="001C1276"/>
    <w:rsid w:val="001F7A67"/>
    <w:rsid w:val="00201D6D"/>
    <w:rsid w:val="00205E2C"/>
    <w:rsid w:val="00216D97"/>
    <w:rsid w:val="00295D28"/>
    <w:rsid w:val="002C2D96"/>
    <w:rsid w:val="003D2F56"/>
    <w:rsid w:val="003F69A9"/>
    <w:rsid w:val="00427ADD"/>
    <w:rsid w:val="004A797C"/>
    <w:rsid w:val="00502FDE"/>
    <w:rsid w:val="005362C8"/>
    <w:rsid w:val="005E474E"/>
    <w:rsid w:val="005F2EEB"/>
    <w:rsid w:val="005F51D3"/>
    <w:rsid w:val="006346C6"/>
    <w:rsid w:val="00694499"/>
    <w:rsid w:val="006B2D5A"/>
    <w:rsid w:val="006B6FEC"/>
    <w:rsid w:val="006C682C"/>
    <w:rsid w:val="007853CB"/>
    <w:rsid w:val="00811193"/>
    <w:rsid w:val="009705FC"/>
    <w:rsid w:val="00977524"/>
    <w:rsid w:val="00A13234"/>
    <w:rsid w:val="00AC7899"/>
    <w:rsid w:val="00B12B43"/>
    <w:rsid w:val="00B208D5"/>
    <w:rsid w:val="00B753B2"/>
    <w:rsid w:val="00B82FEA"/>
    <w:rsid w:val="00BF2FD3"/>
    <w:rsid w:val="00CA28CA"/>
    <w:rsid w:val="00D90445"/>
    <w:rsid w:val="00DE4F5E"/>
    <w:rsid w:val="00E33450"/>
    <w:rsid w:val="00ED1B4A"/>
    <w:rsid w:val="00F0372C"/>
    <w:rsid w:val="00FD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3A3E8DF0-25E3-4BE2-9450-CC955992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bidi="en-US"/>
    </w:rPr>
  </w:style>
  <w:style w:type="paragraph" w:styleId="Heading1">
    <w:name w:val="heading 1"/>
    <w:basedOn w:val="Normal"/>
    <w:uiPriority w:val="1"/>
    <w:qFormat/>
    <w:pPr>
      <w:ind w:left="120" w:hanging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aliases w:val="F5 List Paragraph,List Paragraph1,Dot pt,List Paragraph Char Char Char,Indicator Text,Numbered Para 1,Bullet Points,MAIN CONTENT,Bullet 1,List Paragraph11,List Paragraph12,Colorful List - Accent 11,Bullet Style,OBC Bullet,No Spacing1,L,B"/>
    <w:basedOn w:val="Normal"/>
    <w:link w:val="ListParagraphChar"/>
    <w:uiPriority w:val="34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8111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193"/>
    <w:rPr>
      <w:rFonts w:ascii="Verdana" w:eastAsia="Verdana" w:hAnsi="Verdana" w:cs="Verdan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111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193"/>
    <w:rPr>
      <w:rFonts w:ascii="Verdana" w:eastAsia="Verdana" w:hAnsi="Verdana" w:cs="Verdana"/>
      <w:lang w:bidi="en-US"/>
    </w:rPr>
  </w:style>
  <w:style w:type="character" w:customStyle="1" w:styleId="ListParagraphChar">
    <w:name w:val="List Paragraph Char"/>
    <w:aliases w:val="F5 List Paragraph Char,List Paragraph1 Char,Dot pt Char,List Paragraph Char Char Char Char,Indicator Text Char,Numbered Para 1 Char,Bullet Points Char,MAIN CONTENT Char,Bullet 1 Char,List Paragraph11 Char,List Paragraph12 Char,L Char"/>
    <w:basedOn w:val="DefaultParagraphFont"/>
    <w:link w:val="ListParagraph"/>
    <w:uiPriority w:val="99"/>
    <w:qFormat/>
    <w:locked/>
    <w:rsid w:val="0010426F"/>
    <w:rPr>
      <w:rFonts w:ascii="Verdana" w:eastAsia="Verdana" w:hAnsi="Verdana" w:cs="Verdana"/>
      <w:lang w:bidi="en-US"/>
    </w:rPr>
  </w:style>
  <w:style w:type="paragraph" w:customStyle="1" w:styleId="Default">
    <w:name w:val="Default"/>
    <w:rsid w:val="00216D97"/>
    <w:pPr>
      <w:widowControl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2C2D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wales.nhs.uk/governance-emanual/how-the-health-and-care-standards-are-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ales.nhs.uk/governance-emanual/how-the-health-and-care-standards-are-s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howis.wales.nhs.uk/sitesplus/888/page/6454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Cathie Steele</dc:creator>
  <cp:lastModifiedBy>Liz Blayney (Public Health Wales - No. 2 Capital Quarter)</cp:lastModifiedBy>
  <cp:revision>17</cp:revision>
  <dcterms:created xsi:type="dcterms:W3CDTF">2020-07-31T13:32:00Z</dcterms:created>
  <dcterms:modified xsi:type="dcterms:W3CDTF">2021-04-29T18:06:00Z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2019-04-21T00:00:00Z</vt:filetime>
  </property>
</Properties>
</file>