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14:paraId="6F9BE92A" w14:textId="77777777" w:rsidTr="0013075E">
        <w:tc>
          <w:tcPr>
            <w:tcW w:w="5202" w:type="dxa"/>
            <w:gridSpan w:val="4"/>
            <w:vMerge w:val="restart"/>
          </w:tcPr>
          <w:p w14:paraId="0FCA66A8" w14:textId="77777777" w:rsidR="0013075E" w:rsidRPr="008F1F7E" w:rsidRDefault="0013075E" w:rsidP="00CF7674">
            <w:r w:rsidRPr="008F1F7E">
              <w:rPr>
                <w:b/>
                <w:noProof/>
                <w:lang w:eastAsia="en-GB"/>
              </w:rPr>
              <w:drawing>
                <wp:inline distT="0" distB="0" distL="0" distR="0" wp14:anchorId="1D9F9445" wp14:editId="0E07CB79">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2"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14:paraId="62D0F7F2"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b/>
                <w:sz w:val="22"/>
                <w:szCs w:val="24"/>
              </w:rPr>
            </w:sdtEndPr>
            <w:sdtContent>
              <w:p w14:paraId="05C4F29B" w14:textId="60844738" w:rsidR="0013075E" w:rsidRPr="00EE7097" w:rsidRDefault="005C210E" w:rsidP="00EE7097">
                <w:pPr>
                  <w:jc w:val="right"/>
                  <w:rPr>
                    <w:b/>
                    <w:szCs w:val="24"/>
                  </w:rPr>
                </w:pPr>
                <w:r>
                  <w:rPr>
                    <w:rStyle w:val="Dropdown"/>
                  </w:rPr>
                  <w:t>Audit and Corporate Governance Committee</w:t>
                </w:r>
              </w:p>
            </w:sdtContent>
          </w:sdt>
        </w:tc>
      </w:tr>
      <w:tr w:rsidR="0013075E" w:rsidRPr="008F1F7E" w14:paraId="06515A30" w14:textId="77777777" w:rsidTr="0013075E">
        <w:tc>
          <w:tcPr>
            <w:tcW w:w="5202" w:type="dxa"/>
            <w:gridSpan w:val="4"/>
            <w:vMerge/>
          </w:tcPr>
          <w:p w14:paraId="4B4CEDB0" w14:textId="77777777" w:rsidR="0013075E" w:rsidRPr="008F1F7E" w:rsidRDefault="0013075E" w:rsidP="00CF7674">
            <w:pPr>
              <w:rPr>
                <w:b/>
                <w:noProof/>
                <w:lang w:eastAsia="en-GB"/>
              </w:rPr>
            </w:pPr>
          </w:p>
        </w:tc>
        <w:tc>
          <w:tcPr>
            <w:tcW w:w="4040" w:type="dxa"/>
            <w:gridSpan w:val="3"/>
            <w:tcBorders>
              <w:top w:val="nil"/>
              <w:bottom w:val="nil"/>
            </w:tcBorders>
          </w:tcPr>
          <w:p w14:paraId="61475579" w14:textId="77777777" w:rsidR="00D34F08" w:rsidRPr="00D34F08" w:rsidRDefault="00D34F08" w:rsidP="00EE7097">
            <w:pPr>
              <w:jc w:val="right"/>
              <w:rPr>
                <w:b/>
              </w:rPr>
            </w:pPr>
            <w:r w:rsidRPr="00D34F08">
              <w:rPr>
                <w:b/>
              </w:rPr>
              <w:t>Date of Meeting</w:t>
            </w:r>
          </w:p>
          <w:p w14:paraId="08A6E950" w14:textId="0648891A" w:rsidR="0013075E" w:rsidRPr="00D34F08" w:rsidRDefault="00E47233" w:rsidP="005C210E">
            <w:pPr>
              <w:jc w:val="right"/>
              <w:rPr>
                <w:color w:val="FF0000"/>
              </w:rPr>
            </w:pPr>
            <w:r w:rsidRPr="00E47233">
              <w:t xml:space="preserve"> </w:t>
            </w:r>
            <w:r w:rsidR="00E206E0">
              <w:t>5</w:t>
            </w:r>
            <w:r w:rsidR="00607FD2">
              <w:rPr>
                <w:vertAlign w:val="superscript"/>
              </w:rPr>
              <w:t xml:space="preserve"> </w:t>
            </w:r>
            <w:r w:rsidR="00E206E0">
              <w:t>M</w:t>
            </w:r>
            <w:r w:rsidR="00EE56F2">
              <w:t>a</w:t>
            </w:r>
            <w:r w:rsidR="00E206E0">
              <w:t>y 2021</w:t>
            </w:r>
          </w:p>
        </w:tc>
      </w:tr>
      <w:tr w:rsidR="00607FD2" w:rsidRPr="00607FD2" w14:paraId="035CB31D" w14:textId="77777777" w:rsidTr="0013075E">
        <w:tc>
          <w:tcPr>
            <w:tcW w:w="5202" w:type="dxa"/>
            <w:gridSpan w:val="4"/>
            <w:vMerge/>
            <w:tcBorders>
              <w:bottom w:val="single" w:sz="4" w:space="0" w:color="auto"/>
            </w:tcBorders>
          </w:tcPr>
          <w:p w14:paraId="79FD98C9" w14:textId="77777777" w:rsidR="0013075E" w:rsidRPr="008F1F7E" w:rsidRDefault="0013075E" w:rsidP="00CF7674">
            <w:pPr>
              <w:rPr>
                <w:b/>
                <w:noProof/>
                <w:lang w:eastAsia="en-GB"/>
              </w:rPr>
            </w:pPr>
          </w:p>
        </w:tc>
        <w:tc>
          <w:tcPr>
            <w:tcW w:w="4040" w:type="dxa"/>
            <w:gridSpan w:val="3"/>
            <w:tcBorders>
              <w:top w:val="nil"/>
              <w:bottom w:val="single" w:sz="4" w:space="0" w:color="auto"/>
            </w:tcBorders>
          </w:tcPr>
          <w:p w14:paraId="10DB3D73" w14:textId="77777777" w:rsidR="0013075E" w:rsidRPr="00607FD2" w:rsidRDefault="0013075E" w:rsidP="00EE7097">
            <w:pPr>
              <w:jc w:val="right"/>
              <w:rPr>
                <w:b/>
                <w:color w:val="000000" w:themeColor="text1"/>
              </w:rPr>
            </w:pPr>
            <w:r w:rsidRPr="00607FD2">
              <w:rPr>
                <w:b/>
                <w:color w:val="000000" w:themeColor="text1"/>
              </w:rPr>
              <w:t>Agenda item:</w:t>
            </w:r>
          </w:p>
          <w:p w14:paraId="45D123F1" w14:textId="3A5FD466" w:rsidR="0013075E" w:rsidRPr="00607FD2" w:rsidRDefault="00607FD2" w:rsidP="00EE7097">
            <w:pPr>
              <w:jc w:val="right"/>
              <w:rPr>
                <w:i/>
                <w:color w:val="000000" w:themeColor="text1"/>
              </w:rPr>
            </w:pPr>
            <w:r w:rsidRPr="00607FD2">
              <w:rPr>
                <w:i/>
                <w:color w:val="000000" w:themeColor="text1"/>
              </w:rPr>
              <w:t>4.7</w:t>
            </w:r>
          </w:p>
        </w:tc>
      </w:tr>
      <w:tr w:rsidR="00607FD2" w:rsidRPr="00607FD2" w14:paraId="0B6E8055" w14:textId="77777777" w:rsidTr="00407604">
        <w:tc>
          <w:tcPr>
            <w:tcW w:w="9242" w:type="dxa"/>
            <w:gridSpan w:val="7"/>
            <w:tcBorders>
              <w:left w:val="nil"/>
              <w:right w:val="nil"/>
            </w:tcBorders>
            <w:vAlign w:val="center"/>
          </w:tcPr>
          <w:p w14:paraId="16501BDB" w14:textId="77777777" w:rsidR="003B7B09" w:rsidRPr="00607FD2" w:rsidRDefault="003B7B09" w:rsidP="00D34F08">
            <w:pPr>
              <w:rPr>
                <w:b/>
                <w:color w:val="000000" w:themeColor="text1"/>
                <w:sz w:val="28"/>
              </w:rPr>
            </w:pPr>
          </w:p>
          <w:p w14:paraId="1A495C81" w14:textId="77777777" w:rsidR="00D34F08" w:rsidRPr="00607FD2" w:rsidRDefault="00D34F08" w:rsidP="00DB686C">
            <w:pPr>
              <w:rPr>
                <w:b/>
                <w:color w:val="000000" w:themeColor="text1"/>
                <w:sz w:val="28"/>
              </w:rPr>
            </w:pPr>
          </w:p>
        </w:tc>
      </w:tr>
      <w:tr w:rsidR="00EE7097" w:rsidRPr="008F1F7E" w14:paraId="475D4EB0" w14:textId="77777777" w:rsidTr="00544C9E">
        <w:tc>
          <w:tcPr>
            <w:tcW w:w="9242" w:type="dxa"/>
            <w:gridSpan w:val="7"/>
            <w:vAlign w:val="center"/>
          </w:tcPr>
          <w:p w14:paraId="293DEA96" w14:textId="77777777" w:rsidR="00EE7097" w:rsidRPr="00386641" w:rsidRDefault="00386641" w:rsidP="00D34F08">
            <w:pPr>
              <w:jc w:val="center"/>
              <w:rPr>
                <w:b/>
                <w:sz w:val="36"/>
                <w:szCs w:val="36"/>
              </w:rPr>
            </w:pPr>
            <w:r w:rsidRPr="00386641">
              <w:rPr>
                <w:b/>
                <w:sz w:val="36"/>
                <w:szCs w:val="36"/>
              </w:rPr>
              <w:t>Public Health Wales Corporate Risk Register</w:t>
            </w:r>
          </w:p>
        </w:tc>
      </w:tr>
      <w:tr w:rsidR="00EE7097" w:rsidRPr="001C60B5" w14:paraId="7A195E93" w14:textId="77777777" w:rsidTr="0013075E">
        <w:tc>
          <w:tcPr>
            <w:tcW w:w="2802" w:type="dxa"/>
            <w:gridSpan w:val="2"/>
          </w:tcPr>
          <w:p w14:paraId="61A099BE" w14:textId="77777777" w:rsidR="00EE7097" w:rsidRPr="00386641" w:rsidRDefault="00EE7097">
            <w:pPr>
              <w:rPr>
                <w:b/>
                <w:szCs w:val="24"/>
              </w:rPr>
            </w:pPr>
            <w:r w:rsidRPr="00386641">
              <w:rPr>
                <w:b/>
                <w:szCs w:val="24"/>
              </w:rPr>
              <w:t>Executive lead:</w:t>
            </w:r>
          </w:p>
        </w:tc>
        <w:tc>
          <w:tcPr>
            <w:tcW w:w="6440" w:type="dxa"/>
            <w:gridSpan w:val="5"/>
          </w:tcPr>
          <w:p w14:paraId="6936E5C3" w14:textId="77777777" w:rsidR="00EE7097" w:rsidRPr="00386641" w:rsidRDefault="007372F3" w:rsidP="006F3DE1">
            <w:pPr>
              <w:rPr>
                <w:szCs w:val="24"/>
              </w:rPr>
            </w:pPr>
            <w:r>
              <w:rPr>
                <w:szCs w:val="24"/>
              </w:rPr>
              <w:t xml:space="preserve">Rhiannon Beaumont-Wood, </w:t>
            </w:r>
            <w:r w:rsidR="006F3DE1" w:rsidRPr="006F3DE1">
              <w:rPr>
                <w:szCs w:val="24"/>
              </w:rPr>
              <w:t>Executive Director of Quality, Nursing and Allied Health Professionals</w:t>
            </w:r>
          </w:p>
        </w:tc>
      </w:tr>
      <w:tr w:rsidR="00EE7097" w:rsidRPr="001C60B5" w14:paraId="05FCD6AB" w14:textId="77777777" w:rsidTr="0013075E">
        <w:tc>
          <w:tcPr>
            <w:tcW w:w="2802" w:type="dxa"/>
            <w:gridSpan w:val="2"/>
          </w:tcPr>
          <w:p w14:paraId="3A4E2D75" w14:textId="77777777" w:rsidR="00EE7097" w:rsidRPr="00386641" w:rsidRDefault="00EE7097">
            <w:pPr>
              <w:rPr>
                <w:b/>
                <w:szCs w:val="24"/>
              </w:rPr>
            </w:pPr>
            <w:r w:rsidRPr="00386641">
              <w:rPr>
                <w:b/>
                <w:szCs w:val="24"/>
              </w:rPr>
              <w:t>Author:</w:t>
            </w:r>
          </w:p>
        </w:tc>
        <w:tc>
          <w:tcPr>
            <w:tcW w:w="6440" w:type="dxa"/>
            <w:gridSpan w:val="5"/>
          </w:tcPr>
          <w:p w14:paraId="6432A550" w14:textId="77777777" w:rsidR="00EE7097" w:rsidRPr="00386641" w:rsidRDefault="006F3DE1" w:rsidP="00051E74">
            <w:pPr>
              <w:rPr>
                <w:szCs w:val="24"/>
              </w:rPr>
            </w:pPr>
            <w:r>
              <w:rPr>
                <w:szCs w:val="24"/>
              </w:rPr>
              <w:t>John Lawson, Chief Risk Officer</w:t>
            </w:r>
          </w:p>
        </w:tc>
      </w:tr>
      <w:tr w:rsidR="00EE7097" w:rsidRPr="001C60B5" w14:paraId="1168530F" w14:textId="77777777" w:rsidTr="005B4E75">
        <w:trPr>
          <w:trHeight w:val="149"/>
        </w:trPr>
        <w:tc>
          <w:tcPr>
            <w:tcW w:w="2802" w:type="dxa"/>
            <w:gridSpan w:val="2"/>
            <w:tcBorders>
              <w:left w:val="nil"/>
              <w:right w:val="nil"/>
            </w:tcBorders>
          </w:tcPr>
          <w:p w14:paraId="4FC4011D" w14:textId="77777777" w:rsidR="00EE7097" w:rsidRPr="00386641" w:rsidRDefault="00EE7097">
            <w:pPr>
              <w:rPr>
                <w:b/>
                <w:sz w:val="12"/>
                <w:szCs w:val="12"/>
              </w:rPr>
            </w:pPr>
          </w:p>
        </w:tc>
        <w:tc>
          <w:tcPr>
            <w:tcW w:w="6440" w:type="dxa"/>
            <w:gridSpan w:val="5"/>
            <w:tcBorders>
              <w:left w:val="nil"/>
              <w:right w:val="nil"/>
            </w:tcBorders>
          </w:tcPr>
          <w:p w14:paraId="2D6B88B5" w14:textId="77777777" w:rsidR="00EE7097" w:rsidRPr="00386641" w:rsidRDefault="00EE7097">
            <w:pPr>
              <w:rPr>
                <w:sz w:val="12"/>
                <w:szCs w:val="12"/>
              </w:rPr>
            </w:pPr>
          </w:p>
        </w:tc>
      </w:tr>
      <w:tr w:rsidR="00EE7097" w:rsidRPr="001C60B5" w14:paraId="49E91C3B" w14:textId="77777777" w:rsidTr="0013075E">
        <w:tc>
          <w:tcPr>
            <w:tcW w:w="2802" w:type="dxa"/>
            <w:gridSpan w:val="2"/>
          </w:tcPr>
          <w:p w14:paraId="6A472EFA" w14:textId="77777777" w:rsidR="00EE7097" w:rsidRPr="00386641" w:rsidRDefault="00EE7097">
            <w:pPr>
              <w:rPr>
                <w:b/>
                <w:szCs w:val="24"/>
              </w:rPr>
            </w:pPr>
            <w:r w:rsidRPr="00386641">
              <w:rPr>
                <w:b/>
                <w:szCs w:val="24"/>
              </w:rPr>
              <w:t>Approval/Scrutiny route:</w:t>
            </w:r>
          </w:p>
        </w:tc>
        <w:tc>
          <w:tcPr>
            <w:tcW w:w="6440" w:type="dxa"/>
            <w:gridSpan w:val="5"/>
          </w:tcPr>
          <w:p w14:paraId="47E2266E" w14:textId="217B748A" w:rsidR="00EE7097" w:rsidRPr="00386641" w:rsidRDefault="005C210E" w:rsidP="00CA5841">
            <w:pPr>
              <w:rPr>
                <w:szCs w:val="24"/>
              </w:rPr>
            </w:pPr>
            <w:r>
              <w:rPr>
                <w:szCs w:val="24"/>
              </w:rPr>
              <w:t xml:space="preserve">Rhiannon Beaumont-Wood, </w:t>
            </w:r>
            <w:r w:rsidRPr="006F3DE1">
              <w:rPr>
                <w:szCs w:val="24"/>
              </w:rPr>
              <w:t>Executive Director of Quality, Nursing and Allied Health Professionals</w:t>
            </w:r>
            <w:r w:rsidDel="005C210E">
              <w:rPr>
                <w:szCs w:val="24"/>
              </w:rPr>
              <w:t xml:space="preserve"> </w:t>
            </w:r>
          </w:p>
        </w:tc>
      </w:tr>
      <w:tr w:rsidR="006C4A51" w:rsidRPr="001C60B5" w14:paraId="327B3AE0" w14:textId="77777777" w:rsidTr="005B4E75">
        <w:tc>
          <w:tcPr>
            <w:tcW w:w="9242" w:type="dxa"/>
            <w:gridSpan w:val="7"/>
            <w:tcBorders>
              <w:left w:val="nil"/>
              <w:bottom w:val="single" w:sz="4" w:space="0" w:color="auto"/>
              <w:right w:val="nil"/>
            </w:tcBorders>
          </w:tcPr>
          <w:p w14:paraId="0EECEE36" w14:textId="77777777" w:rsidR="006C4A51" w:rsidRPr="005B4E75" w:rsidRDefault="006C4A51">
            <w:pPr>
              <w:rPr>
                <w:b/>
                <w:sz w:val="12"/>
                <w:szCs w:val="12"/>
              </w:rPr>
            </w:pPr>
          </w:p>
        </w:tc>
      </w:tr>
      <w:tr w:rsidR="005B4E75" w:rsidRPr="001C60B5" w14:paraId="3FBD0BCB" w14:textId="77777777" w:rsidTr="005B4E75">
        <w:tc>
          <w:tcPr>
            <w:tcW w:w="9242" w:type="dxa"/>
            <w:gridSpan w:val="7"/>
            <w:tcBorders>
              <w:left w:val="single" w:sz="4" w:space="0" w:color="auto"/>
              <w:right w:val="single" w:sz="4" w:space="0" w:color="auto"/>
            </w:tcBorders>
          </w:tcPr>
          <w:p w14:paraId="3C8E7220" w14:textId="77777777" w:rsidR="005B4E75" w:rsidRPr="001C60B5" w:rsidRDefault="005B4E75">
            <w:pPr>
              <w:rPr>
                <w:b/>
                <w:szCs w:val="24"/>
              </w:rPr>
            </w:pPr>
            <w:r>
              <w:rPr>
                <w:b/>
                <w:szCs w:val="24"/>
              </w:rPr>
              <w:t>Purpose</w:t>
            </w:r>
          </w:p>
        </w:tc>
      </w:tr>
      <w:tr w:rsidR="005B4E75" w:rsidRPr="001C60B5" w14:paraId="36FF47AA" w14:textId="77777777" w:rsidTr="005B4E75">
        <w:tc>
          <w:tcPr>
            <w:tcW w:w="9242" w:type="dxa"/>
            <w:gridSpan w:val="7"/>
            <w:tcBorders>
              <w:left w:val="single" w:sz="4" w:space="0" w:color="auto"/>
              <w:right w:val="single" w:sz="4" w:space="0" w:color="auto"/>
            </w:tcBorders>
          </w:tcPr>
          <w:p w14:paraId="527A403D" w14:textId="5B85A10D" w:rsidR="005B4E75" w:rsidRPr="00696421" w:rsidRDefault="00171773" w:rsidP="005C210E">
            <w:pPr>
              <w:pStyle w:val="ListParagraph"/>
              <w:spacing w:after="200"/>
              <w:ind w:left="0"/>
              <w:rPr>
                <w:szCs w:val="24"/>
              </w:rPr>
            </w:pPr>
            <w:r w:rsidRPr="00A82883">
              <w:rPr>
                <w:szCs w:val="24"/>
              </w:rPr>
              <w:t xml:space="preserve">Receive the Corporate Risk Register for the purpose of </w:t>
            </w:r>
            <w:r w:rsidR="005C210E">
              <w:rPr>
                <w:szCs w:val="24"/>
              </w:rPr>
              <w:t xml:space="preserve">assurance </w:t>
            </w:r>
            <w:r w:rsidR="005C210E" w:rsidRPr="005C210E">
              <w:rPr>
                <w:rFonts w:eastAsia="Times New Roman"/>
                <w:szCs w:val="20"/>
              </w:rPr>
              <w:t>that the corporate risks of the organisation are managed appropriately.</w:t>
            </w:r>
          </w:p>
        </w:tc>
      </w:tr>
      <w:tr w:rsidR="005B4E75" w:rsidRPr="001C60B5" w14:paraId="487D96C5" w14:textId="77777777" w:rsidTr="0000561A">
        <w:tc>
          <w:tcPr>
            <w:tcW w:w="9242" w:type="dxa"/>
            <w:gridSpan w:val="7"/>
            <w:tcBorders>
              <w:left w:val="nil"/>
              <w:right w:val="nil"/>
            </w:tcBorders>
          </w:tcPr>
          <w:p w14:paraId="7A6D26FC" w14:textId="77777777" w:rsidR="005B4E75" w:rsidRPr="005B4E75" w:rsidRDefault="005B4E75">
            <w:pPr>
              <w:rPr>
                <w:b/>
                <w:sz w:val="12"/>
                <w:szCs w:val="12"/>
              </w:rPr>
            </w:pPr>
          </w:p>
        </w:tc>
      </w:tr>
      <w:tr w:rsidR="00EE7097" w:rsidRPr="001C60B5" w14:paraId="4FBA330A" w14:textId="77777777" w:rsidTr="00051E74">
        <w:tc>
          <w:tcPr>
            <w:tcW w:w="9242" w:type="dxa"/>
            <w:gridSpan w:val="7"/>
          </w:tcPr>
          <w:p w14:paraId="150DDBE9" w14:textId="77777777" w:rsidR="00EE7097" w:rsidRPr="0013075E" w:rsidRDefault="0013075E" w:rsidP="00DB686C">
            <w:pPr>
              <w:rPr>
                <w:b/>
                <w:szCs w:val="24"/>
              </w:rPr>
            </w:pPr>
            <w:r>
              <w:rPr>
                <w:b/>
                <w:szCs w:val="24"/>
              </w:rPr>
              <w:t>Recommendation:</w:t>
            </w:r>
            <w:r w:rsidR="00E07F66">
              <w:rPr>
                <w:b/>
                <w:szCs w:val="24"/>
              </w:rPr>
              <w:t xml:space="preserve"> </w:t>
            </w:r>
          </w:p>
        </w:tc>
      </w:tr>
      <w:tr w:rsidR="005B4E75" w:rsidRPr="001C60B5" w14:paraId="5AF68A94" w14:textId="77777777" w:rsidTr="00D34F08">
        <w:tc>
          <w:tcPr>
            <w:tcW w:w="1848" w:type="dxa"/>
            <w:tcBorders>
              <w:bottom w:val="single" w:sz="4" w:space="0" w:color="auto"/>
            </w:tcBorders>
          </w:tcPr>
          <w:p w14:paraId="3544E5B8" w14:textId="77777777" w:rsidR="005B4E75" w:rsidRPr="007A47F5" w:rsidRDefault="005B4E75" w:rsidP="00D34F08">
            <w:pPr>
              <w:jc w:val="center"/>
              <w:rPr>
                <w:szCs w:val="24"/>
              </w:rPr>
            </w:pPr>
            <w:r w:rsidRPr="007A47F5">
              <w:rPr>
                <w:szCs w:val="24"/>
              </w:rPr>
              <w:t>APPROVE</w:t>
            </w:r>
          </w:p>
          <w:p w14:paraId="2F2D8A94" w14:textId="01E7FAFF" w:rsidR="005B4E75" w:rsidRPr="007A47F5" w:rsidRDefault="00E82204" w:rsidP="00D34F08">
            <w:pPr>
              <w:jc w:val="center"/>
              <w:rPr>
                <w:rFonts w:ascii="Wingdings" w:hAnsi="Wingdings"/>
                <w:szCs w:val="24"/>
              </w:rPr>
            </w:pPr>
            <w:r>
              <w:rPr>
                <w:rFonts w:ascii="Wingdings" w:hAnsi="Wingdings"/>
                <w:szCs w:val="24"/>
              </w:rPr>
              <w:fldChar w:fldCharType="begin">
                <w:ffData>
                  <w:name w:val="Check1"/>
                  <w:enabled/>
                  <w:calcOnExit w:val="0"/>
                  <w:checkBox>
                    <w:sizeAuto/>
                    <w:default w:val="1"/>
                  </w:checkBox>
                </w:ffData>
              </w:fldChar>
            </w:r>
            <w:bookmarkStart w:id="0" w:name="Check1"/>
            <w:r>
              <w:rPr>
                <w:rFonts w:ascii="Wingdings" w:hAnsi="Wingdings"/>
                <w:szCs w:val="24"/>
              </w:rPr>
              <w:instrText xml:space="preserve"> FORMCHECKBOX </w:instrText>
            </w:r>
            <w:r w:rsidR="00607FD2">
              <w:rPr>
                <w:rFonts w:ascii="Wingdings" w:hAnsi="Wingdings"/>
                <w:szCs w:val="24"/>
              </w:rPr>
            </w:r>
            <w:r w:rsidR="00607FD2">
              <w:rPr>
                <w:rFonts w:ascii="Wingdings" w:hAnsi="Wingdings"/>
                <w:szCs w:val="24"/>
              </w:rPr>
              <w:fldChar w:fldCharType="separate"/>
            </w:r>
            <w:r>
              <w:rPr>
                <w:rFonts w:ascii="Wingdings" w:hAnsi="Wingdings"/>
                <w:szCs w:val="24"/>
              </w:rPr>
              <w:fldChar w:fldCharType="end"/>
            </w:r>
            <w:bookmarkEnd w:id="0"/>
          </w:p>
        </w:tc>
        <w:tc>
          <w:tcPr>
            <w:tcW w:w="1848" w:type="dxa"/>
            <w:gridSpan w:val="2"/>
            <w:tcBorders>
              <w:bottom w:val="single" w:sz="4" w:space="0" w:color="auto"/>
            </w:tcBorders>
          </w:tcPr>
          <w:p w14:paraId="012A153A" w14:textId="77777777" w:rsidR="005B4E75" w:rsidRDefault="005B4E75" w:rsidP="00D34F08">
            <w:pPr>
              <w:jc w:val="center"/>
              <w:rPr>
                <w:szCs w:val="24"/>
              </w:rPr>
            </w:pPr>
            <w:r w:rsidRPr="007A47F5">
              <w:rPr>
                <w:szCs w:val="24"/>
              </w:rPr>
              <w:t>CONSIDER</w:t>
            </w:r>
          </w:p>
          <w:p w14:paraId="467D1428" w14:textId="0E047182" w:rsidR="005B4E75" w:rsidRPr="007A47F5" w:rsidRDefault="00627F7B" w:rsidP="00D34F08">
            <w:pPr>
              <w:jc w:val="center"/>
              <w:rPr>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607FD2">
              <w:rPr>
                <w:szCs w:val="24"/>
              </w:rPr>
            </w:r>
            <w:r w:rsidR="00607FD2">
              <w:rPr>
                <w:szCs w:val="24"/>
              </w:rPr>
              <w:fldChar w:fldCharType="separate"/>
            </w:r>
            <w:r>
              <w:rPr>
                <w:szCs w:val="24"/>
              </w:rPr>
              <w:fldChar w:fldCharType="end"/>
            </w:r>
            <w:bookmarkEnd w:id="1"/>
          </w:p>
        </w:tc>
        <w:tc>
          <w:tcPr>
            <w:tcW w:w="1849" w:type="dxa"/>
            <w:gridSpan w:val="2"/>
            <w:tcBorders>
              <w:bottom w:val="single" w:sz="4" w:space="0" w:color="auto"/>
            </w:tcBorders>
          </w:tcPr>
          <w:p w14:paraId="477B2450" w14:textId="77777777" w:rsidR="005B4E75" w:rsidRDefault="005B4E75" w:rsidP="00D34F08">
            <w:pPr>
              <w:jc w:val="center"/>
              <w:rPr>
                <w:szCs w:val="24"/>
              </w:rPr>
            </w:pPr>
            <w:r w:rsidRPr="007A47F5">
              <w:rPr>
                <w:szCs w:val="24"/>
              </w:rPr>
              <w:t>RECOMMEND</w:t>
            </w:r>
          </w:p>
          <w:p w14:paraId="5A2CF7F0" w14:textId="77777777" w:rsidR="005B4E75" w:rsidRPr="007A47F5" w:rsidRDefault="007F7EA7" w:rsidP="00D34F08">
            <w:pPr>
              <w:jc w:val="center"/>
              <w:rPr>
                <w:szCs w:val="24"/>
              </w:rPr>
            </w:pPr>
            <w:r>
              <w:rPr>
                <w:szCs w:val="24"/>
              </w:rPr>
              <w:fldChar w:fldCharType="begin">
                <w:ffData>
                  <w:name w:val="Check3"/>
                  <w:enabled/>
                  <w:calcOnExit w:val="0"/>
                  <w:checkBox>
                    <w:sizeAuto/>
                    <w:default w:val="0"/>
                  </w:checkBox>
                </w:ffData>
              </w:fldChar>
            </w:r>
            <w:bookmarkStart w:id="2" w:name="Check3"/>
            <w:r w:rsidR="005B4E75">
              <w:rPr>
                <w:szCs w:val="24"/>
              </w:rPr>
              <w:instrText xml:space="preserve"> FORMCHECKBOX </w:instrText>
            </w:r>
            <w:r w:rsidR="00607FD2">
              <w:rPr>
                <w:szCs w:val="24"/>
              </w:rPr>
            </w:r>
            <w:r w:rsidR="00607FD2">
              <w:rPr>
                <w:szCs w:val="24"/>
              </w:rPr>
              <w:fldChar w:fldCharType="separate"/>
            </w:r>
            <w:r>
              <w:rPr>
                <w:szCs w:val="24"/>
              </w:rPr>
              <w:fldChar w:fldCharType="end"/>
            </w:r>
            <w:bookmarkEnd w:id="2"/>
          </w:p>
        </w:tc>
        <w:tc>
          <w:tcPr>
            <w:tcW w:w="1848" w:type="dxa"/>
            <w:tcBorders>
              <w:bottom w:val="single" w:sz="4" w:space="0" w:color="auto"/>
            </w:tcBorders>
          </w:tcPr>
          <w:p w14:paraId="0A309B17" w14:textId="77777777" w:rsidR="005B4E75" w:rsidRDefault="005B4E75" w:rsidP="00D34F08">
            <w:pPr>
              <w:jc w:val="center"/>
              <w:rPr>
                <w:szCs w:val="24"/>
              </w:rPr>
            </w:pPr>
            <w:r w:rsidRPr="007A47F5">
              <w:rPr>
                <w:szCs w:val="24"/>
              </w:rPr>
              <w:t>ADOPT</w:t>
            </w:r>
          </w:p>
          <w:p w14:paraId="05BA8039" w14:textId="77777777"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3" w:name="Check4"/>
            <w:r w:rsidR="005B4E75">
              <w:rPr>
                <w:szCs w:val="24"/>
              </w:rPr>
              <w:instrText xml:space="preserve"> FORMCHECKBOX </w:instrText>
            </w:r>
            <w:r w:rsidR="00607FD2">
              <w:rPr>
                <w:szCs w:val="24"/>
              </w:rPr>
            </w:r>
            <w:r w:rsidR="00607FD2">
              <w:rPr>
                <w:szCs w:val="24"/>
              </w:rPr>
              <w:fldChar w:fldCharType="separate"/>
            </w:r>
            <w:r>
              <w:rPr>
                <w:szCs w:val="24"/>
              </w:rPr>
              <w:fldChar w:fldCharType="end"/>
            </w:r>
            <w:bookmarkEnd w:id="3"/>
          </w:p>
        </w:tc>
        <w:tc>
          <w:tcPr>
            <w:tcW w:w="1849" w:type="dxa"/>
            <w:tcBorders>
              <w:bottom w:val="single" w:sz="4" w:space="0" w:color="auto"/>
            </w:tcBorders>
          </w:tcPr>
          <w:p w14:paraId="5ED5CD64" w14:textId="77777777" w:rsidR="005B4E75" w:rsidRDefault="008978EE" w:rsidP="00D34F08">
            <w:pPr>
              <w:jc w:val="center"/>
              <w:rPr>
                <w:szCs w:val="24"/>
              </w:rPr>
            </w:pPr>
            <w:r>
              <w:rPr>
                <w:szCs w:val="24"/>
              </w:rPr>
              <w:t>ASSURANCE</w:t>
            </w:r>
          </w:p>
          <w:p w14:paraId="4B35687E" w14:textId="7E1C7249" w:rsidR="005B4E75" w:rsidRPr="007A47F5" w:rsidRDefault="00627F7B" w:rsidP="00D34F08">
            <w:pPr>
              <w:jc w:val="center"/>
              <w:rPr>
                <w:szCs w:val="24"/>
              </w:rPr>
            </w:pPr>
            <w:r>
              <w:rPr>
                <w:szCs w:val="24"/>
              </w:rPr>
              <w:fldChar w:fldCharType="begin">
                <w:ffData>
                  <w:name w:val="Check5"/>
                  <w:enabled/>
                  <w:calcOnExit w:val="0"/>
                  <w:checkBox>
                    <w:sizeAuto/>
                    <w:default w:val="0"/>
                  </w:checkBox>
                </w:ffData>
              </w:fldChar>
            </w:r>
            <w:bookmarkStart w:id="4" w:name="Check5"/>
            <w:r>
              <w:rPr>
                <w:szCs w:val="24"/>
              </w:rPr>
              <w:instrText xml:space="preserve"> FORMCHECKBOX </w:instrText>
            </w:r>
            <w:r w:rsidR="00607FD2">
              <w:rPr>
                <w:szCs w:val="24"/>
              </w:rPr>
            </w:r>
            <w:r w:rsidR="00607FD2">
              <w:rPr>
                <w:szCs w:val="24"/>
              </w:rPr>
              <w:fldChar w:fldCharType="separate"/>
            </w:r>
            <w:r>
              <w:rPr>
                <w:szCs w:val="24"/>
              </w:rPr>
              <w:fldChar w:fldCharType="end"/>
            </w:r>
            <w:bookmarkEnd w:id="4"/>
          </w:p>
        </w:tc>
      </w:tr>
      <w:tr w:rsidR="00EE7097" w:rsidRPr="001C60B5" w14:paraId="75182A30" w14:textId="77777777" w:rsidTr="00051E74">
        <w:tc>
          <w:tcPr>
            <w:tcW w:w="9242" w:type="dxa"/>
            <w:gridSpan w:val="7"/>
            <w:tcBorders>
              <w:bottom w:val="single" w:sz="4" w:space="0" w:color="auto"/>
            </w:tcBorders>
          </w:tcPr>
          <w:p w14:paraId="5DEB3FE5" w14:textId="77777777" w:rsidR="005C210E" w:rsidRDefault="005C210E" w:rsidP="005C210E">
            <w:pPr>
              <w:jc w:val="both"/>
              <w:rPr>
                <w:rFonts w:eastAsia="Times New Roman"/>
                <w:szCs w:val="20"/>
              </w:rPr>
            </w:pPr>
            <w:r w:rsidRPr="00386641">
              <w:rPr>
                <w:rFonts w:eastAsia="Times New Roman"/>
                <w:szCs w:val="20"/>
              </w:rPr>
              <w:t xml:space="preserve">The </w:t>
            </w:r>
            <w:r>
              <w:rPr>
                <w:rFonts w:eastAsia="Times New Roman"/>
                <w:szCs w:val="20"/>
              </w:rPr>
              <w:t xml:space="preserve">Committee </w:t>
            </w:r>
            <w:r w:rsidRPr="00386641">
              <w:rPr>
                <w:rFonts w:eastAsia="Times New Roman"/>
                <w:szCs w:val="20"/>
              </w:rPr>
              <w:t>is asked to:</w:t>
            </w:r>
          </w:p>
          <w:p w14:paraId="24FF1620" w14:textId="77777777" w:rsidR="005C210E" w:rsidRPr="00386641" w:rsidRDefault="005C210E" w:rsidP="005C210E">
            <w:pPr>
              <w:jc w:val="both"/>
              <w:rPr>
                <w:rFonts w:eastAsia="Times New Roman"/>
                <w:szCs w:val="20"/>
              </w:rPr>
            </w:pPr>
          </w:p>
          <w:p w14:paraId="69008C9C" w14:textId="77777777" w:rsidR="005C210E" w:rsidRPr="00ED35C0" w:rsidRDefault="005C210E" w:rsidP="005C210E">
            <w:pPr>
              <w:pStyle w:val="ListParagraph"/>
              <w:numPr>
                <w:ilvl w:val="0"/>
                <w:numId w:val="21"/>
              </w:numPr>
              <w:jc w:val="both"/>
            </w:pPr>
            <w:r w:rsidRPr="005C210E">
              <w:rPr>
                <w:rFonts w:eastAsia="Times New Roman"/>
                <w:szCs w:val="20"/>
              </w:rPr>
              <w:t xml:space="preserve">Take </w:t>
            </w:r>
            <w:r>
              <w:rPr>
                <w:rFonts w:eastAsia="Times New Roman"/>
                <w:b/>
                <w:szCs w:val="20"/>
              </w:rPr>
              <w:t xml:space="preserve">assurance </w:t>
            </w:r>
            <w:r w:rsidRPr="005C210E">
              <w:rPr>
                <w:rFonts w:eastAsia="Times New Roman"/>
                <w:szCs w:val="20"/>
              </w:rPr>
              <w:t xml:space="preserve">that the corporate risks of the organisation are managed appropriately. </w:t>
            </w:r>
          </w:p>
          <w:p w14:paraId="27D3168E" w14:textId="247D6087" w:rsidR="00275458" w:rsidRPr="00275458" w:rsidRDefault="00275458" w:rsidP="00275458">
            <w:pPr>
              <w:rPr>
                <w:szCs w:val="24"/>
              </w:rPr>
            </w:pPr>
          </w:p>
          <w:p w14:paraId="3CF09886" w14:textId="5429B340" w:rsidR="00E82204" w:rsidRPr="00E82204" w:rsidRDefault="00E82204" w:rsidP="00275458">
            <w:pPr>
              <w:pStyle w:val="ListParagraph"/>
              <w:ind w:left="1080"/>
              <w:jc w:val="both"/>
            </w:pPr>
          </w:p>
        </w:tc>
      </w:tr>
    </w:tbl>
    <w:p w14:paraId="3B1767A7" w14:textId="77777777" w:rsidR="00916053" w:rsidRDefault="00916053">
      <w:r>
        <w:br w:type="page"/>
      </w:r>
      <w:bookmarkStart w:id="5" w:name="_GoBack"/>
      <w:bookmarkEnd w:id="5"/>
    </w:p>
    <w:tbl>
      <w:tblPr>
        <w:tblStyle w:val="TableGrid"/>
        <w:tblW w:w="0" w:type="auto"/>
        <w:tblLook w:val="04A0" w:firstRow="1" w:lastRow="0" w:firstColumn="1" w:lastColumn="0" w:noHBand="0" w:noVBand="1"/>
      </w:tblPr>
      <w:tblGrid>
        <w:gridCol w:w="3192"/>
        <w:gridCol w:w="5834"/>
      </w:tblGrid>
      <w:tr w:rsidR="00D713DC" w:rsidRPr="001C60B5" w14:paraId="1AFB1E02" w14:textId="77777777" w:rsidTr="00480353">
        <w:tc>
          <w:tcPr>
            <w:tcW w:w="9026" w:type="dxa"/>
            <w:gridSpan w:val="2"/>
            <w:tcBorders>
              <w:left w:val="nil"/>
              <w:right w:val="nil"/>
            </w:tcBorders>
            <w:shd w:val="clear" w:color="auto" w:fill="auto"/>
          </w:tcPr>
          <w:p w14:paraId="0BF04105" w14:textId="77777777" w:rsidR="00D713DC" w:rsidRPr="005B4E75" w:rsidRDefault="00D713DC">
            <w:pPr>
              <w:rPr>
                <w:b/>
                <w:sz w:val="12"/>
                <w:szCs w:val="12"/>
              </w:rPr>
            </w:pPr>
          </w:p>
        </w:tc>
      </w:tr>
      <w:tr w:rsidR="00EE7097" w:rsidRPr="001C60B5" w14:paraId="0260EBD7" w14:textId="77777777" w:rsidTr="00480353">
        <w:tc>
          <w:tcPr>
            <w:tcW w:w="9026" w:type="dxa"/>
            <w:gridSpan w:val="2"/>
            <w:shd w:val="clear" w:color="auto" w:fill="F2F2F2" w:themeFill="background1" w:themeFillShade="F2"/>
          </w:tcPr>
          <w:p w14:paraId="2EBAE741" w14:textId="77777777" w:rsidR="00EE7097" w:rsidRPr="001C60B5" w:rsidRDefault="00EE7097" w:rsidP="00680248">
            <w:pPr>
              <w:rPr>
                <w:szCs w:val="24"/>
              </w:rPr>
            </w:pPr>
            <w:r w:rsidRPr="001C60B5">
              <w:rPr>
                <w:b/>
                <w:szCs w:val="24"/>
              </w:rPr>
              <w:t xml:space="preserve">Link to Public Health Wales </w:t>
            </w:r>
            <w:hyperlink r:id="rId13" w:history="1">
              <w:r w:rsidRPr="001C60B5">
                <w:rPr>
                  <w:rStyle w:val="Hyperlink"/>
                  <w:b/>
                  <w:szCs w:val="24"/>
                </w:rPr>
                <w:t>Strategic Plan</w:t>
              </w:r>
            </w:hyperlink>
          </w:p>
          <w:p w14:paraId="534668C0" w14:textId="77777777" w:rsidR="00EE7097" w:rsidRPr="001C60B5" w:rsidRDefault="00EE7097" w:rsidP="00680248">
            <w:pPr>
              <w:rPr>
                <w:szCs w:val="24"/>
              </w:rPr>
            </w:pPr>
          </w:p>
          <w:p w14:paraId="4F2D7A2C" w14:textId="77777777" w:rsidR="00EE7097" w:rsidRPr="001C60B5" w:rsidRDefault="00EE7097" w:rsidP="00CA5841">
            <w:pPr>
              <w:rPr>
                <w:bCs/>
                <w:szCs w:val="24"/>
              </w:rPr>
            </w:pPr>
            <w:r w:rsidRPr="001C60B5">
              <w:rPr>
                <w:szCs w:val="24"/>
              </w:rPr>
              <w:t>Public Health Wales has an agreed strategic plan</w:t>
            </w:r>
            <w:r w:rsidR="00EB0841">
              <w:rPr>
                <w:szCs w:val="24"/>
              </w:rPr>
              <w:t>,</w:t>
            </w:r>
            <w:r w:rsidR="00C05D9F">
              <w:rPr>
                <w:szCs w:val="24"/>
              </w:rPr>
              <w:t xml:space="preserve"> which has identified seven strategic priorities.  </w:t>
            </w:r>
          </w:p>
          <w:p w14:paraId="1EB4BD75" w14:textId="77777777" w:rsidR="0013075E" w:rsidRDefault="0013075E" w:rsidP="00EE7097">
            <w:pPr>
              <w:rPr>
                <w:bCs/>
                <w:szCs w:val="24"/>
              </w:rPr>
            </w:pPr>
          </w:p>
          <w:p w14:paraId="16D4F252" w14:textId="77777777" w:rsidR="00EE7097" w:rsidRPr="001C60B5" w:rsidRDefault="00EE7097" w:rsidP="00EE7097">
            <w:pPr>
              <w:rPr>
                <w:szCs w:val="24"/>
              </w:rPr>
            </w:pPr>
            <w:r w:rsidRPr="001C60B5">
              <w:rPr>
                <w:szCs w:val="24"/>
              </w:rPr>
              <w:t xml:space="preserve">This report contributes to </w:t>
            </w:r>
            <w:r w:rsidR="00171773">
              <w:rPr>
                <w:szCs w:val="24"/>
              </w:rPr>
              <w:t>all Strategic Priorities</w:t>
            </w:r>
          </w:p>
        </w:tc>
      </w:tr>
      <w:tr w:rsidR="00EE7097" w:rsidRPr="001C60B5" w14:paraId="2CFA134D" w14:textId="77777777" w:rsidTr="00480353">
        <w:tc>
          <w:tcPr>
            <w:tcW w:w="3192" w:type="dxa"/>
            <w:shd w:val="clear" w:color="auto" w:fill="auto"/>
          </w:tcPr>
          <w:p w14:paraId="5B44457C" w14:textId="77777777" w:rsidR="00EE7097" w:rsidRPr="001C60B5" w:rsidRDefault="00EE7097" w:rsidP="00480353">
            <w:pPr>
              <w:jc w:val="center"/>
              <w:rPr>
                <w:b/>
                <w:szCs w:val="24"/>
              </w:rPr>
            </w:pPr>
            <w:r w:rsidRPr="001C60B5">
              <w:rPr>
                <w:b/>
                <w:szCs w:val="24"/>
              </w:rPr>
              <w:t xml:space="preserve">Strategic </w:t>
            </w:r>
            <w:r w:rsidR="00480353">
              <w:rPr>
                <w:b/>
                <w:szCs w:val="24"/>
              </w:rPr>
              <w:t>Priority</w:t>
            </w:r>
          </w:p>
        </w:tc>
        <w:tc>
          <w:tcPr>
            <w:tcW w:w="5834" w:type="dxa"/>
            <w:shd w:val="clear" w:color="auto" w:fill="auto"/>
          </w:tcPr>
          <w:p w14:paraId="652A9098" w14:textId="77777777" w:rsidR="00EE7097" w:rsidRPr="0013075E" w:rsidRDefault="00607FD2" w:rsidP="00554429">
            <w:pPr>
              <w:rPr>
                <w:szCs w:val="24"/>
              </w:rPr>
            </w:pPr>
            <w:sdt>
              <w:sdtPr>
                <w:rPr>
                  <w:rStyle w:val="Dropdown"/>
                </w:rPr>
                <w:alias w:val="Strategic Objective"/>
                <w:tag w:val="Strategic Objective"/>
                <w:id w:val="1886465"/>
                <w:placeholder>
                  <w:docPart w:val="0E25CCC5DD4F43AAA642CDCC18DDB6A6"/>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F5100E" w:rsidRPr="0013075E">
                  <w:rPr>
                    <w:rStyle w:val="PlaceholderText"/>
                    <w:szCs w:val="24"/>
                  </w:rPr>
                  <w:t>Choose an item.</w:t>
                </w:r>
              </w:sdtContent>
            </w:sdt>
          </w:p>
        </w:tc>
      </w:tr>
      <w:tr w:rsidR="00480353" w:rsidRPr="001C60B5" w14:paraId="41FAD58F" w14:textId="77777777" w:rsidTr="00480353">
        <w:tc>
          <w:tcPr>
            <w:tcW w:w="3192" w:type="dxa"/>
            <w:shd w:val="clear" w:color="auto" w:fill="auto"/>
          </w:tcPr>
          <w:p w14:paraId="10C34306" w14:textId="77777777" w:rsidR="00480353" w:rsidRPr="001C60B5" w:rsidRDefault="00480353" w:rsidP="00480353">
            <w:pPr>
              <w:jc w:val="center"/>
              <w:rPr>
                <w:b/>
                <w:szCs w:val="24"/>
              </w:rPr>
            </w:pPr>
            <w:r w:rsidRPr="001C60B5">
              <w:rPr>
                <w:b/>
                <w:szCs w:val="24"/>
              </w:rPr>
              <w:t xml:space="preserve">Strategic </w:t>
            </w:r>
            <w:r>
              <w:rPr>
                <w:b/>
                <w:szCs w:val="24"/>
              </w:rPr>
              <w:t>Priority</w:t>
            </w:r>
          </w:p>
        </w:tc>
        <w:tc>
          <w:tcPr>
            <w:tcW w:w="5834" w:type="dxa"/>
            <w:shd w:val="clear" w:color="auto" w:fill="auto"/>
          </w:tcPr>
          <w:p w14:paraId="2DEEECB0" w14:textId="77777777" w:rsidR="00480353" w:rsidRPr="0013075E" w:rsidRDefault="00607FD2" w:rsidP="00480353">
            <w:pPr>
              <w:rPr>
                <w:szCs w:val="24"/>
              </w:rPr>
            </w:pPr>
            <w:sdt>
              <w:sdtPr>
                <w:rPr>
                  <w:rStyle w:val="Dropdown"/>
                </w:rPr>
                <w:alias w:val="Strategic Objective"/>
                <w:tag w:val="Strategic Objective"/>
                <w:id w:val="1576867618"/>
                <w:placeholder>
                  <w:docPart w:val="5A5F231099F942BDB087759F1EF38FEA"/>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F5100E" w:rsidRPr="0013075E">
                  <w:rPr>
                    <w:rStyle w:val="PlaceholderText"/>
                    <w:szCs w:val="24"/>
                  </w:rPr>
                  <w:t>Choose an item.</w:t>
                </w:r>
              </w:sdtContent>
            </w:sdt>
          </w:p>
        </w:tc>
      </w:tr>
      <w:tr w:rsidR="00EE7097" w:rsidRPr="001C60B5" w14:paraId="73869422" w14:textId="77777777" w:rsidTr="00480353">
        <w:tc>
          <w:tcPr>
            <w:tcW w:w="9026" w:type="dxa"/>
            <w:gridSpan w:val="2"/>
            <w:tcBorders>
              <w:left w:val="nil"/>
              <w:right w:val="nil"/>
            </w:tcBorders>
            <w:shd w:val="clear" w:color="auto" w:fill="auto"/>
          </w:tcPr>
          <w:p w14:paraId="4EDF9C93" w14:textId="77777777" w:rsidR="00EE7097" w:rsidRPr="005B4E75" w:rsidRDefault="00EE7097" w:rsidP="00211B9D">
            <w:pPr>
              <w:rPr>
                <w:b/>
                <w:sz w:val="12"/>
                <w:szCs w:val="12"/>
              </w:rPr>
            </w:pPr>
          </w:p>
        </w:tc>
      </w:tr>
      <w:tr w:rsidR="00EE7097" w:rsidRPr="001C60B5" w14:paraId="37B30035" w14:textId="77777777" w:rsidTr="00480353">
        <w:tc>
          <w:tcPr>
            <w:tcW w:w="9026" w:type="dxa"/>
            <w:gridSpan w:val="2"/>
            <w:shd w:val="clear" w:color="auto" w:fill="F2F2F2" w:themeFill="background1" w:themeFillShade="F2"/>
          </w:tcPr>
          <w:p w14:paraId="0CEDC94D"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195046A6" w14:textId="77777777" w:rsidR="00EE7097" w:rsidRPr="001C60B5" w:rsidRDefault="00EE7097" w:rsidP="00CA5841">
            <w:pPr>
              <w:rPr>
                <w:color w:val="FF0000"/>
                <w:szCs w:val="24"/>
              </w:rPr>
            </w:pPr>
          </w:p>
        </w:tc>
      </w:tr>
      <w:tr w:rsidR="00EE7097" w:rsidRPr="001C60B5" w14:paraId="58A5F03F" w14:textId="77777777" w:rsidTr="00480353">
        <w:tc>
          <w:tcPr>
            <w:tcW w:w="3192" w:type="dxa"/>
          </w:tcPr>
          <w:p w14:paraId="691BCA0B" w14:textId="77777777" w:rsidR="00EE7097" w:rsidRPr="001C60B5" w:rsidRDefault="00EE7097" w:rsidP="00097ACD">
            <w:pPr>
              <w:rPr>
                <w:b/>
                <w:szCs w:val="24"/>
              </w:rPr>
            </w:pPr>
            <w:r w:rsidRPr="001C60B5">
              <w:rPr>
                <w:b/>
                <w:szCs w:val="24"/>
              </w:rPr>
              <w:t>Equality and Health Impact Assessment</w:t>
            </w:r>
          </w:p>
        </w:tc>
        <w:tc>
          <w:tcPr>
            <w:tcW w:w="5834" w:type="dxa"/>
          </w:tcPr>
          <w:p w14:paraId="6A22EB33" w14:textId="77777777" w:rsidR="00EE7097" w:rsidRPr="00126327" w:rsidRDefault="00386641" w:rsidP="00097ACD">
            <w:pPr>
              <w:rPr>
                <w:i/>
                <w:color w:val="FF0000"/>
                <w:szCs w:val="24"/>
              </w:rPr>
            </w:pPr>
            <w:r w:rsidRPr="00A82883">
              <w:rPr>
                <w:szCs w:val="24"/>
              </w:rPr>
              <w:t>No decision is required</w:t>
            </w:r>
            <w:r>
              <w:rPr>
                <w:szCs w:val="24"/>
              </w:rPr>
              <w:t>.</w:t>
            </w:r>
          </w:p>
        </w:tc>
      </w:tr>
      <w:tr w:rsidR="003A3414" w:rsidRPr="001C60B5" w14:paraId="41F4F19C" w14:textId="77777777" w:rsidTr="00480353">
        <w:tc>
          <w:tcPr>
            <w:tcW w:w="3192" w:type="dxa"/>
          </w:tcPr>
          <w:p w14:paraId="70FE903A" w14:textId="77777777" w:rsidR="003A3414" w:rsidRPr="001C60B5" w:rsidRDefault="003A3414">
            <w:pPr>
              <w:rPr>
                <w:b/>
                <w:szCs w:val="24"/>
              </w:rPr>
            </w:pPr>
            <w:r>
              <w:rPr>
                <w:b/>
                <w:szCs w:val="24"/>
              </w:rPr>
              <w:t>Risk and Assurance</w:t>
            </w:r>
          </w:p>
        </w:tc>
        <w:tc>
          <w:tcPr>
            <w:tcW w:w="5834" w:type="dxa"/>
            <w:tcBorders>
              <w:bottom w:val="single" w:sz="4" w:space="0" w:color="auto"/>
            </w:tcBorders>
          </w:tcPr>
          <w:p w14:paraId="70EFFE1F" w14:textId="77777777" w:rsidR="003A3414" w:rsidRPr="003A3414" w:rsidRDefault="00144C23" w:rsidP="006C7D3F">
            <w:pPr>
              <w:rPr>
                <w:color w:val="FF0000"/>
                <w:szCs w:val="24"/>
              </w:rPr>
            </w:pPr>
            <w:r w:rsidRPr="00144C23">
              <w:rPr>
                <w:szCs w:val="24"/>
              </w:rPr>
              <w:t>This submission is the Corporate Risk Register.</w:t>
            </w:r>
          </w:p>
        </w:tc>
      </w:tr>
      <w:tr w:rsidR="00EE7097" w:rsidRPr="001C60B5" w14:paraId="1BB7E772" w14:textId="77777777" w:rsidTr="00480353">
        <w:trPr>
          <w:trHeight w:val="1030"/>
        </w:trPr>
        <w:tc>
          <w:tcPr>
            <w:tcW w:w="3192" w:type="dxa"/>
            <w:vMerge w:val="restart"/>
          </w:tcPr>
          <w:p w14:paraId="6CE5BB5F"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44521336" w14:textId="77777777" w:rsidR="00EE7097" w:rsidRPr="001C60B5" w:rsidRDefault="00EE7097" w:rsidP="00126327">
            <w:pPr>
              <w:rPr>
                <w:szCs w:val="24"/>
              </w:rPr>
            </w:pPr>
            <w:r w:rsidRPr="001C60B5">
              <w:rPr>
                <w:szCs w:val="24"/>
              </w:rPr>
              <w:t xml:space="preserve">This report supports and/or takes into account the </w:t>
            </w:r>
            <w:hyperlink r:id="rId14"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79ED8683" w14:textId="77777777" w:rsidTr="00480353">
        <w:trPr>
          <w:trHeight w:val="281"/>
        </w:trPr>
        <w:tc>
          <w:tcPr>
            <w:tcW w:w="3192" w:type="dxa"/>
            <w:vMerge/>
          </w:tcPr>
          <w:p w14:paraId="7936B84F" w14:textId="77777777"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43499BDF" w14:textId="77777777" w:rsidR="00E263D4" w:rsidRPr="001C60B5" w:rsidRDefault="00144C23" w:rsidP="00E263D4">
                <w:pPr>
                  <w:ind w:left="436"/>
                  <w:rPr>
                    <w:szCs w:val="24"/>
                  </w:rPr>
                </w:pPr>
                <w:r>
                  <w:rPr>
                    <w:rStyle w:val="Dropdown"/>
                  </w:rPr>
                  <w:t>Governance, Leadership and Accountability</w:t>
                </w:r>
              </w:p>
            </w:sdtContent>
          </w:sdt>
        </w:tc>
      </w:tr>
      <w:tr w:rsidR="00EE7097" w:rsidRPr="001C60B5" w14:paraId="1CF1AAC5" w14:textId="77777777" w:rsidTr="00480353">
        <w:tc>
          <w:tcPr>
            <w:tcW w:w="3192" w:type="dxa"/>
          </w:tcPr>
          <w:p w14:paraId="284E3AE4" w14:textId="77777777" w:rsidR="00EE7097" w:rsidRPr="001C60B5" w:rsidRDefault="00EE7097">
            <w:pPr>
              <w:rPr>
                <w:b/>
                <w:szCs w:val="24"/>
              </w:rPr>
            </w:pPr>
            <w:r w:rsidRPr="001C60B5">
              <w:rPr>
                <w:b/>
                <w:szCs w:val="24"/>
              </w:rPr>
              <w:t>Financial implications</w:t>
            </w:r>
          </w:p>
        </w:tc>
        <w:tc>
          <w:tcPr>
            <w:tcW w:w="5834" w:type="dxa"/>
          </w:tcPr>
          <w:p w14:paraId="5C35F480" w14:textId="77777777" w:rsidR="00EE7097" w:rsidRPr="00126327" w:rsidRDefault="00386641" w:rsidP="00386641">
            <w:pPr>
              <w:rPr>
                <w:szCs w:val="24"/>
              </w:rPr>
            </w:pPr>
            <w:r>
              <w:rPr>
                <w:szCs w:val="24"/>
              </w:rPr>
              <w:t>No</w:t>
            </w:r>
            <w:r w:rsidR="00DB686C" w:rsidRPr="00DB686C">
              <w:rPr>
                <w:szCs w:val="24"/>
              </w:rPr>
              <w:t xml:space="preserve"> </w:t>
            </w:r>
            <w:r>
              <w:rPr>
                <w:szCs w:val="24"/>
              </w:rPr>
              <w:t xml:space="preserve">financial implications. </w:t>
            </w:r>
          </w:p>
        </w:tc>
      </w:tr>
      <w:tr w:rsidR="00EE7097" w:rsidRPr="001C60B5" w14:paraId="0FFBFD0B" w14:textId="77777777" w:rsidTr="00480353">
        <w:tc>
          <w:tcPr>
            <w:tcW w:w="3192" w:type="dxa"/>
          </w:tcPr>
          <w:p w14:paraId="7E30F9FD" w14:textId="77777777"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14:paraId="37F3687B" w14:textId="77777777" w:rsidR="00EE7097" w:rsidRPr="00126327" w:rsidRDefault="00DB686C" w:rsidP="00386641">
            <w:pPr>
              <w:rPr>
                <w:color w:val="FF0000"/>
                <w:szCs w:val="24"/>
              </w:rPr>
            </w:pPr>
            <w:r w:rsidRPr="00DB686C">
              <w:rPr>
                <w:szCs w:val="24"/>
              </w:rPr>
              <w:t>No</w:t>
            </w:r>
            <w:r w:rsidR="00386641">
              <w:rPr>
                <w:szCs w:val="24"/>
              </w:rPr>
              <w:t xml:space="preserve"> people implications.</w:t>
            </w:r>
          </w:p>
        </w:tc>
      </w:tr>
    </w:tbl>
    <w:p w14:paraId="512757FA" w14:textId="77777777" w:rsidR="007D03B8" w:rsidRPr="001C60B5" w:rsidRDefault="007D03B8" w:rsidP="006F654D">
      <w:pPr>
        <w:pStyle w:val="ListBullet"/>
        <w:rPr>
          <w:b/>
          <w:color w:val="FF0000"/>
          <w:szCs w:val="24"/>
        </w:rPr>
        <w:sectPr w:rsidR="007D03B8" w:rsidRPr="001C60B5" w:rsidSect="008902AA">
          <w:footerReference w:type="default" r:id="rId15"/>
          <w:pgSz w:w="11906" w:h="16838"/>
          <w:pgMar w:top="1440" w:right="1440" w:bottom="1440" w:left="1440" w:header="708" w:footer="708" w:gutter="0"/>
          <w:cols w:space="708"/>
          <w:docGrid w:linePitch="360"/>
        </w:sectPr>
      </w:pPr>
    </w:p>
    <w:p w14:paraId="6D66E883" w14:textId="77777777" w:rsidR="0087331D" w:rsidRPr="001C60B5" w:rsidRDefault="0087331D" w:rsidP="002B712E">
      <w:pPr>
        <w:pStyle w:val="Heading1"/>
        <w:numPr>
          <w:ilvl w:val="0"/>
          <w:numId w:val="2"/>
        </w:numPr>
        <w:ind w:left="567" w:hanging="567"/>
        <w:rPr>
          <w:szCs w:val="24"/>
        </w:rPr>
      </w:pPr>
      <w:r w:rsidRPr="001C60B5">
        <w:rPr>
          <w:szCs w:val="24"/>
        </w:rPr>
        <w:lastRenderedPageBreak/>
        <w:t>Purpose</w:t>
      </w:r>
      <w:r w:rsidR="00051E74" w:rsidRPr="001C60B5">
        <w:rPr>
          <w:szCs w:val="24"/>
        </w:rPr>
        <w:t xml:space="preserve"> / situation</w:t>
      </w:r>
    </w:p>
    <w:p w14:paraId="1FF2C980" w14:textId="77777777" w:rsidR="0087331D" w:rsidRPr="001C60B5" w:rsidRDefault="0087331D" w:rsidP="0087331D">
      <w:pPr>
        <w:pStyle w:val="ListParagraph"/>
        <w:rPr>
          <w:szCs w:val="24"/>
        </w:rPr>
      </w:pPr>
    </w:p>
    <w:p w14:paraId="4028FA28" w14:textId="44900B3C" w:rsidR="007F70E4" w:rsidRDefault="007F70E4" w:rsidP="007F70E4">
      <w:r>
        <w:t xml:space="preserve">This paper introduces the Corporate Risk Register and highlights any areas of concern or that may require further discussion. </w:t>
      </w:r>
    </w:p>
    <w:p w14:paraId="7F11B562" w14:textId="77777777" w:rsidR="0087331D" w:rsidRPr="001C60B5" w:rsidRDefault="0087331D" w:rsidP="002B712E">
      <w:pPr>
        <w:pStyle w:val="Heading1"/>
        <w:numPr>
          <w:ilvl w:val="0"/>
          <w:numId w:val="2"/>
        </w:numPr>
        <w:ind w:left="567" w:hanging="567"/>
        <w:rPr>
          <w:szCs w:val="24"/>
        </w:rPr>
      </w:pPr>
      <w:r w:rsidRPr="001C60B5">
        <w:rPr>
          <w:szCs w:val="24"/>
        </w:rPr>
        <w:t>Background</w:t>
      </w:r>
    </w:p>
    <w:p w14:paraId="65685D2C" w14:textId="77777777" w:rsidR="0087331D" w:rsidRPr="00386641" w:rsidRDefault="0087331D" w:rsidP="0087331D">
      <w:pPr>
        <w:pStyle w:val="ListParagraph"/>
        <w:rPr>
          <w:szCs w:val="24"/>
        </w:rPr>
      </w:pPr>
    </w:p>
    <w:p w14:paraId="59E00999" w14:textId="3D2D8AB3" w:rsidR="005243E3" w:rsidRDefault="00ED35C0" w:rsidP="00DB686C">
      <w:pPr>
        <w:pStyle w:val="Default"/>
        <w:rPr>
          <w:color w:val="auto"/>
        </w:rPr>
      </w:pPr>
      <w:r>
        <w:rPr>
          <w:color w:val="auto"/>
        </w:rPr>
        <w:t xml:space="preserve">The </w:t>
      </w:r>
      <w:r w:rsidR="007331F5">
        <w:rPr>
          <w:color w:val="auto"/>
        </w:rPr>
        <w:t xml:space="preserve">purpose of the </w:t>
      </w:r>
      <w:r>
        <w:rPr>
          <w:color w:val="auto"/>
        </w:rPr>
        <w:t>Corporate Risk Register</w:t>
      </w:r>
      <w:r w:rsidR="00A72900">
        <w:rPr>
          <w:color w:val="auto"/>
        </w:rPr>
        <w:t xml:space="preserve"> (CRR)</w:t>
      </w:r>
      <w:r>
        <w:rPr>
          <w:color w:val="auto"/>
        </w:rPr>
        <w:t xml:space="preserve"> </w:t>
      </w:r>
      <w:r w:rsidR="007331F5">
        <w:rPr>
          <w:color w:val="auto"/>
        </w:rPr>
        <w:t xml:space="preserve">is to </w:t>
      </w:r>
      <w:r>
        <w:rPr>
          <w:color w:val="auto"/>
        </w:rPr>
        <w:t xml:space="preserve">ensure that the Executive Team have a common understanding of the risk landscape in terms of the </w:t>
      </w:r>
      <w:r w:rsidR="00D171E4">
        <w:rPr>
          <w:color w:val="auto"/>
        </w:rPr>
        <w:t>highest-level</w:t>
      </w:r>
      <w:r>
        <w:rPr>
          <w:color w:val="auto"/>
        </w:rPr>
        <w:t xml:space="preserve"> operational risks facing the organisation</w:t>
      </w:r>
      <w:r w:rsidR="007331F5">
        <w:rPr>
          <w:color w:val="auto"/>
        </w:rPr>
        <w:t xml:space="preserve"> and to </w:t>
      </w:r>
    </w:p>
    <w:p w14:paraId="1625EBE7" w14:textId="09EA6C09" w:rsidR="007331F5" w:rsidRDefault="007331F5" w:rsidP="00DB686C">
      <w:pPr>
        <w:pStyle w:val="Default"/>
        <w:rPr>
          <w:color w:val="auto"/>
        </w:rPr>
      </w:pPr>
    </w:p>
    <w:p w14:paraId="013F509E" w14:textId="361AD9A5" w:rsidR="007331F5" w:rsidRDefault="007331F5" w:rsidP="00DB686C">
      <w:pPr>
        <w:pStyle w:val="Default"/>
        <w:rPr>
          <w:color w:val="auto"/>
        </w:rPr>
      </w:pPr>
      <w:r>
        <w:rPr>
          <w:color w:val="auto"/>
        </w:rPr>
        <w:tab/>
      </w:r>
      <w:r w:rsidRPr="007331F5">
        <w:rPr>
          <w:i/>
          <w:color w:val="auto"/>
        </w:rPr>
        <w:t>‘…assist the CEO and management team in communicating with the Board.’</w:t>
      </w:r>
      <w:r>
        <w:rPr>
          <w:i/>
          <w:color w:val="auto"/>
        </w:rPr>
        <w:t xml:space="preserve"> </w:t>
      </w:r>
      <w:r>
        <w:rPr>
          <w:color w:val="auto"/>
        </w:rPr>
        <w:t>(Fraser, 2010)</w:t>
      </w:r>
    </w:p>
    <w:p w14:paraId="3F1C6915" w14:textId="772E47DA" w:rsidR="007331F5" w:rsidRDefault="007331F5" w:rsidP="00DB686C">
      <w:pPr>
        <w:pStyle w:val="Default"/>
        <w:rPr>
          <w:color w:val="auto"/>
        </w:rPr>
      </w:pPr>
    </w:p>
    <w:p w14:paraId="45875D26" w14:textId="7EC47BE8" w:rsidR="007331F5" w:rsidRDefault="00A72900" w:rsidP="00DB686C">
      <w:pPr>
        <w:pStyle w:val="Default"/>
        <w:rPr>
          <w:color w:val="auto"/>
        </w:rPr>
      </w:pPr>
      <w:r>
        <w:rPr>
          <w:color w:val="auto"/>
        </w:rPr>
        <w:t>The basis for the CRR in Public Heath Wales comes from the Risk Management Policy and Procedure (PHW, 2020)</w:t>
      </w:r>
    </w:p>
    <w:p w14:paraId="52D271C2" w14:textId="7A6FBD16" w:rsidR="00A72900" w:rsidRDefault="00A72900" w:rsidP="00DB686C">
      <w:pPr>
        <w:pStyle w:val="Default"/>
        <w:rPr>
          <w:color w:val="auto"/>
        </w:rPr>
      </w:pPr>
    </w:p>
    <w:p w14:paraId="5A211F06" w14:textId="57A24286" w:rsidR="00E82204" w:rsidRDefault="00E82204" w:rsidP="00E82204">
      <w:pPr>
        <w:pStyle w:val="Default"/>
        <w:rPr>
          <w:color w:val="auto"/>
        </w:rPr>
      </w:pPr>
    </w:p>
    <w:p w14:paraId="5C412839" w14:textId="6CBCE8EB" w:rsidR="00E82204" w:rsidRDefault="00E82204" w:rsidP="00DB686C">
      <w:pPr>
        <w:pStyle w:val="Default"/>
        <w:rPr>
          <w:color w:val="auto"/>
        </w:rPr>
      </w:pPr>
      <w:r>
        <w:rPr>
          <w:color w:val="auto"/>
        </w:rPr>
        <w:t xml:space="preserve">It </w:t>
      </w:r>
      <w:r w:rsidR="00D171E4">
        <w:rPr>
          <w:color w:val="auto"/>
        </w:rPr>
        <w:t>is recognised</w:t>
      </w:r>
      <w:r>
        <w:rPr>
          <w:color w:val="auto"/>
        </w:rPr>
        <w:t xml:space="preserve"> that presentation of the CRR at t</w:t>
      </w:r>
      <w:r w:rsidR="00D171E4">
        <w:rPr>
          <w:color w:val="auto"/>
        </w:rPr>
        <w:t>hese meetings has been impacted</w:t>
      </w:r>
      <w:r>
        <w:rPr>
          <w:color w:val="auto"/>
        </w:rPr>
        <w:t xml:space="preserve"> over the past year due to the </w:t>
      </w:r>
      <w:r w:rsidR="00D171E4">
        <w:rPr>
          <w:color w:val="auto"/>
        </w:rPr>
        <w:t>demands of the Covid-19 response. There is</w:t>
      </w:r>
      <w:r>
        <w:rPr>
          <w:color w:val="auto"/>
        </w:rPr>
        <w:t xml:space="preserve"> now </w:t>
      </w:r>
      <w:r w:rsidR="00D171E4">
        <w:rPr>
          <w:color w:val="auto"/>
        </w:rPr>
        <w:t>a need, to review our approach to ensure</w:t>
      </w:r>
      <w:r w:rsidR="007E0F3B">
        <w:rPr>
          <w:color w:val="auto"/>
        </w:rPr>
        <w:t xml:space="preserve"> there is</w:t>
      </w:r>
      <w:r w:rsidR="00D171E4">
        <w:rPr>
          <w:color w:val="auto"/>
        </w:rPr>
        <w:t xml:space="preserve"> focused </w:t>
      </w:r>
      <w:r w:rsidR="007E0F3B">
        <w:rPr>
          <w:color w:val="auto"/>
        </w:rPr>
        <w:t>time for discussion</w:t>
      </w:r>
      <w:r w:rsidR="00D171E4">
        <w:rPr>
          <w:color w:val="auto"/>
        </w:rPr>
        <w:t xml:space="preserve"> and monitoring of </w:t>
      </w:r>
      <w:r w:rsidR="007E0F3B">
        <w:rPr>
          <w:color w:val="auto"/>
        </w:rPr>
        <w:t xml:space="preserve">the </w:t>
      </w:r>
      <w:r w:rsidR="00D171E4">
        <w:rPr>
          <w:color w:val="auto"/>
        </w:rPr>
        <w:t>Corporate Risk</w:t>
      </w:r>
      <w:r w:rsidR="007E0F3B">
        <w:rPr>
          <w:color w:val="auto"/>
        </w:rPr>
        <w:t>s, ensuring</w:t>
      </w:r>
      <w:r w:rsidR="00D171E4">
        <w:rPr>
          <w:color w:val="auto"/>
        </w:rPr>
        <w:t xml:space="preserve"> the Executive is fully engaged in the process.  </w:t>
      </w:r>
    </w:p>
    <w:p w14:paraId="02DD06E1" w14:textId="77777777" w:rsidR="0039536A" w:rsidRPr="001C60B5" w:rsidRDefault="00C60DE3" w:rsidP="0039536A">
      <w:pPr>
        <w:pStyle w:val="Heading1"/>
        <w:numPr>
          <w:ilvl w:val="0"/>
          <w:numId w:val="2"/>
        </w:numPr>
        <w:ind w:left="567" w:hanging="567"/>
        <w:rPr>
          <w:szCs w:val="24"/>
        </w:rPr>
      </w:pPr>
      <w:r>
        <w:rPr>
          <w:szCs w:val="24"/>
        </w:rPr>
        <w:t>Horizon scanning</w:t>
      </w:r>
    </w:p>
    <w:p w14:paraId="745DA679" w14:textId="77777777" w:rsidR="0039536A" w:rsidRDefault="0039536A" w:rsidP="00DB686C">
      <w:pPr>
        <w:pStyle w:val="Default"/>
        <w:rPr>
          <w:color w:val="auto"/>
        </w:rPr>
      </w:pPr>
    </w:p>
    <w:p w14:paraId="0BAAC9BB" w14:textId="4CB8891A" w:rsidR="007E15D2" w:rsidRDefault="009C62CD" w:rsidP="00DB686C">
      <w:pPr>
        <w:pStyle w:val="Default"/>
        <w:rPr>
          <w:color w:val="auto"/>
        </w:rPr>
      </w:pPr>
      <w:r>
        <w:rPr>
          <w:color w:val="auto"/>
        </w:rPr>
        <w:t xml:space="preserve">As part of this review of our approach, </w:t>
      </w:r>
      <w:r w:rsidR="002874C4">
        <w:rPr>
          <w:color w:val="auto"/>
        </w:rPr>
        <w:t>t</w:t>
      </w:r>
      <w:r w:rsidR="007E15D2">
        <w:rPr>
          <w:color w:val="auto"/>
        </w:rPr>
        <w:t xml:space="preserve">he Chief Risk Officer is </w:t>
      </w:r>
      <w:r w:rsidR="002874C4">
        <w:rPr>
          <w:color w:val="auto"/>
        </w:rPr>
        <w:t xml:space="preserve">working with the Board Secretary and Head of the Board Business Unit and the Assistant Director, Integrated Governance to </w:t>
      </w:r>
      <w:r>
        <w:rPr>
          <w:color w:val="auto"/>
        </w:rPr>
        <w:t>produce</w:t>
      </w:r>
      <w:r w:rsidR="007E15D2">
        <w:rPr>
          <w:color w:val="auto"/>
        </w:rPr>
        <w:t xml:space="preserve"> a three </w:t>
      </w:r>
      <w:r>
        <w:rPr>
          <w:color w:val="auto"/>
        </w:rPr>
        <w:t>year Risk Development</w:t>
      </w:r>
      <w:r w:rsidR="007E15D2">
        <w:rPr>
          <w:color w:val="auto"/>
        </w:rPr>
        <w:t xml:space="preserve"> </w:t>
      </w:r>
      <w:r>
        <w:rPr>
          <w:color w:val="auto"/>
        </w:rPr>
        <w:t>P</w:t>
      </w:r>
      <w:r w:rsidR="007E15D2">
        <w:rPr>
          <w:color w:val="auto"/>
        </w:rPr>
        <w:t xml:space="preserve">lan  which will be presented to BET by summer 2021. </w:t>
      </w:r>
      <w:r>
        <w:rPr>
          <w:color w:val="auto"/>
        </w:rPr>
        <w:t>The Plan will seek to build on our existing risk management architecture, embed risk management principles throughout our planning and management decision making and  improve</w:t>
      </w:r>
      <w:r w:rsidR="001D722C">
        <w:rPr>
          <w:color w:val="auto"/>
        </w:rPr>
        <w:t xml:space="preserve"> our risk management reporting. </w:t>
      </w:r>
      <w:r>
        <w:rPr>
          <w:color w:val="auto"/>
        </w:rPr>
        <w:t xml:space="preserve"> </w:t>
      </w:r>
    </w:p>
    <w:p w14:paraId="10EF855C" w14:textId="17DD895C" w:rsidR="00641315" w:rsidRDefault="00641315" w:rsidP="00DB686C">
      <w:pPr>
        <w:pStyle w:val="Default"/>
        <w:rPr>
          <w:color w:val="auto"/>
        </w:rPr>
      </w:pPr>
    </w:p>
    <w:p w14:paraId="099546C4" w14:textId="77777777" w:rsidR="0039791B" w:rsidRDefault="0039791B">
      <w:pPr>
        <w:spacing w:after="200" w:line="276" w:lineRule="auto"/>
        <w:rPr>
          <w:rFonts w:eastAsiaTheme="majorEastAsia" w:cstheme="majorBidi"/>
          <w:b/>
          <w:bCs/>
          <w:szCs w:val="24"/>
        </w:rPr>
      </w:pPr>
      <w:r>
        <w:rPr>
          <w:szCs w:val="24"/>
        </w:rPr>
        <w:br w:type="page"/>
      </w:r>
    </w:p>
    <w:p w14:paraId="523EC93C" w14:textId="2ADA08ED" w:rsidR="007F70E4" w:rsidRPr="0024189E" w:rsidRDefault="007F70E4" w:rsidP="0024189E">
      <w:pPr>
        <w:pStyle w:val="Heading1"/>
        <w:numPr>
          <w:ilvl w:val="0"/>
          <w:numId w:val="2"/>
        </w:numPr>
        <w:ind w:left="567" w:hanging="567"/>
        <w:rPr>
          <w:szCs w:val="24"/>
        </w:rPr>
      </w:pPr>
      <w:r w:rsidRPr="0024189E">
        <w:rPr>
          <w:szCs w:val="24"/>
        </w:rPr>
        <w:lastRenderedPageBreak/>
        <w:t>Summary</w:t>
      </w:r>
      <w:r w:rsidR="00A27DE4">
        <w:rPr>
          <w:szCs w:val="24"/>
        </w:rPr>
        <w:t xml:space="preserve"> of Corporate Risks</w:t>
      </w:r>
    </w:p>
    <w:p w14:paraId="4DBAEE05" w14:textId="77777777" w:rsidR="007F70E4" w:rsidRPr="007F70E4" w:rsidRDefault="007F70E4" w:rsidP="007F70E4"/>
    <w:tbl>
      <w:tblPr>
        <w:tblStyle w:val="TableGrid"/>
        <w:tblW w:w="0" w:type="auto"/>
        <w:tblLook w:val="04A0" w:firstRow="1" w:lastRow="0" w:firstColumn="1" w:lastColumn="0" w:noHBand="0" w:noVBand="1"/>
      </w:tblPr>
      <w:tblGrid>
        <w:gridCol w:w="2245"/>
        <w:gridCol w:w="3734"/>
        <w:gridCol w:w="1443"/>
        <w:gridCol w:w="1638"/>
      </w:tblGrid>
      <w:tr w:rsidR="007F70E4" w14:paraId="52B491D3" w14:textId="77777777" w:rsidTr="0048012F">
        <w:tc>
          <w:tcPr>
            <w:tcW w:w="7422" w:type="dxa"/>
            <w:gridSpan w:val="3"/>
          </w:tcPr>
          <w:p w14:paraId="174A0CE3" w14:textId="77777777" w:rsidR="007F70E4" w:rsidRDefault="007F70E4" w:rsidP="0048012F">
            <w:r>
              <w:t>Total number of Corporate Risks relating to COVID-19</w:t>
            </w:r>
          </w:p>
        </w:tc>
        <w:tc>
          <w:tcPr>
            <w:tcW w:w="1638" w:type="dxa"/>
          </w:tcPr>
          <w:p w14:paraId="0EDD167E" w14:textId="5E7E8CDA" w:rsidR="007F70E4" w:rsidRDefault="00565607" w:rsidP="0048012F">
            <w:r>
              <w:t>8</w:t>
            </w:r>
          </w:p>
        </w:tc>
      </w:tr>
      <w:tr w:rsidR="007F70E4" w14:paraId="25D42826" w14:textId="77777777" w:rsidTr="0048012F">
        <w:tc>
          <w:tcPr>
            <w:tcW w:w="7422" w:type="dxa"/>
            <w:gridSpan w:val="3"/>
          </w:tcPr>
          <w:p w14:paraId="744B3260" w14:textId="77777777" w:rsidR="007F70E4" w:rsidRDefault="007F70E4" w:rsidP="0048012F">
            <w:r>
              <w:t>Total number of Corporate Risks not related to COVID-19</w:t>
            </w:r>
          </w:p>
        </w:tc>
        <w:tc>
          <w:tcPr>
            <w:tcW w:w="1638" w:type="dxa"/>
          </w:tcPr>
          <w:p w14:paraId="03D88E35" w14:textId="01C5360F" w:rsidR="007F70E4" w:rsidRDefault="008726CE" w:rsidP="0048012F">
            <w:r>
              <w:t>7</w:t>
            </w:r>
          </w:p>
        </w:tc>
      </w:tr>
      <w:tr w:rsidR="007F70E4" w14:paraId="5D2123D0" w14:textId="77777777" w:rsidTr="0048012F">
        <w:tc>
          <w:tcPr>
            <w:tcW w:w="9060" w:type="dxa"/>
            <w:gridSpan w:val="4"/>
            <w:shd w:val="clear" w:color="auto" w:fill="D9D9D9" w:themeFill="background1" w:themeFillShade="D9"/>
          </w:tcPr>
          <w:p w14:paraId="571509AD" w14:textId="77777777" w:rsidR="007F70E4" w:rsidRDefault="007F70E4" w:rsidP="0048012F"/>
        </w:tc>
      </w:tr>
      <w:tr w:rsidR="007F70E4" w14:paraId="18518E34" w14:textId="77777777" w:rsidTr="0048012F">
        <w:tc>
          <w:tcPr>
            <w:tcW w:w="5979" w:type="dxa"/>
            <w:gridSpan w:val="2"/>
            <w:vMerge w:val="restart"/>
          </w:tcPr>
          <w:p w14:paraId="5B67C6F7" w14:textId="77777777" w:rsidR="007F70E4" w:rsidRDefault="007F70E4" w:rsidP="0048012F">
            <w:r>
              <w:t>No. of Risks by severity (residual score)</w:t>
            </w:r>
          </w:p>
        </w:tc>
        <w:tc>
          <w:tcPr>
            <w:tcW w:w="1443" w:type="dxa"/>
          </w:tcPr>
          <w:p w14:paraId="3748DADB" w14:textId="77777777" w:rsidR="007F70E4" w:rsidRDefault="007F70E4" w:rsidP="0048012F">
            <w:r>
              <w:t>Extreme</w:t>
            </w:r>
          </w:p>
        </w:tc>
        <w:tc>
          <w:tcPr>
            <w:tcW w:w="1638" w:type="dxa"/>
          </w:tcPr>
          <w:p w14:paraId="0100D755" w14:textId="4A396196" w:rsidR="007F70E4" w:rsidRDefault="00F56F7E" w:rsidP="0048012F">
            <w:r>
              <w:t>8</w:t>
            </w:r>
          </w:p>
        </w:tc>
      </w:tr>
      <w:tr w:rsidR="007F70E4" w14:paraId="05F12732" w14:textId="77777777" w:rsidTr="0048012F">
        <w:tc>
          <w:tcPr>
            <w:tcW w:w="5979" w:type="dxa"/>
            <w:gridSpan w:val="2"/>
            <w:vMerge/>
          </w:tcPr>
          <w:p w14:paraId="0BC92ED2" w14:textId="77777777" w:rsidR="007F70E4" w:rsidRDefault="007F70E4" w:rsidP="0048012F"/>
        </w:tc>
        <w:tc>
          <w:tcPr>
            <w:tcW w:w="1443" w:type="dxa"/>
          </w:tcPr>
          <w:p w14:paraId="4015E9AC" w14:textId="77777777" w:rsidR="007F70E4" w:rsidRDefault="007F70E4" w:rsidP="0048012F">
            <w:r>
              <w:t>High</w:t>
            </w:r>
          </w:p>
        </w:tc>
        <w:tc>
          <w:tcPr>
            <w:tcW w:w="1638" w:type="dxa"/>
          </w:tcPr>
          <w:p w14:paraId="23B2303C" w14:textId="70E848B1" w:rsidR="007F70E4" w:rsidRDefault="008726CE" w:rsidP="0048012F">
            <w:r>
              <w:t>6</w:t>
            </w:r>
          </w:p>
        </w:tc>
      </w:tr>
      <w:tr w:rsidR="007F70E4" w14:paraId="65F618FF" w14:textId="77777777" w:rsidTr="0048012F">
        <w:tc>
          <w:tcPr>
            <w:tcW w:w="5979" w:type="dxa"/>
            <w:gridSpan w:val="2"/>
            <w:vMerge/>
          </w:tcPr>
          <w:p w14:paraId="0F7961E3" w14:textId="77777777" w:rsidR="007F70E4" w:rsidRDefault="007F70E4" w:rsidP="0048012F"/>
        </w:tc>
        <w:tc>
          <w:tcPr>
            <w:tcW w:w="1443" w:type="dxa"/>
          </w:tcPr>
          <w:p w14:paraId="3EAD0833" w14:textId="77777777" w:rsidR="007F70E4" w:rsidRDefault="007F70E4" w:rsidP="0048012F">
            <w:r>
              <w:t>Moderate</w:t>
            </w:r>
          </w:p>
        </w:tc>
        <w:tc>
          <w:tcPr>
            <w:tcW w:w="1638" w:type="dxa"/>
          </w:tcPr>
          <w:p w14:paraId="0F2051FD" w14:textId="77777777" w:rsidR="007F70E4" w:rsidRDefault="00FD1E31" w:rsidP="0048012F">
            <w:r>
              <w:t>0</w:t>
            </w:r>
          </w:p>
        </w:tc>
      </w:tr>
      <w:tr w:rsidR="007F70E4" w14:paraId="2EC4AB7A" w14:textId="77777777" w:rsidTr="0048012F">
        <w:tc>
          <w:tcPr>
            <w:tcW w:w="5979" w:type="dxa"/>
            <w:gridSpan w:val="2"/>
            <w:vMerge/>
          </w:tcPr>
          <w:p w14:paraId="2D29D06B" w14:textId="77777777" w:rsidR="007F70E4" w:rsidRDefault="007F70E4" w:rsidP="0048012F"/>
        </w:tc>
        <w:tc>
          <w:tcPr>
            <w:tcW w:w="1443" w:type="dxa"/>
          </w:tcPr>
          <w:p w14:paraId="382D7449" w14:textId="77777777" w:rsidR="007F70E4" w:rsidRDefault="007F70E4" w:rsidP="0048012F">
            <w:r>
              <w:t>Low</w:t>
            </w:r>
          </w:p>
        </w:tc>
        <w:tc>
          <w:tcPr>
            <w:tcW w:w="1638" w:type="dxa"/>
          </w:tcPr>
          <w:p w14:paraId="42D2DF13" w14:textId="0D8D138C" w:rsidR="007F70E4" w:rsidRDefault="00F56F7E" w:rsidP="0048012F">
            <w:r>
              <w:t>1</w:t>
            </w:r>
          </w:p>
        </w:tc>
      </w:tr>
      <w:tr w:rsidR="007F70E4" w14:paraId="1387DA09" w14:textId="77777777" w:rsidTr="0048012F">
        <w:tc>
          <w:tcPr>
            <w:tcW w:w="9060" w:type="dxa"/>
            <w:gridSpan w:val="4"/>
            <w:shd w:val="clear" w:color="auto" w:fill="D9D9D9" w:themeFill="background1" w:themeFillShade="D9"/>
          </w:tcPr>
          <w:p w14:paraId="49F33D6A" w14:textId="77777777" w:rsidR="007F70E4" w:rsidRDefault="007F70E4" w:rsidP="0048012F"/>
        </w:tc>
      </w:tr>
      <w:tr w:rsidR="007F70E4" w14:paraId="064E52A5" w14:textId="77777777" w:rsidTr="0048012F">
        <w:tc>
          <w:tcPr>
            <w:tcW w:w="5979" w:type="dxa"/>
            <w:gridSpan w:val="2"/>
            <w:vMerge w:val="restart"/>
          </w:tcPr>
          <w:p w14:paraId="5DC44C88" w14:textId="77777777" w:rsidR="007F70E4" w:rsidRDefault="007F70E4" w:rsidP="0048012F">
            <w:r>
              <w:t>No. of risks by Decision</w:t>
            </w:r>
          </w:p>
        </w:tc>
        <w:tc>
          <w:tcPr>
            <w:tcW w:w="1443" w:type="dxa"/>
          </w:tcPr>
          <w:p w14:paraId="4EB8DF43" w14:textId="77777777" w:rsidR="007F70E4" w:rsidRDefault="007F70E4" w:rsidP="0048012F">
            <w:r>
              <w:t>Terminate</w:t>
            </w:r>
          </w:p>
        </w:tc>
        <w:tc>
          <w:tcPr>
            <w:tcW w:w="1638" w:type="dxa"/>
          </w:tcPr>
          <w:p w14:paraId="2559EFB9" w14:textId="77777777" w:rsidR="007F70E4" w:rsidRDefault="007F70E4" w:rsidP="0048012F">
            <w:r>
              <w:t>0</w:t>
            </w:r>
          </w:p>
        </w:tc>
      </w:tr>
      <w:tr w:rsidR="007F70E4" w14:paraId="042A8E01" w14:textId="77777777" w:rsidTr="0048012F">
        <w:tc>
          <w:tcPr>
            <w:tcW w:w="5979" w:type="dxa"/>
            <w:gridSpan w:val="2"/>
            <w:vMerge/>
          </w:tcPr>
          <w:p w14:paraId="05C52D88" w14:textId="77777777" w:rsidR="007F70E4" w:rsidRDefault="007F70E4" w:rsidP="0048012F"/>
        </w:tc>
        <w:tc>
          <w:tcPr>
            <w:tcW w:w="1443" w:type="dxa"/>
          </w:tcPr>
          <w:p w14:paraId="7870669C" w14:textId="77777777" w:rsidR="007F70E4" w:rsidRDefault="007F70E4" w:rsidP="0048012F">
            <w:r>
              <w:t>Transfer</w:t>
            </w:r>
          </w:p>
        </w:tc>
        <w:tc>
          <w:tcPr>
            <w:tcW w:w="1638" w:type="dxa"/>
          </w:tcPr>
          <w:p w14:paraId="0B1D7552" w14:textId="77777777" w:rsidR="007F70E4" w:rsidRDefault="007F70E4" w:rsidP="0048012F">
            <w:r>
              <w:t>0</w:t>
            </w:r>
          </w:p>
        </w:tc>
      </w:tr>
      <w:tr w:rsidR="007F70E4" w14:paraId="5A464BA6" w14:textId="77777777" w:rsidTr="0048012F">
        <w:tc>
          <w:tcPr>
            <w:tcW w:w="5979" w:type="dxa"/>
            <w:gridSpan w:val="2"/>
            <w:vMerge/>
          </w:tcPr>
          <w:p w14:paraId="6F966D37" w14:textId="77777777" w:rsidR="007F70E4" w:rsidRDefault="007F70E4" w:rsidP="0048012F"/>
        </w:tc>
        <w:tc>
          <w:tcPr>
            <w:tcW w:w="1443" w:type="dxa"/>
          </w:tcPr>
          <w:p w14:paraId="78E8C14D" w14:textId="77777777" w:rsidR="007F70E4" w:rsidRDefault="007F70E4" w:rsidP="0048012F">
            <w:r>
              <w:t>Treat</w:t>
            </w:r>
          </w:p>
        </w:tc>
        <w:tc>
          <w:tcPr>
            <w:tcW w:w="1638" w:type="dxa"/>
          </w:tcPr>
          <w:p w14:paraId="144C9D96" w14:textId="5EAC88E9" w:rsidR="007F70E4" w:rsidRDefault="008726CE" w:rsidP="0048012F">
            <w:r>
              <w:t>12</w:t>
            </w:r>
          </w:p>
        </w:tc>
      </w:tr>
      <w:tr w:rsidR="007F70E4" w14:paraId="542D2902" w14:textId="77777777" w:rsidTr="0048012F">
        <w:tc>
          <w:tcPr>
            <w:tcW w:w="5979" w:type="dxa"/>
            <w:gridSpan w:val="2"/>
            <w:vMerge/>
          </w:tcPr>
          <w:p w14:paraId="55D0F612" w14:textId="77777777" w:rsidR="007F70E4" w:rsidRDefault="007F70E4" w:rsidP="0048012F"/>
        </w:tc>
        <w:tc>
          <w:tcPr>
            <w:tcW w:w="1443" w:type="dxa"/>
          </w:tcPr>
          <w:p w14:paraId="4C7CF76A" w14:textId="77777777" w:rsidR="007F70E4" w:rsidRDefault="007F70E4" w:rsidP="0048012F">
            <w:r>
              <w:t>Tolerate</w:t>
            </w:r>
          </w:p>
        </w:tc>
        <w:tc>
          <w:tcPr>
            <w:tcW w:w="1638" w:type="dxa"/>
          </w:tcPr>
          <w:p w14:paraId="712C8668" w14:textId="77777777" w:rsidR="007F70E4" w:rsidRDefault="00FD1E31" w:rsidP="0048012F">
            <w:r>
              <w:t>3</w:t>
            </w:r>
          </w:p>
        </w:tc>
      </w:tr>
      <w:tr w:rsidR="007F70E4" w14:paraId="6A91F0F6" w14:textId="77777777" w:rsidTr="0048012F">
        <w:tc>
          <w:tcPr>
            <w:tcW w:w="9060" w:type="dxa"/>
            <w:gridSpan w:val="4"/>
            <w:shd w:val="clear" w:color="auto" w:fill="D9D9D9" w:themeFill="background1" w:themeFillShade="D9"/>
          </w:tcPr>
          <w:p w14:paraId="638B1AD9" w14:textId="77777777" w:rsidR="007F70E4" w:rsidRDefault="007F70E4" w:rsidP="0048012F"/>
        </w:tc>
      </w:tr>
      <w:tr w:rsidR="007F70E4" w14:paraId="00AB1912" w14:textId="77777777" w:rsidTr="0048012F">
        <w:tc>
          <w:tcPr>
            <w:tcW w:w="2245" w:type="dxa"/>
            <w:vMerge w:val="restart"/>
          </w:tcPr>
          <w:p w14:paraId="7BD6106A" w14:textId="77777777" w:rsidR="007F70E4" w:rsidRDefault="007F70E4" w:rsidP="0048012F">
            <w:r>
              <w:t>No. of risks by Exec Lead</w:t>
            </w:r>
          </w:p>
        </w:tc>
        <w:tc>
          <w:tcPr>
            <w:tcW w:w="3734" w:type="dxa"/>
          </w:tcPr>
          <w:p w14:paraId="5E40A6CC" w14:textId="77777777" w:rsidR="007F70E4" w:rsidRDefault="007F70E4" w:rsidP="0048012F"/>
        </w:tc>
        <w:tc>
          <w:tcPr>
            <w:tcW w:w="1443" w:type="dxa"/>
          </w:tcPr>
          <w:p w14:paraId="714BB659" w14:textId="77777777" w:rsidR="007F70E4" w:rsidRDefault="007F70E4" w:rsidP="0048012F">
            <w:r>
              <w:t xml:space="preserve">COVID-19 Related </w:t>
            </w:r>
          </w:p>
        </w:tc>
        <w:tc>
          <w:tcPr>
            <w:tcW w:w="1638" w:type="dxa"/>
          </w:tcPr>
          <w:p w14:paraId="009F7729" w14:textId="77777777" w:rsidR="007F70E4" w:rsidRDefault="007F70E4" w:rsidP="0048012F">
            <w:r>
              <w:t>Not COVID-19 Related</w:t>
            </w:r>
          </w:p>
        </w:tc>
      </w:tr>
      <w:tr w:rsidR="007F70E4" w14:paraId="18D8D47C" w14:textId="77777777" w:rsidTr="0048012F">
        <w:tc>
          <w:tcPr>
            <w:tcW w:w="2245" w:type="dxa"/>
            <w:vMerge/>
          </w:tcPr>
          <w:p w14:paraId="3EED6B5B" w14:textId="77777777" w:rsidR="007F70E4" w:rsidRDefault="007F70E4" w:rsidP="0048012F"/>
        </w:tc>
        <w:tc>
          <w:tcPr>
            <w:tcW w:w="3734" w:type="dxa"/>
          </w:tcPr>
          <w:p w14:paraId="353C60A7" w14:textId="77777777" w:rsidR="007F70E4" w:rsidRDefault="007F70E4" w:rsidP="0048012F">
            <w:r>
              <w:t>Chief Executive</w:t>
            </w:r>
          </w:p>
        </w:tc>
        <w:tc>
          <w:tcPr>
            <w:tcW w:w="1443" w:type="dxa"/>
          </w:tcPr>
          <w:p w14:paraId="6854C90C" w14:textId="77777777" w:rsidR="007F70E4" w:rsidRDefault="007F70E4" w:rsidP="0048012F">
            <w:r>
              <w:t>0</w:t>
            </w:r>
          </w:p>
        </w:tc>
        <w:tc>
          <w:tcPr>
            <w:tcW w:w="1638" w:type="dxa"/>
          </w:tcPr>
          <w:p w14:paraId="17B1BE28" w14:textId="77777777" w:rsidR="007F70E4" w:rsidRDefault="007F70E4" w:rsidP="0048012F">
            <w:r>
              <w:t>0</w:t>
            </w:r>
          </w:p>
        </w:tc>
      </w:tr>
      <w:tr w:rsidR="007F70E4" w14:paraId="1047174F" w14:textId="77777777" w:rsidTr="0048012F">
        <w:tc>
          <w:tcPr>
            <w:tcW w:w="2245" w:type="dxa"/>
            <w:vMerge/>
          </w:tcPr>
          <w:p w14:paraId="515C4541" w14:textId="77777777" w:rsidR="007F70E4" w:rsidRDefault="007F70E4" w:rsidP="0048012F"/>
        </w:tc>
        <w:tc>
          <w:tcPr>
            <w:tcW w:w="3734" w:type="dxa"/>
          </w:tcPr>
          <w:p w14:paraId="5BD9AEE5" w14:textId="77777777" w:rsidR="007F70E4" w:rsidRDefault="007F70E4" w:rsidP="0048012F">
            <w:r>
              <w:t>Executive Director Finance</w:t>
            </w:r>
          </w:p>
        </w:tc>
        <w:tc>
          <w:tcPr>
            <w:tcW w:w="1443" w:type="dxa"/>
          </w:tcPr>
          <w:p w14:paraId="491770B1" w14:textId="4EE67BD5" w:rsidR="007F70E4" w:rsidRDefault="00E97F83" w:rsidP="0048012F">
            <w:r>
              <w:t>0</w:t>
            </w:r>
          </w:p>
        </w:tc>
        <w:tc>
          <w:tcPr>
            <w:tcW w:w="1638" w:type="dxa"/>
          </w:tcPr>
          <w:p w14:paraId="234B068D" w14:textId="77777777" w:rsidR="007F70E4" w:rsidRDefault="007F70E4" w:rsidP="0048012F">
            <w:r>
              <w:t>1</w:t>
            </w:r>
          </w:p>
        </w:tc>
      </w:tr>
      <w:tr w:rsidR="007F70E4" w14:paraId="2398DEFF" w14:textId="77777777" w:rsidTr="0048012F">
        <w:tc>
          <w:tcPr>
            <w:tcW w:w="2245" w:type="dxa"/>
            <w:vMerge/>
          </w:tcPr>
          <w:p w14:paraId="1255DB23" w14:textId="77777777" w:rsidR="007F70E4" w:rsidRDefault="007F70E4" w:rsidP="0048012F"/>
        </w:tc>
        <w:tc>
          <w:tcPr>
            <w:tcW w:w="3734" w:type="dxa"/>
          </w:tcPr>
          <w:p w14:paraId="02C4925A" w14:textId="77777777" w:rsidR="007F70E4" w:rsidRDefault="007F70E4" w:rsidP="0048012F">
            <w:r>
              <w:t>Executive Director PHS</w:t>
            </w:r>
          </w:p>
        </w:tc>
        <w:tc>
          <w:tcPr>
            <w:tcW w:w="1443" w:type="dxa"/>
          </w:tcPr>
          <w:p w14:paraId="4A2F48DB" w14:textId="77777777" w:rsidR="007F70E4" w:rsidRDefault="00FD1E31" w:rsidP="0048012F">
            <w:r>
              <w:t>3</w:t>
            </w:r>
          </w:p>
        </w:tc>
        <w:tc>
          <w:tcPr>
            <w:tcW w:w="1638" w:type="dxa"/>
          </w:tcPr>
          <w:p w14:paraId="130AE250" w14:textId="18E91E48" w:rsidR="007F70E4" w:rsidRDefault="008726CE" w:rsidP="0048012F">
            <w:r>
              <w:t>2</w:t>
            </w:r>
          </w:p>
        </w:tc>
      </w:tr>
      <w:tr w:rsidR="007F70E4" w14:paraId="6F690817" w14:textId="77777777" w:rsidTr="0048012F">
        <w:tc>
          <w:tcPr>
            <w:tcW w:w="2245" w:type="dxa"/>
            <w:vMerge/>
          </w:tcPr>
          <w:p w14:paraId="3AAF9E80" w14:textId="77777777" w:rsidR="007F70E4" w:rsidRDefault="007F70E4" w:rsidP="0048012F"/>
        </w:tc>
        <w:tc>
          <w:tcPr>
            <w:tcW w:w="3734" w:type="dxa"/>
          </w:tcPr>
          <w:p w14:paraId="7E60615F" w14:textId="77777777" w:rsidR="007F70E4" w:rsidRDefault="007F70E4" w:rsidP="0048012F">
            <w:r>
              <w:t>Executive Director QNAHPs</w:t>
            </w:r>
          </w:p>
        </w:tc>
        <w:tc>
          <w:tcPr>
            <w:tcW w:w="1443" w:type="dxa"/>
          </w:tcPr>
          <w:p w14:paraId="528487A6" w14:textId="77777777" w:rsidR="007F70E4" w:rsidRDefault="00FD1E31" w:rsidP="0048012F">
            <w:r>
              <w:t>1</w:t>
            </w:r>
          </w:p>
        </w:tc>
        <w:tc>
          <w:tcPr>
            <w:tcW w:w="1638" w:type="dxa"/>
          </w:tcPr>
          <w:p w14:paraId="4154DB2C" w14:textId="1F65884D" w:rsidR="007F70E4" w:rsidRDefault="00627F7B" w:rsidP="0048012F">
            <w:r>
              <w:t>1</w:t>
            </w:r>
          </w:p>
        </w:tc>
      </w:tr>
      <w:tr w:rsidR="007F70E4" w14:paraId="32A25679" w14:textId="77777777" w:rsidTr="0048012F">
        <w:tc>
          <w:tcPr>
            <w:tcW w:w="2245" w:type="dxa"/>
            <w:vMerge/>
          </w:tcPr>
          <w:p w14:paraId="2B6843C8" w14:textId="77777777" w:rsidR="007F70E4" w:rsidRDefault="007F70E4" w:rsidP="0048012F"/>
        </w:tc>
        <w:tc>
          <w:tcPr>
            <w:tcW w:w="3734" w:type="dxa"/>
          </w:tcPr>
          <w:p w14:paraId="59FD1903" w14:textId="77777777" w:rsidR="007F70E4" w:rsidRDefault="00FD1E31" w:rsidP="0048012F">
            <w:r>
              <w:t xml:space="preserve">Acting </w:t>
            </w:r>
            <w:r w:rsidR="007F70E4">
              <w:t>Director of POD</w:t>
            </w:r>
          </w:p>
        </w:tc>
        <w:tc>
          <w:tcPr>
            <w:tcW w:w="1443" w:type="dxa"/>
          </w:tcPr>
          <w:p w14:paraId="5DB55B42" w14:textId="77777777" w:rsidR="007F70E4" w:rsidRDefault="00FD1E31" w:rsidP="0048012F">
            <w:r>
              <w:t>3</w:t>
            </w:r>
          </w:p>
        </w:tc>
        <w:tc>
          <w:tcPr>
            <w:tcW w:w="1638" w:type="dxa"/>
          </w:tcPr>
          <w:p w14:paraId="117AE4A5" w14:textId="77777777" w:rsidR="007F70E4" w:rsidRDefault="007F70E4" w:rsidP="0048012F">
            <w:r>
              <w:t>3</w:t>
            </w:r>
          </w:p>
        </w:tc>
      </w:tr>
      <w:tr w:rsidR="007F70E4" w14:paraId="7F9689C5" w14:textId="77777777" w:rsidTr="0048012F">
        <w:tc>
          <w:tcPr>
            <w:tcW w:w="2245" w:type="dxa"/>
            <w:vMerge/>
          </w:tcPr>
          <w:p w14:paraId="18DC3335" w14:textId="77777777" w:rsidR="007F70E4" w:rsidRDefault="007F70E4" w:rsidP="0048012F"/>
        </w:tc>
        <w:tc>
          <w:tcPr>
            <w:tcW w:w="3734" w:type="dxa"/>
          </w:tcPr>
          <w:p w14:paraId="52A52429" w14:textId="77777777" w:rsidR="007F70E4" w:rsidRDefault="007F70E4" w:rsidP="0048012F">
            <w:r>
              <w:t>Director of H&amp;W</w:t>
            </w:r>
          </w:p>
        </w:tc>
        <w:tc>
          <w:tcPr>
            <w:tcW w:w="1443" w:type="dxa"/>
          </w:tcPr>
          <w:p w14:paraId="246923AB" w14:textId="77777777" w:rsidR="007F70E4" w:rsidRDefault="007F70E4" w:rsidP="0048012F">
            <w:r>
              <w:t>0</w:t>
            </w:r>
          </w:p>
        </w:tc>
        <w:tc>
          <w:tcPr>
            <w:tcW w:w="1638" w:type="dxa"/>
          </w:tcPr>
          <w:p w14:paraId="708A2ABD" w14:textId="77777777" w:rsidR="007F70E4" w:rsidRDefault="007F70E4" w:rsidP="0048012F">
            <w:r>
              <w:t>0</w:t>
            </w:r>
          </w:p>
        </w:tc>
      </w:tr>
      <w:tr w:rsidR="007F70E4" w14:paraId="0B1A8B06" w14:textId="77777777" w:rsidTr="0048012F">
        <w:tc>
          <w:tcPr>
            <w:tcW w:w="2245" w:type="dxa"/>
            <w:vMerge/>
          </w:tcPr>
          <w:p w14:paraId="4D30472C" w14:textId="77777777" w:rsidR="007F70E4" w:rsidRDefault="007F70E4" w:rsidP="0048012F"/>
        </w:tc>
        <w:tc>
          <w:tcPr>
            <w:tcW w:w="3734" w:type="dxa"/>
          </w:tcPr>
          <w:p w14:paraId="50273F85" w14:textId="77777777" w:rsidR="007F70E4" w:rsidRDefault="007F70E4" w:rsidP="0048012F">
            <w:r>
              <w:t>Director of Knowledge</w:t>
            </w:r>
          </w:p>
        </w:tc>
        <w:tc>
          <w:tcPr>
            <w:tcW w:w="1443" w:type="dxa"/>
          </w:tcPr>
          <w:p w14:paraId="0CBCB7AC" w14:textId="77777777" w:rsidR="007F70E4" w:rsidRDefault="007F70E4" w:rsidP="0048012F">
            <w:r>
              <w:t>0</w:t>
            </w:r>
          </w:p>
        </w:tc>
        <w:tc>
          <w:tcPr>
            <w:tcW w:w="1638" w:type="dxa"/>
          </w:tcPr>
          <w:p w14:paraId="3EDEF99B" w14:textId="77777777" w:rsidR="007F70E4" w:rsidRDefault="007F70E4" w:rsidP="0048012F">
            <w:r>
              <w:t>0</w:t>
            </w:r>
          </w:p>
        </w:tc>
      </w:tr>
      <w:tr w:rsidR="007F70E4" w14:paraId="11783DCB" w14:textId="77777777" w:rsidTr="0048012F">
        <w:tc>
          <w:tcPr>
            <w:tcW w:w="2245" w:type="dxa"/>
            <w:vMerge/>
          </w:tcPr>
          <w:p w14:paraId="1454253F" w14:textId="77777777" w:rsidR="007F70E4" w:rsidRDefault="007F70E4" w:rsidP="0048012F"/>
        </w:tc>
        <w:tc>
          <w:tcPr>
            <w:tcW w:w="3734" w:type="dxa"/>
          </w:tcPr>
          <w:p w14:paraId="7B25A0F9" w14:textId="77777777" w:rsidR="007F70E4" w:rsidRDefault="007F70E4" w:rsidP="0048012F">
            <w:r>
              <w:t>Director of WHO Collaborating Centre</w:t>
            </w:r>
          </w:p>
        </w:tc>
        <w:tc>
          <w:tcPr>
            <w:tcW w:w="1443" w:type="dxa"/>
          </w:tcPr>
          <w:p w14:paraId="6D9D6E69" w14:textId="77777777" w:rsidR="007F70E4" w:rsidRDefault="007F70E4" w:rsidP="0048012F">
            <w:r>
              <w:t>0</w:t>
            </w:r>
          </w:p>
        </w:tc>
        <w:tc>
          <w:tcPr>
            <w:tcW w:w="1638" w:type="dxa"/>
          </w:tcPr>
          <w:p w14:paraId="4BA19905" w14:textId="77777777" w:rsidR="007F70E4" w:rsidRDefault="007F70E4" w:rsidP="0048012F">
            <w:r>
              <w:t>0</w:t>
            </w:r>
          </w:p>
        </w:tc>
      </w:tr>
      <w:tr w:rsidR="007F70E4" w14:paraId="4AC351A3" w14:textId="77777777" w:rsidTr="0048012F">
        <w:tc>
          <w:tcPr>
            <w:tcW w:w="2245" w:type="dxa"/>
            <w:vMerge/>
          </w:tcPr>
          <w:p w14:paraId="4CE75A94" w14:textId="77777777" w:rsidR="007F70E4" w:rsidRDefault="007F70E4" w:rsidP="0048012F"/>
        </w:tc>
        <w:tc>
          <w:tcPr>
            <w:tcW w:w="3734" w:type="dxa"/>
          </w:tcPr>
          <w:p w14:paraId="628AC4B1" w14:textId="77777777" w:rsidR="007F70E4" w:rsidRDefault="007F70E4" w:rsidP="0048012F">
            <w:r>
              <w:t>Director of Improvement Cymru</w:t>
            </w:r>
          </w:p>
        </w:tc>
        <w:tc>
          <w:tcPr>
            <w:tcW w:w="1443" w:type="dxa"/>
          </w:tcPr>
          <w:p w14:paraId="00A8ADD8" w14:textId="77777777" w:rsidR="007F70E4" w:rsidRDefault="007F70E4" w:rsidP="0048012F">
            <w:r>
              <w:t>0</w:t>
            </w:r>
          </w:p>
        </w:tc>
        <w:tc>
          <w:tcPr>
            <w:tcW w:w="1638" w:type="dxa"/>
          </w:tcPr>
          <w:p w14:paraId="6221EE64" w14:textId="77777777" w:rsidR="007F70E4" w:rsidRDefault="007F70E4" w:rsidP="0048012F">
            <w:r>
              <w:t>0</w:t>
            </w:r>
          </w:p>
        </w:tc>
      </w:tr>
      <w:tr w:rsidR="007F70E4" w14:paraId="4B9CD870" w14:textId="77777777" w:rsidTr="0048012F">
        <w:tc>
          <w:tcPr>
            <w:tcW w:w="2245" w:type="dxa"/>
            <w:vMerge/>
          </w:tcPr>
          <w:p w14:paraId="421FC151" w14:textId="77777777" w:rsidR="007F70E4" w:rsidRDefault="007F70E4" w:rsidP="0048012F"/>
        </w:tc>
        <w:tc>
          <w:tcPr>
            <w:tcW w:w="3734" w:type="dxa"/>
          </w:tcPr>
          <w:p w14:paraId="574817DE" w14:textId="77777777" w:rsidR="007F70E4" w:rsidRDefault="007F70E4" w:rsidP="0048012F">
            <w:r>
              <w:t>Board Secretary</w:t>
            </w:r>
          </w:p>
        </w:tc>
        <w:tc>
          <w:tcPr>
            <w:tcW w:w="1443" w:type="dxa"/>
          </w:tcPr>
          <w:p w14:paraId="03C87884" w14:textId="60A972C2" w:rsidR="007F70E4" w:rsidRDefault="00565607" w:rsidP="0048012F">
            <w:r>
              <w:t>1</w:t>
            </w:r>
          </w:p>
        </w:tc>
        <w:tc>
          <w:tcPr>
            <w:tcW w:w="1638" w:type="dxa"/>
          </w:tcPr>
          <w:p w14:paraId="3CC423C4" w14:textId="77777777" w:rsidR="007F70E4" w:rsidRDefault="007F70E4" w:rsidP="0048012F">
            <w:r>
              <w:t>0</w:t>
            </w:r>
          </w:p>
        </w:tc>
      </w:tr>
      <w:tr w:rsidR="007F70E4" w14:paraId="7A93EFA8" w14:textId="77777777" w:rsidTr="0048012F">
        <w:tc>
          <w:tcPr>
            <w:tcW w:w="2245" w:type="dxa"/>
            <w:vMerge/>
          </w:tcPr>
          <w:p w14:paraId="5B283067" w14:textId="77777777" w:rsidR="007F70E4" w:rsidRDefault="007F70E4" w:rsidP="0048012F"/>
        </w:tc>
        <w:tc>
          <w:tcPr>
            <w:tcW w:w="3734" w:type="dxa"/>
          </w:tcPr>
          <w:p w14:paraId="2FD5D8F4" w14:textId="77777777" w:rsidR="007F70E4" w:rsidRDefault="007F70E4" w:rsidP="0048012F">
            <w:r>
              <w:t>Not assigned</w:t>
            </w:r>
          </w:p>
        </w:tc>
        <w:tc>
          <w:tcPr>
            <w:tcW w:w="1443" w:type="dxa"/>
          </w:tcPr>
          <w:p w14:paraId="39F0D3F2" w14:textId="77777777" w:rsidR="007F70E4" w:rsidRDefault="00FD1E31" w:rsidP="0048012F">
            <w:r>
              <w:t>0</w:t>
            </w:r>
          </w:p>
        </w:tc>
        <w:tc>
          <w:tcPr>
            <w:tcW w:w="1638" w:type="dxa"/>
          </w:tcPr>
          <w:p w14:paraId="66FFB371" w14:textId="77777777" w:rsidR="007F70E4" w:rsidRDefault="007F70E4" w:rsidP="0048012F">
            <w:r>
              <w:t>0</w:t>
            </w:r>
          </w:p>
        </w:tc>
      </w:tr>
      <w:tr w:rsidR="007F70E4" w14:paraId="68197CAE" w14:textId="77777777" w:rsidTr="0048012F">
        <w:tc>
          <w:tcPr>
            <w:tcW w:w="9060" w:type="dxa"/>
            <w:gridSpan w:val="4"/>
            <w:shd w:val="clear" w:color="auto" w:fill="D9D9D9" w:themeFill="background1" w:themeFillShade="D9"/>
          </w:tcPr>
          <w:p w14:paraId="185DF8AB" w14:textId="77777777" w:rsidR="007F70E4" w:rsidRDefault="007F70E4" w:rsidP="0048012F"/>
        </w:tc>
      </w:tr>
      <w:tr w:rsidR="007F70E4" w14:paraId="05CE4BD3" w14:textId="77777777" w:rsidTr="0048012F">
        <w:tc>
          <w:tcPr>
            <w:tcW w:w="7422" w:type="dxa"/>
            <w:gridSpan w:val="3"/>
          </w:tcPr>
          <w:p w14:paraId="34D100C5" w14:textId="77777777" w:rsidR="007F70E4" w:rsidRDefault="007F70E4" w:rsidP="0048012F">
            <w:r>
              <w:t>No. of risks with overdue actions (see ‘Key points’)</w:t>
            </w:r>
          </w:p>
        </w:tc>
        <w:tc>
          <w:tcPr>
            <w:tcW w:w="1638" w:type="dxa"/>
          </w:tcPr>
          <w:p w14:paraId="51174C13" w14:textId="18B304CA" w:rsidR="007F70E4" w:rsidRDefault="00F56F7E" w:rsidP="0048012F">
            <w:r>
              <w:t>10</w:t>
            </w:r>
          </w:p>
        </w:tc>
      </w:tr>
    </w:tbl>
    <w:p w14:paraId="5D161556" w14:textId="395F462E" w:rsidR="00F56F7E" w:rsidRPr="00F56F7E" w:rsidRDefault="00F56F7E" w:rsidP="00F56F7E">
      <w:pPr>
        <w:rPr>
          <w:sz w:val="20"/>
        </w:rPr>
      </w:pPr>
      <w:r w:rsidRPr="00F56F7E">
        <w:rPr>
          <w:rFonts w:eastAsiaTheme="majorEastAsia" w:cstheme="majorBidi"/>
          <w:bCs/>
          <w:sz w:val="20"/>
          <w:szCs w:val="28"/>
        </w:rPr>
        <w:t>*</w:t>
      </w:r>
      <w:r w:rsidRPr="00F56F7E">
        <w:rPr>
          <w:sz w:val="20"/>
        </w:rPr>
        <w:t xml:space="preserve"> Includes the new risk (1166) pending approval by BET</w:t>
      </w:r>
    </w:p>
    <w:p w14:paraId="564EC648" w14:textId="77777777" w:rsidR="00F56F7E" w:rsidRDefault="00F56F7E">
      <w:pPr>
        <w:spacing w:after="200" w:line="276" w:lineRule="auto"/>
        <w:rPr>
          <w:rFonts w:eastAsiaTheme="majorEastAsia" w:cstheme="majorBidi"/>
          <w:b/>
          <w:bCs/>
          <w:szCs w:val="28"/>
        </w:rPr>
      </w:pPr>
      <w:r>
        <w:br w:type="page"/>
      </w:r>
    </w:p>
    <w:p w14:paraId="7ABE318C" w14:textId="7BB00F8C" w:rsidR="007F70E4" w:rsidRDefault="007F70E4" w:rsidP="00F56F7E">
      <w:pPr>
        <w:pStyle w:val="Heading1"/>
        <w:numPr>
          <w:ilvl w:val="0"/>
          <w:numId w:val="2"/>
        </w:numPr>
      </w:pPr>
      <w:r>
        <w:lastRenderedPageBreak/>
        <w:t>Key points</w:t>
      </w:r>
    </w:p>
    <w:p w14:paraId="6D7FD2C6" w14:textId="77777777" w:rsidR="00E13972" w:rsidRDefault="00E13972" w:rsidP="00E13972"/>
    <w:p w14:paraId="54672DF1" w14:textId="08EF812A" w:rsidR="00E206E0" w:rsidRDefault="00E206E0" w:rsidP="00E13972">
      <w:r>
        <w:t>The numbering of non-Covid risks has been changed to reflect the move away from Datix and to bring it into line with the Covid risk numbering. Covid related risks are numbered 001, 002 etc.</w:t>
      </w:r>
    </w:p>
    <w:p w14:paraId="673AEC4A" w14:textId="650D25E2" w:rsidR="00E206E0" w:rsidRDefault="00E206E0" w:rsidP="00E13972">
      <w:r>
        <w:t xml:space="preserve">To avoid duplication and for clarity Non-Covid related risks are numbered 101, 102 etc. </w:t>
      </w:r>
    </w:p>
    <w:p w14:paraId="0356A00C" w14:textId="5F61CD48" w:rsidR="00E206E0" w:rsidRDefault="00E206E0" w:rsidP="00E13972"/>
    <w:p w14:paraId="460D3A11" w14:textId="49AFC1E4" w:rsidR="00E206E0" w:rsidRDefault="0039791B" w:rsidP="00E13972">
      <w:r>
        <w:t>Non-</w:t>
      </w:r>
      <w:r w:rsidR="00E206E0">
        <w:t>Covid risks remain shaded in grey.</w:t>
      </w:r>
    </w:p>
    <w:p w14:paraId="1A0D68B8" w14:textId="77777777" w:rsidR="00E206E0" w:rsidRDefault="00E206E0" w:rsidP="00E13972"/>
    <w:p w14:paraId="11C4CFFC" w14:textId="513FDCFB" w:rsidR="001D2ED3" w:rsidRDefault="001D2ED3" w:rsidP="00E13972">
      <w:r>
        <w:t>All risks have been updated to some level since October of last year.</w:t>
      </w:r>
    </w:p>
    <w:p w14:paraId="68F968A8" w14:textId="1720C0E8" w:rsidR="001D2ED3" w:rsidRDefault="001D2ED3" w:rsidP="00E13972"/>
    <w:p w14:paraId="5E952F83" w14:textId="08E33A93" w:rsidR="001D2ED3" w:rsidRDefault="001E5D3C" w:rsidP="001D2ED3">
      <w:pPr>
        <w:pStyle w:val="ListParagraph"/>
        <w:numPr>
          <w:ilvl w:val="0"/>
          <w:numId w:val="17"/>
        </w:numPr>
      </w:pPr>
      <w:r>
        <w:t>Nine</w:t>
      </w:r>
      <w:r w:rsidR="001D2ED3">
        <w:t xml:space="preserve"> risk</w:t>
      </w:r>
      <w:r w:rsidR="00F56F7E">
        <w:t>s have</w:t>
      </w:r>
      <w:r w:rsidR="001D2ED3">
        <w:t xml:space="preserve"> been updated within the past month</w:t>
      </w:r>
    </w:p>
    <w:p w14:paraId="10C34F42" w14:textId="7A3BA79F" w:rsidR="007E0F3B" w:rsidRDefault="00E206E0" w:rsidP="00E13972">
      <w:pPr>
        <w:pStyle w:val="ListParagraph"/>
        <w:numPr>
          <w:ilvl w:val="0"/>
          <w:numId w:val="17"/>
        </w:numPr>
      </w:pPr>
      <w:r>
        <w:t>Six</w:t>
      </w:r>
      <w:r w:rsidR="001D2ED3">
        <w:t xml:space="preserve"> risks have b</w:t>
      </w:r>
      <w:r w:rsidR="00D87406">
        <w:t>een updated since the start of the year</w:t>
      </w:r>
    </w:p>
    <w:p w14:paraId="20214A62" w14:textId="21417060" w:rsidR="007F70E4" w:rsidRDefault="00E206E0" w:rsidP="007F70E4">
      <w:pPr>
        <w:pStyle w:val="Heading1"/>
        <w:numPr>
          <w:ilvl w:val="0"/>
          <w:numId w:val="2"/>
        </w:numPr>
      </w:pPr>
      <w:r>
        <w:t>R</w:t>
      </w:r>
      <w:r w:rsidR="007F70E4">
        <w:t>isk movements</w:t>
      </w:r>
    </w:p>
    <w:p w14:paraId="382F4514" w14:textId="77777777" w:rsidR="007F70E4" w:rsidRDefault="007F70E4" w:rsidP="007F70E4"/>
    <w:p w14:paraId="0879E1F1" w14:textId="77777777" w:rsidR="007F70E4" w:rsidRDefault="007F70E4" w:rsidP="007F70E4">
      <w:pPr>
        <w:pStyle w:val="Heading2"/>
        <w:tabs>
          <w:tab w:val="num" w:pos="1728"/>
        </w:tabs>
        <w:ind w:left="1728"/>
      </w:pPr>
      <w:r>
        <w:t>Risks added since the previous month</w:t>
      </w:r>
    </w:p>
    <w:p w14:paraId="46DD8D94" w14:textId="77777777" w:rsidR="007F70E4" w:rsidRDefault="007F70E4" w:rsidP="007F70E4">
      <w:pPr>
        <w:ind w:left="720"/>
      </w:pPr>
    </w:p>
    <w:p w14:paraId="74E97CF3" w14:textId="356F6A23" w:rsidR="007F70E4" w:rsidRDefault="008726CE" w:rsidP="00E97F83">
      <w:pPr>
        <w:ind w:left="720"/>
      </w:pPr>
      <w:r>
        <w:t>One risk has been added to the</w:t>
      </w:r>
      <w:r w:rsidR="00565607">
        <w:t xml:space="preserve"> Corporate Risk Register, in relation </w:t>
      </w:r>
      <w:r>
        <w:t xml:space="preserve">to the delivery of the Once for Wales Concerns Management System and the implications for the organisation if the system is not fit for purpose when made available by the Program Board. </w:t>
      </w:r>
    </w:p>
    <w:p w14:paraId="6F68D979" w14:textId="77777777" w:rsidR="005649D7" w:rsidRDefault="005649D7" w:rsidP="007F70E4">
      <w:pPr>
        <w:pStyle w:val="Heading2"/>
        <w:tabs>
          <w:tab w:val="num" w:pos="1728"/>
        </w:tabs>
        <w:ind w:left="1728"/>
      </w:pPr>
    </w:p>
    <w:p w14:paraId="3C6B5EF4" w14:textId="1D01F6E1" w:rsidR="007F70E4" w:rsidRDefault="007F70E4" w:rsidP="007F70E4">
      <w:pPr>
        <w:pStyle w:val="Heading2"/>
        <w:tabs>
          <w:tab w:val="num" w:pos="1728"/>
        </w:tabs>
        <w:ind w:left="1728"/>
      </w:pPr>
      <w:r w:rsidRPr="00C83799">
        <w:t xml:space="preserve">Risks to be considered for escalation </w:t>
      </w:r>
    </w:p>
    <w:p w14:paraId="7E268709" w14:textId="77777777" w:rsidR="007F70E4" w:rsidRPr="00C83799" w:rsidRDefault="007F70E4" w:rsidP="007F70E4">
      <w:pPr>
        <w:ind w:left="1008" w:firstLine="720"/>
      </w:pPr>
      <w:r w:rsidRPr="00C83799">
        <w:t xml:space="preserve">(Separate </w:t>
      </w:r>
      <w:r>
        <w:t>escalation form required</w:t>
      </w:r>
      <w:r w:rsidRPr="00C83799">
        <w:t>)</w:t>
      </w:r>
    </w:p>
    <w:p w14:paraId="271760A7" w14:textId="77777777" w:rsidR="007F70E4" w:rsidRDefault="007F70E4" w:rsidP="007F70E4">
      <w:pPr>
        <w:ind w:left="720"/>
      </w:pPr>
    </w:p>
    <w:p w14:paraId="279FAC75" w14:textId="77777777" w:rsidR="007F70E4" w:rsidRDefault="007F70E4" w:rsidP="007F70E4">
      <w:pPr>
        <w:ind w:left="720"/>
      </w:pPr>
    </w:p>
    <w:p w14:paraId="456F1CAA" w14:textId="31192465" w:rsidR="007F70E4" w:rsidRDefault="007F70E4" w:rsidP="007F70E4">
      <w:pPr>
        <w:pStyle w:val="Heading2"/>
        <w:tabs>
          <w:tab w:val="num" w:pos="1728"/>
        </w:tabs>
        <w:ind w:left="1728"/>
      </w:pPr>
      <w:r w:rsidRPr="00C83799">
        <w:t>Risks to be considered for de-escalation</w:t>
      </w:r>
      <w:r>
        <w:t xml:space="preserve"> or removal</w:t>
      </w:r>
    </w:p>
    <w:p w14:paraId="57D49C8F" w14:textId="77777777" w:rsidR="005649D7" w:rsidRDefault="005649D7" w:rsidP="005649D7">
      <w:r>
        <w:tab/>
      </w:r>
    </w:p>
    <w:p w14:paraId="19CF74DD" w14:textId="1C499DB8" w:rsidR="008D0FBB" w:rsidRDefault="008726CE" w:rsidP="00321E73">
      <w:pPr>
        <w:ind w:left="720"/>
      </w:pPr>
      <w:r>
        <w:t>Risk 916 (Business Continuity) has been removed after discussion at BET.</w:t>
      </w:r>
    </w:p>
    <w:p w14:paraId="7B1644D4" w14:textId="77777777" w:rsidR="00321E73" w:rsidRDefault="00321E73" w:rsidP="00321E73">
      <w:pPr>
        <w:ind w:left="720"/>
      </w:pPr>
    </w:p>
    <w:p w14:paraId="205B7F84" w14:textId="77777777" w:rsidR="007F70E4" w:rsidRDefault="007F70E4" w:rsidP="007F70E4">
      <w:pPr>
        <w:pStyle w:val="Heading2"/>
        <w:tabs>
          <w:tab w:val="num" w:pos="1728"/>
        </w:tabs>
        <w:ind w:left="1728"/>
      </w:pPr>
      <w:r>
        <w:t>Risks increasing in severity score since the previous month</w:t>
      </w:r>
    </w:p>
    <w:p w14:paraId="7137A039" w14:textId="77777777" w:rsidR="007F70E4" w:rsidRDefault="007F70E4" w:rsidP="007F70E4">
      <w:pPr>
        <w:ind w:left="720"/>
      </w:pPr>
    </w:p>
    <w:p w14:paraId="7E0AB087" w14:textId="77777777" w:rsidR="007F70E4" w:rsidRDefault="005C24A0" w:rsidP="007F70E4">
      <w:pPr>
        <w:ind w:left="720"/>
      </w:pPr>
      <w:r>
        <w:t>None</w:t>
      </w:r>
    </w:p>
    <w:p w14:paraId="7B2314C3" w14:textId="77777777" w:rsidR="005C24A0" w:rsidRDefault="005C24A0" w:rsidP="007F70E4">
      <w:pPr>
        <w:ind w:left="720"/>
      </w:pPr>
    </w:p>
    <w:p w14:paraId="0BE0886F" w14:textId="77777777" w:rsidR="007F70E4" w:rsidRDefault="007F70E4" w:rsidP="007F70E4">
      <w:pPr>
        <w:pStyle w:val="Heading2"/>
        <w:tabs>
          <w:tab w:val="num" w:pos="1728"/>
        </w:tabs>
        <w:ind w:left="1728"/>
      </w:pPr>
      <w:r>
        <w:t>Risks decreasing in severity score since the previous month</w:t>
      </w:r>
    </w:p>
    <w:p w14:paraId="3FDECD16" w14:textId="77777777" w:rsidR="007F70E4" w:rsidRDefault="007F70E4" w:rsidP="007F70E4">
      <w:pPr>
        <w:ind w:left="720"/>
      </w:pPr>
    </w:p>
    <w:p w14:paraId="616E98C3" w14:textId="77777777" w:rsidR="007F70E4" w:rsidRDefault="005C24A0" w:rsidP="007F70E4">
      <w:pPr>
        <w:ind w:left="720"/>
      </w:pPr>
      <w:r>
        <w:t>None</w:t>
      </w:r>
    </w:p>
    <w:p w14:paraId="6AE74D86" w14:textId="77777777" w:rsidR="005C24A0" w:rsidRDefault="005C24A0" w:rsidP="007F70E4">
      <w:pPr>
        <w:ind w:left="720"/>
      </w:pPr>
    </w:p>
    <w:p w14:paraId="469601F8" w14:textId="77777777" w:rsidR="007F70E4" w:rsidRDefault="007F70E4" w:rsidP="007F70E4">
      <w:pPr>
        <w:ind w:left="720"/>
      </w:pPr>
    </w:p>
    <w:p w14:paraId="03D65D57" w14:textId="77777777" w:rsidR="007F70E4" w:rsidRPr="00386641" w:rsidRDefault="007F70E4" w:rsidP="007F70E4">
      <w:pPr>
        <w:pStyle w:val="Heading2"/>
        <w:numPr>
          <w:ilvl w:val="0"/>
          <w:numId w:val="2"/>
        </w:numPr>
        <w:rPr>
          <w:szCs w:val="24"/>
        </w:rPr>
      </w:pPr>
      <w:r w:rsidRPr="00386641">
        <w:rPr>
          <w:szCs w:val="24"/>
        </w:rPr>
        <w:t>Well-being of Future Generations (Wales) Act 2015</w:t>
      </w:r>
    </w:p>
    <w:p w14:paraId="51C788B4" w14:textId="77777777" w:rsidR="007F70E4" w:rsidRPr="00386641" w:rsidRDefault="007F70E4" w:rsidP="007F70E4">
      <w:pPr>
        <w:rPr>
          <w:szCs w:val="24"/>
        </w:rPr>
      </w:pPr>
    </w:p>
    <w:p w14:paraId="6ED440C6" w14:textId="77777777" w:rsidR="007F70E4" w:rsidRPr="00386641" w:rsidRDefault="007F70E4" w:rsidP="007F70E4">
      <w:pPr>
        <w:rPr>
          <w:szCs w:val="24"/>
        </w:rPr>
      </w:pPr>
      <w:r w:rsidRPr="00386641">
        <w:rPr>
          <w:bCs/>
          <w:szCs w:val="24"/>
        </w:rPr>
        <w:t xml:space="preserve">No decision required. </w:t>
      </w:r>
    </w:p>
    <w:p w14:paraId="5FC5CE89" w14:textId="77777777" w:rsidR="007F70E4" w:rsidRPr="00386641" w:rsidRDefault="007F70E4" w:rsidP="007F70E4">
      <w:pPr>
        <w:pStyle w:val="Heading1"/>
        <w:numPr>
          <w:ilvl w:val="0"/>
          <w:numId w:val="2"/>
        </w:numPr>
        <w:rPr>
          <w:szCs w:val="24"/>
        </w:rPr>
      </w:pPr>
      <w:r w:rsidRPr="00386641">
        <w:rPr>
          <w:szCs w:val="24"/>
        </w:rPr>
        <w:t>Recommendation</w:t>
      </w:r>
    </w:p>
    <w:p w14:paraId="4291391B" w14:textId="77777777" w:rsidR="007F70E4" w:rsidRPr="00386641" w:rsidRDefault="007F70E4" w:rsidP="007F70E4">
      <w:pPr>
        <w:rPr>
          <w:szCs w:val="24"/>
        </w:rPr>
      </w:pPr>
    </w:p>
    <w:p w14:paraId="5848AAC2" w14:textId="7AEBD799" w:rsidR="007F70E4" w:rsidRDefault="007F70E4" w:rsidP="007F70E4">
      <w:pPr>
        <w:jc w:val="both"/>
        <w:rPr>
          <w:rFonts w:eastAsia="Times New Roman"/>
          <w:szCs w:val="20"/>
        </w:rPr>
      </w:pPr>
      <w:r w:rsidRPr="00386641">
        <w:rPr>
          <w:rFonts w:eastAsia="Times New Roman"/>
          <w:szCs w:val="20"/>
        </w:rPr>
        <w:t xml:space="preserve">The </w:t>
      </w:r>
      <w:r w:rsidR="005C210E">
        <w:rPr>
          <w:rFonts w:eastAsia="Times New Roman"/>
          <w:szCs w:val="20"/>
        </w:rPr>
        <w:t>Committee</w:t>
      </w:r>
      <w:r w:rsidR="00627F7B">
        <w:rPr>
          <w:rFonts w:eastAsia="Times New Roman"/>
          <w:szCs w:val="20"/>
        </w:rPr>
        <w:t xml:space="preserve"> </w:t>
      </w:r>
      <w:r w:rsidRPr="00386641">
        <w:rPr>
          <w:rFonts w:eastAsia="Times New Roman"/>
          <w:szCs w:val="20"/>
        </w:rPr>
        <w:t>is asked to:</w:t>
      </w:r>
    </w:p>
    <w:p w14:paraId="76CBA82B" w14:textId="77777777" w:rsidR="007F70E4" w:rsidRPr="00386641" w:rsidRDefault="007F70E4" w:rsidP="007F70E4">
      <w:pPr>
        <w:jc w:val="both"/>
        <w:rPr>
          <w:rFonts w:eastAsia="Times New Roman"/>
          <w:szCs w:val="20"/>
        </w:rPr>
      </w:pPr>
    </w:p>
    <w:p w14:paraId="7DFF75B3" w14:textId="60C5027A" w:rsidR="007F70E4" w:rsidRPr="00ED35C0" w:rsidRDefault="005C210E" w:rsidP="007F70E4">
      <w:pPr>
        <w:pStyle w:val="ListParagraph"/>
        <w:numPr>
          <w:ilvl w:val="0"/>
          <w:numId w:val="21"/>
        </w:numPr>
        <w:jc w:val="both"/>
      </w:pPr>
      <w:r w:rsidRPr="005C210E">
        <w:rPr>
          <w:rFonts w:eastAsia="Times New Roman"/>
          <w:szCs w:val="20"/>
        </w:rPr>
        <w:t xml:space="preserve">Take </w:t>
      </w:r>
      <w:r>
        <w:rPr>
          <w:rFonts w:eastAsia="Times New Roman"/>
          <w:b/>
          <w:szCs w:val="20"/>
        </w:rPr>
        <w:t xml:space="preserve">assurance </w:t>
      </w:r>
      <w:r w:rsidRPr="005C210E">
        <w:rPr>
          <w:rFonts w:eastAsia="Times New Roman"/>
          <w:szCs w:val="20"/>
        </w:rPr>
        <w:t xml:space="preserve">that the corporate risks of the organisation are managed appropriately. </w:t>
      </w:r>
    </w:p>
    <w:p w14:paraId="4866D232" w14:textId="1406100E" w:rsidR="00ED35C0" w:rsidRDefault="00ED35C0" w:rsidP="00ED35C0">
      <w:pPr>
        <w:jc w:val="both"/>
      </w:pPr>
    </w:p>
    <w:p w14:paraId="08390BF1" w14:textId="2407FB37" w:rsidR="00C17845" w:rsidRDefault="00C17845" w:rsidP="00C7678E"/>
    <w:p w14:paraId="613D452B" w14:textId="3734356E" w:rsidR="00C17845" w:rsidRPr="00335C5D" w:rsidRDefault="00C17845" w:rsidP="00C7678E">
      <w:pPr>
        <w:rPr>
          <w:b/>
        </w:rPr>
      </w:pPr>
      <w:r w:rsidRPr="00335C5D">
        <w:rPr>
          <w:b/>
        </w:rPr>
        <w:t>References</w:t>
      </w:r>
    </w:p>
    <w:p w14:paraId="68F29FA4" w14:textId="5EA4DDD4" w:rsidR="00C17845" w:rsidRDefault="00C17845" w:rsidP="00C7678E"/>
    <w:p w14:paraId="75DEE5D4" w14:textId="79763C17" w:rsidR="00C17845" w:rsidRDefault="00C17845" w:rsidP="00C7678E">
      <w:r>
        <w:t>Fraser J, &amp; Simpkins, B (</w:t>
      </w:r>
      <w:proofErr w:type="spellStart"/>
      <w:r>
        <w:t>Eds</w:t>
      </w:r>
      <w:proofErr w:type="spellEnd"/>
      <w:r>
        <w:t xml:space="preserve">). (2010) </w:t>
      </w:r>
      <w:r>
        <w:rPr>
          <w:i/>
        </w:rPr>
        <w:t>Enterprise Risk Management</w:t>
      </w:r>
      <w:r w:rsidR="00335C5D">
        <w:rPr>
          <w:i/>
        </w:rPr>
        <w:t xml:space="preserve"> </w:t>
      </w:r>
      <w:r w:rsidR="00335C5D" w:rsidRPr="00335C5D">
        <w:t>(pp171-188)</w:t>
      </w:r>
      <w:r w:rsidR="00335C5D">
        <w:rPr>
          <w:i/>
        </w:rPr>
        <w:t xml:space="preserve"> </w:t>
      </w:r>
      <w:r w:rsidR="00335C5D">
        <w:t>New Jersey: John Wiley and Sons</w:t>
      </w:r>
    </w:p>
    <w:p w14:paraId="47EC3305" w14:textId="662FC9FE" w:rsidR="00335C5D" w:rsidRDefault="00335C5D" w:rsidP="00C7678E"/>
    <w:p w14:paraId="52650285" w14:textId="57D72EF0" w:rsidR="00335C5D" w:rsidRPr="00335C5D" w:rsidRDefault="00335C5D" w:rsidP="00C7678E">
      <w:r>
        <w:t xml:space="preserve">Public Health Wales (2020). </w:t>
      </w:r>
      <w:r>
        <w:rPr>
          <w:i/>
        </w:rPr>
        <w:t xml:space="preserve">Risk Management Policy and Procedure. </w:t>
      </w:r>
      <w:r>
        <w:t>Cardiff: PHW</w:t>
      </w:r>
    </w:p>
    <w:p w14:paraId="1BA762A5" w14:textId="00CEA947" w:rsidR="00335C5D" w:rsidRDefault="00335C5D" w:rsidP="00C7678E"/>
    <w:p w14:paraId="135BB61A" w14:textId="77777777" w:rsidR="00A60AB9" w:rsidRDefault="00A60AB9" w:rsidP="00A60AB9">
      <w:pPr>
        <w:pStyle w:val="Heading1"/>
        <w:ind w:left="1008" w:hanging="1008"/>
      </w:pPr>
      <w:r>
        <w:t>Appendix A</w:t>
      </w:r>
    </w:p>
    <w:p w14:paraId="4065BFC3" w14:textId="77777777" w:rsidR="00A60AB9" w:rsidRDefault="00A60AB9" w:rsidP="00A60AB9"/>
    <w:p w14:paraId="1A7A7E26" w14:textId="77777777" w:rsidR="00A60AB9" w:rsidRPr="00F15A1A" w:rsidRDefault="00A60AB9" w:rsidP="00A60AB9">
      <w:pPr>
        <w:pStyle w:val="Heading2"/>
        <w:ind w:left="1008" w:hanging="1008"/>
      </w:pPr>
      <w:r>
        <w:t>Key to risk register colour coding</w:t>
      </w:r>
    </w:p>
    <w:p w14:paraId="68463744" w14:textId="77777777" w:rsidR="00A60AB9" w:rsidRDefault="00A60AB9" w:rsidP="00A60AB9"/>
    <w:p w14:paraId="68C32622" w14:textId="77777777" w:rsidR="00A60AB9" w:rsidRPr="00624E97" w:rsidRDefault="00A60AB9" w:rsidP="00A60AB9">
      <w:pPr>
        <w:pStyle w:val="Heading2"/>
        <w:ind w:left="1008" w:hanging="1008"/>
      </w:pPr>
      <w:r>
        <w:t>Risk scores (Inherent, residual and target)</w:t>
      </w:r>
    </w:p>
    <w:p w14:paraId="219ADEEA" w14:textId="77777777" w:rsidR="00A60AB9" w:rsidRDefault="00A60AB9" w:rsidP="00A60AB9"/>
    <w:tbl>
      <w:tblPr>
        <w:tblStyle w:val="TableGrid"/>
        <w:tblW w:w="0" w:type="auto"/>
        <w:tblLook w:val="04A0" w:firstRow="1" w:lastRow="0" w:firstColumn="1" w:lastColumn="0" w:noHBand="0" w:noVBand="1"/>
      </w:tblPr>
      <w:tblGrid>
        <w:gridCol w:w="846"/>
        <w:gridCol w:w="8214"/>
      </w:tblGrid>
      <w:tr w:rsidR="00A60AB9" w14:paraId="60F4B7B1" w14:textId="77777777" w:rsidTr="004B0C5E">
        <w:tc>
          <w:tcPr>
            <w:tcW w:w="846" w:type="dxa"/>
            <w:shd w:val="clear" w:color="auto" w:fill="FF0000"/>
          </w:tcPr>
          <w:p w14:paraId="4D667473" w14:textId="77777777" w:rsidR="00A60AB9" w:rsidRDefault="00A60AB9" w:rsidP="004B0C5E"/>
        </w:tc>
        <w:tc>
          <w:tcPr>
            <w:tcW w:w="8214" w:type="dxa"/>
          </w:tcPr>
          <w:p w14:paraId="6E8E3784" w14:textId="77777777" w:rsidR="00A60AB9" w:rsidRDefault="00A60AB9" w:rsidP="004B0C5E">
            <w:r>
              <w:t>Extreme Risk</w:t>
            </w:r>
          </w:p>
        </w:tc>
      </w:tr>
      <w:tr w:rsidR="00A60AB9" w14:paraId="11553025" w14:textId="77777777" w:rsidTr="004B0C5E">
        <w:tc>
          <w:tcPr>
            <w:tcW w:w="846" w:type="dxa"/>
            <w:shd w:val="clear" w:color="auto" w:fill="FFC000"/>
          </w:tcPr>
          <w:p w14:paraId="2737DB24" w14:textId="77777777" w:rsidR="00A60AB9" w:rsidRDefault="00A60AB9" w:rsidP="004B0C5E"/>
        </w:tc>
        <w:tc>
          <w:tcPr>
            <w:tcW w:w="8214" w:type="dxa"/>
          </w:tcPr>
          <w:p w14:paraId="24DEC5C0" w14:textId="77777777" w:rsidR="00A60AB9" w:rsidRDefault="00A60AB9" w:rsidP="004B0C5E">
            <w:r>
              <w:t>High Risk</w:t>
            </w:r>
          </w:p>
        </w:tc>
      </w:tr>
      <w:tr w:rsidR="00A60AB9" w14:paraId="47784555" w14:textId="77777777" w:rsidTr="004B0C5E">
        <w:tc>
          <w:tcPr>
            <w:tcW w:w="846" w:type="dxa"/>
            <w:shd w:val="clear" w:color="auto" w:fill="FFFF00"/>
          </w:tcPr>
          <w:p w14:paraId="0C24A34F" w14:textId="77777777" w:rsidR="00A60AB9" w:rsidRDefault="00A60AB9" w:rsidP="004B0C5E"/>
        </w:tc>
        <w:tc>
          <w:tcPr>
            <w:tcW w:w="8214" w:type="dxa"/>
          </w:tcPr>
          <w:p w14:paraId="7499B316" w14:textId="77777777" w:rsidR="00A60AB9" w:rsidRDefault="00A60AB9" w:rsidP="004B0C5E">
            <w:r>
              <w:t>Moderate Risk</w:t>
            </w:r>
          </w:p>
        </w:tc>
      </w:tr>
      <w:tr w:rsidR="00A60AB9" w14:paraId="2122CA00" w14:textId="77777777" w:rsidTr="004B0C5E">
        <w:tc>
          <w:tcPr>
            <w:tcW w:w="846" w:type="dxa"/>
            <w:shd w:val="clear" w:color="auto" w:fill="92D050"/>
          </w:tcPr>
          <w:p w14:paraId="6C08AEE9" w14:textId="77777777" w:rsidR="00A60AB9" w:rsidRDefault="00A60AB9" w:rsidP="004B0C5E"/>
        </w:tc>
        <w:tc>
          <w:tcPr>
            <w:tcW w:w="8214" w:type="dxa"/>
          </w:tcPr>
          <w:p w14:paraId="242B031A" w14:textId="77777777" w:rsidR="00A60AB9" w:rsidRDefault="00A60AB9" w:rsidP="004B0C5E">
            <w:r>
              <w:t>Low Risk</w:t>
            </w:r>
          </w:p>
        </w:tc>
      </w:tr>
    </w:tbl>
    <w:p w14:paraId="6C19DB6E" w14:textId="49A1B205" w:rsidR="00A60AB9" w:rsidRPr="005C210E" w:rsidRDefault="00A60AB9" w:rsidP="005C210E">
      <w:pPr>
        <w:spacing w:after="200" w:line="276" w:lineRule="auto"/>
        <w:rPr>
          <w:rFonts w:eastAsiaTheme="majorEastAsia" w:cstheme="majorBidi"/>
          <w:b/>
          <w:bCs/>
          <w:szCs w:val="28"/>
        </w:rPr>
      </w:pPr>
    </w:p>
    <w:sectPr w:rsidR="00A60AB9" w:rsidRPr="005C210E" w:rsidSect="0039536A">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44786" w14:textId="77777777" w:rsidR="002E7676" w:rsidRDefault="002E7676" w:rsidP="00497F39">
      <w:r>
        <w:separator/>
      </w:r>
    </w:p>
  </w:endnote>
  <w:endnote w:type="continuationSeparator" w:id="0">
    <w:p w14:paraId="7A07CB6E" w14:textId="77777777" w:rsidR="002E7676" w:rsidRDefault="002E7676"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07"/>
      <w:gridCol w:w="2995"/>
    </w:tblGrid>
    <w:tr w:rsidR="007623DA" w:rsidRPr="00511AFF" w14:paraId="24434371" w14:textId="77777777" w:rsidTr="00DC07A2">
      <w:tc>
        <w:tcPr>
          <w:tcW w:w="3114" w:type="dxa"/>
        </w:tcPr>
        <w:p w14:paraId="5E224FC8" w14:textId="3E5E8517" w:rsidR="007623DA" w:rsidRPr="00511AFF" w:rsidRDefault="007623DA" w:rsidP="008726CE">
          <w:pPr>
            <w:pStyle w:val="Footer"/>
            <w:tabs>
              <w:tab w:val="right" w:pos="9090"/>
            </w:tabs>
            <w:jc w:val="center"/>
            <w:rPr>
              <w:b/>
              <w:sz w:val="20"/>
            </w:rPr>
          </w:pPr>
          <w:r w:rsidRPr="00511AFF">
            <w:rPr>
              <w:b/>
              <w:sz w:val="20"/>
            </w:rPr>
            <w:t xml:space="preserve">Date: </w:t>
          </w:r>
          <w:r>
            <w:rPr>
              <w:sz w:val="20"/>
            </w:rPr>
            <w:t xml:space="preserve"> </w:t>
          </w:r>
          <w:r w:rsidR="008726CE">
            <w:rPr>
              <w:sz w:val="20"/>
            </w:rPr>
            <w:t>22</w:t>
          </w:r>
          <w:r w:rsidR="008726CE" w:rsidRPr="008726CE">
            <w:rPr>
              <w:sz w:val="20"/>
              <w:vertAlign w:val="superscript"/>
            </w:rPr>
            <w:t>nd</w:t>
          </w:r>
          <w:r w:rsidR="008726CE">
            <w:rPr>
              <w:sz w:val="20"/>
            </w:rPr>
            <w:t xml:space="preserve"> </w:t>
          </w:r>
          <w:r w:rsidR="007E15D2">
            <w:rPr>
              <w:sz w:val="20"/>
            </w:rPr>
            <w:t xml:space="preserve">April </w:t>
          </w:r>
          <w:r w:rsidR="00ED35C0">
            <w:rPr>
              <w:sz w:val="20"/>
            </w:rPr>
            <w:t>2021</w:t>
          </w:r>
        </w:p>
      </w:tc>
      <w:tc>
        <w:tcPr>
          <w:tcW w:w="2907" w:type="dxa"/>
        </w:tcPr>
        <w:p w14:paraId="655B96BA" w14:textId="38A832C6" w:rsidR="007623DA" w:rsidRPr="00511AFF" w:rsidRDefault="007623DA" w:rsidP="008978EE">
          <w:pPr>
            <w:pStyle w:val="Footer"/>
            <w:tabs>
              <w:tab w:val="center" w:pos="1433"/>
              <w:tab w:val="right" w:pos="2866"/>
              <w:tab w:val="right" w:pos="9090"/>
            </w:tabs>
            <w:jc w:val="center"/>
            <w:rPr>
              <w:b/>
              <w:sz w:val="20"/>
            </w:rPr>
          </w:pPr>
          <w:r w:rsidRPr="00511AFF">
            <w:rPr>
              <w:b/>
              <w:sz w:val="20"/>
            </w:rPr>
            <w:t>Version:</w:t>
          </w:r>
          <w:r>
            <w:rPr>
              <w:sz w:val="20"/>
            </w:rPr>
            <w:t xml:space="preserve"> </w:t>
          </w:r>
          <w:r w:rsidR="008726CE">
            <w:rPr>
              <w:sz w:val="20"/>
            </w:rPr>
            <w:t>1.0</w:t>
          </w:r>
        </w:p>
      </w:tc>
      <w:tc>
        <w:tcPr>
          <w:tcW w:w="2995" w:type="dxa"/>
        </w:tcPr>
        <w:p w14:paraId="05B24D11" w14:textId="5923CEB9"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607FD2">
            <w:rPr>
              <w:rStyle w:val="PageNumber"/>
              <w:noProof/>
              <w:sz w:val="20"/>
            </w:rPr>
            <w:t>6</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607FD2">
            <w:rPr>
              <w:rStyle w:val="PageNumber"/>
              <w:noProof/>
              <w:sz w:val="20"/>
            </w:rPr>
            <w:t>6</w:t>
          </w:r>
          <w:r w:rsidRPr="00511AFF">
            <w:rPr>
              <w:rStyle w:val="PageNumber"/>
              <w:sz w:val="20"/>
            </w:rPr>
            <w:fldChar w:fldCharType="end"/>
          </w:r>
        </w:p>
      </w:tc>
    </w:tr>
  </w:tbl>
  <w:p w14:paraId="437F1DB8"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4A942" w14:textId="77777777" w:rsidR="002E7676" w:rsidRDefault="002E7676" w:rsidP="00497F39">
      <w:r>
        <w:separator/>
      </w:r>
    </w:p>
  </w:footnote>
  <w:footnote w:type="continuationSeparator" w:id="0">
    <w:p w14:paraId="7D4761BC" w14:textId="77777777" w:rsidR="002E7676" w:rsidRDefault="002E7676"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15DD0"/>
    <w:multiLevelType w:val="multilevel"/>
    <w:tmpl w:val="88E66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DC2A75"/>
    <w:multiLevelType w:val="hybridMultilevel"/>
    <w:tmpl w:val="003E8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A132D"/>
    <w:multiLevelType w:val="hybridMultilevel"/>
    <w:tmpl w:val="34B08C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56C50"/>
    <w:multiLevelType w:val="hybridMultilevel"/>
    <w:tmpl w:val="0FD4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2"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22"/>
  </w:num>
  <w:num w:numId="4">
    <w:abstractNumId w:val="13"/>
  </w:num>
  <w:num w:numId="5">
    <w:abstractNumId w:val="0"/>
  </w:num>
  <w:num w:numId="6">
    <w:abstractNumId w:val="7"/>
  </w:num>
  <w:num w:numId="7">
    <w:abstractNumId w:val="5"/>
  </w:num>
  <w:num w:numId="8">
    <w:abstractNumId w:val="12"/>
  </w:num>
  <w:num w:numId="9">
    <w:abstractNumId w:val="17"/>
  </w:num>
  <w:num w:numId="10">
    <w:abstractNumId w:val="4"/>
  </w:num>
  <w:num w:numId="11">
    <w:abstractNumId w:val="18"/>
  </w:num>
  <w:num w:numId="12">
    <w:abstractNumId w:val="3"/>
  </w:num>
  <w:num w:numId="13">
    <w:abstractNumId w:val="9"/>
  </w:num>
  <w:num w:numId="14">
    <w:abstractNumId w:val="11"/>
  </w:num>
  <w:num w:numId="15">
    <w:abstractNumId w:val="2"/>
  </w:num>
  <w:num w:numId="16">
    <w:abstractNumId w:val="21"/>
  </w:num>
  <w:num w:numId="17">
    <w:abstractNumId w:val="15"/>
  </w:num>
  <w:num w:numId="18">
    <w:abstractNumId w:val="20"/>
  </w:num>
  <w:num w:numId="19">
    <w:abstractNumId w:val="19"/>
  </w:num>
  <w:num w:numId="20">
    <w:abstractNumId w:val="1"/>
  </w:num>
  <w:num w:numId="21">
    <w:abstractNumId w:val="16"/>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en-GB" w:vendorID="64" w:dllVersion="131078" w:nlCheck="1" w:checkStyle="0"/>
  <w:proofState w:spelling="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51CDC"/>
    <w:rsid w:val="00051E74"/>
    <w:rsid w:val="00057CFB"/>
    <w:rsid w:val="00064908"/>
    <w:rsid w:val="00064C2F"/>
    <w:rsid w:val="00097ACD"/>
    <w:rsid w:val="000B306B"/>
    <w:rsid w:val="000F01EF"/>
    <w:rsid w:val="000F46F4"/>
    <w:rsid w:val="000F5A72"/>
    <w:rsid w:val="00107659"/>
    <w:rsid w:val="00121679"/>
    <w:rsid w:val="00123FD2"/>
    <w:rsid w:val="00126327"/>
    <w:rsid w:val="001272F6"/>
    <w:rsid w:val="0013075E"/>
    <w:rsid w:val="00133373"/>
    <w:rsid w:val="00144C23"/>
    <w:rsid w:val="001574E4"/>
    <w:rsid w:val="00171773"/>
    <w:rsid w:val="001975AF"/>
    <w:rsid w:val="001A0DAF"/>
    <w:rsid w:val="001B2A97"/>
    <w:rsid w:val="001B3428"/>
    <w:rsid w:val="001C02C6"/>
    <w:rsid w:val="001C305C"/>
    <w:rsid w:val="001C60B5"/>
    <w:rsid w:val="001D2ED3"/>
    <w:rsid w:val="001D63C4"/>
    <w:rsid w:val="001D722C"/>
    <w:rsid w:val="001E5D3C"/>
    <w:rsid w:val="00202AB8"/>
    <w:rsid w:val="002102AF"/>
    <w:rsid w:val="00211B9D"/>
    <w:rsid w:val="00214BA4"/>
    <w:rsid w:val="00217B7A"/>
    <w:rsid w:val="002208EF"/>
    <w:rsid w:val="0022713F"/>
    <w:rsid w:val="0024189E"/>
    <w:rsid w:val="00250088"/>
    <w:rsid w:val="00254DCF"/>
    <w:rsid w:val="00257CD2"/>
    <w:rsid w:val="00273D26"/>
    <w:rsid w:val="00275458"/>
    <w:rsid w:val="0028638B"/>
    <w:rsid w:val="002874C4"/>
    <w:rsid w:val="002B0BC9"/>
    <w:rsid w:val="002B712E"/>
    <w:rsid w:val="002C0A83"/>
    <w:rsid w:val="002C170B"/>
    <w:rsid w:val="002D11B1"/>
    <w:rsid w:val="002E6258"/>
    <w:rsid w:val="002E7676"/>
    <w:rsid w:val="003018F5"/>
    <w:rsid w:val="00304FD0"/>
    <w:rsid w:val="00305721"/>
    <w:rsid w:val="00321E73"/>
    <w:rsid w:val="00322D2E"/>
    <w:rsid w:val="00326EC6"/>
    <w:rsid w:val="00335C5D"/>
    <w:rsid w:val="00337864"/>
    <w:rsid w:val="003461AF"/>
    <w:rsid w:val="00371966"/>
    <w:rsid w:val="00386641"/>
    <w:rsid w:val="0039536A"/>
    <w:rsid w:val="00395726"/>
    <w:rsid w:val="0039791B"/>
    <w:rsid w:val="003A3414"/>
    <w:rsid w:val="003B40BB"/>
    <w:rsid w:val="003B7361"/>
    <w:rsid w:val="003B7B09"/>
    <w:rsid w:val="003C6952"/>
    <w:rsid w:val="003F3D59"/>
    <w:rsid w:val="003F3E7F"/>
    <w:rsid w:val="0040037A"/>
    <w:rsid w:val="00407604"/>
    <w:rsid w:val="00424C37"/>
    <w:rsid w:val="00427779"/>
    <w:rsid w:val="004375CA"/>
    <w:rsid w:val="00444527"/>
    <w:rsid w:val="0046169C"/>
    <w:rsid w:val="00480353"/>
    <w:rsid w:val="00480C9B"/>
    <w:rsid w:val="004939C2"/>
    <w:rsid w:val="00497F39"/>
    <w:rsid w:val="004A4626"/>
    <w:rsid w:val="004A6253"/>
    <w:rsid w:val="004B31A5"/>
    <w:rsid w:val="004D632B"/>
    <w:rsid w:val="004E16FA"/>
    <w:rsid w:val="004F24A1"/>
    <w:rsid w:val="00504A87"/>
    <w:rsid w:val="00506C55"/>
    <w:rsid w:val="00514A4A"/>
    <w:rsid w:val="0052328C"/>
    <w:rsid w:val="005243E3"/>
    <w:rsid w:val="00536FA4"/>
    <w:rsid w:val="00544C9E"/>
    <w:rsid w:val="00554429"/>
    <w:rsid w:val="0055720E"/>
    <w:rsid w:val="00564789"/>
    <w:rsid w:val="005649D7"/>
    <w:rsid w:val="00565607"/>
    <w:rsid w:val="005767ED"/>
    <w:rsid w:val="00577744"/>
    <w:rsid w:val="00590736"/>
    <w:rsid w:val="005961D6"/>
    <w:rsid w:val="005B0BA8"/>
    <w:rsid w:val="005B4E75"/>
    <w:rsid w:val="005C210E"/>
    <w:rsid w:val="005C24A0"/>
    <w:rsid w:val="005C7D40"/>
    <w:rsid w:val="005E2605"/>
    <w:rsid w:val="005E33CB"/>
    <w:rsid w:val="005F5CE4"/>
    <w:rsid w:val="00607476"/>
    <w:rsid w:val="00607FD2"/>
    <w:rsid w:val="00611958"/>
    <w:rsid w:val="00627F7B"/>
    <w:rsid w:val="006310BB"/>
    <w:rsid w:val="006312E5"/>
    <w:rsid w:val="00634C89"/>
    <w:rsid w:val="00641315"/>
    <w:rsid w:val="00657B25"/>
    <w:rsid w:val="00660772"/>
    <w:rsid w:val="00672175"/>
    <w:rsid w:val="006742A3"/>
    <w:rsid w:val="00680248"/>
    <w:rsid w:val="00680CAE"/>
    <w:rsid w:val="0068275A"/>
    <w:rsid w:val="0068334E"/>
    <w:rsid w:val="00684B8F"/>
    <w:rsid w:val="00696421"/>
    <w:rsid w:val="006B739F"/>
    <w:rsid w:val="006C4A51"/>
    <w:rsid w:val="006C6195"/>
    <w:rsid w:val="006C7D3F"/>
    <w:rsid w:val="006E6E08"/>
    <w:rsid w:val="006F3DE1"/>
    <w:rsid w:val="006F654D"/>
    <w:rsid w:val="00724211"/>
    <w:rsid w:val="007331F5"/>
    <w:rsid w:val="00736AC4"/>
    <w:rsid w:val="00737008"/>
    <w:rsid w:val="007372F3"/>
    <w:rsid w:val="007460FE"/>
    <w:rsid w:val="00754449"/>
    <w:rsid w:val="007623DA"/>
    <w:rsid w:val="007774C7"/>
    <w:rsid w:val="007A47F5"/>
    <w:rsid w:val="007D01C9"/>
    <w:rsid w:val="007D03B8"/>
    <w:rsid w:val="007D04C7"/>
    <w:rsid w:val="007D79E4"/>
    <w:rsid w:val="007E0F3B"/>
    <w:rsid w:val="007E15D2"/>
    <w:rsid w:val="007F70E4"/>
    <w:rsid w:val="007F7EA7"/>
    <w:rsid w:val="008036D5"/>
    <w:rsid w:val="00805FAF"/>
    <w:rsid w:val="00824D05"/>
    <w:rsid w:val="0082544D"/>
    <w:rsid w:val="008524C0"/>
    <w:rsid w:val="008653E0"/>
    <w:rsid w:val="00870BDE"/>
    <w:rsid w:val="008726CE"/>
    <w:rsid w:val="0087331D"/>
    <w:rsid w:val="00880111"/>
    <w:rsid w:val="008902AA"/>
    <w:rsid w:val="00890A9D"/>
    <w:rsid w:val="00893619"/>
    <w:rsid w:val="008978EE"/>
    <w:rsid w:val="008A2D5F"/>
    <w:rsid w:val="008C12E0"/>
    <w:rsid w:val="008C745A"/>
    <w:rsid w:val="008D0FBB"/>
    <w:rsid w:val="008D4CCD"/>
    <w:rsid w:val="008F1F7E"/>
    <w:rsid w:val="00911572"/>
    <w:rsid w:val="00912C7B"/>
    <w:rsid w:val="00916053"/>
    <w:rsid w:val="00921F72"/>
    <w:rsid w:val="009233B4"/>
    <w:rsid w:val="00923A14"/>
    <w:rsid w:val="009328E2"/>
    <w:rsid w:val="00936F7F"/>
    <w:rsid w:val="00961E2C"/>
    <w:rsid w:val="00980587"/>
    <w:rsid w:val="00980F99"/>
    <w:rsid w:val="0098365C"/>
    <w:rsid w:val="00985816"/>
    <w:rsid w:val="009878C1"/>
    <w:rsid w:val="00987E54"/>
    <w:rsid w:val="009A100F"/>
    <w:rsid w:val="009B2519"/>
    <w:rsid w:val="009C0B0C"/>
    <w:rsid w:val="009C62CD"/>
    <w:rsid w:val="009F7F6B"/>
    <w:rsid w:val="00A21F3D"/>
    <w:rsid w:val="00A25B36"/>
    <w:rsid w:val="00A279F5"/>
    <w:rsid w:val="00A27DE4"/>
    <w:rsid w:val="00A33773"/>
    <w:rsid w:val="00A34009"/>
    <w:rsid w:val="00A435F1"/>
    <w:rsid w:val="00A56D26"/>
    <w:rsid w:val="00A60AB9"/>
    <w:rsid w:val="00A60D6C"/>
    <w:rsid w:val="00A708F6"/>
    <w:rsid w:val="00A72900"/>
    <w:rsid w:val="00AB112A"/>
    <w:rsid w:val="00AB3E47"/>
    <w:rsid w:val="00AC45EB"/>
    <w:rsid w:val="00AC4647"/>
    <w:rsid w:val="00AC5193"/>
    <w:rsid w:val="00AC5841"/>
    <w:rsid w:val="00AD7227"/>
    <w:rsid w:val="00AE3D01"/>
    <w:rsid w:val="00AF3146"/>
    <w:rsid w:val="00B00419"/>
    <w:rsid w:val="00B47936"/>
    <w:rsid w:val="00B509E3"/>
    <w:rsid w:val="00B565E3"/>
    <w:rsid w:val="00B80218"/>
    <w:rsid w:val="00B936DE"/>
    <w:rsid w:val="00B94BB0"/>
    <w:rsid w:val="00BA3E2A"/>
    <w:rsid w:val="00BB76F4"/>
    <w:rsid w:val="00BC39AE"/>
    <w:rsid w:val="00BC5B9C"/>
    <w:rsid w:val="00BD5818"/>
    <w:rsid w:val="00BF3E39"/>
    <w:rsid w:val="00BF4190"/>
    <w:rsid w:val="00C05D9F"/>
    <w:rsid w:val="00C1444B"/>
    <w:rsid w:val="00C17845"/>
    <w:rsid w:val="00C17DDB"/>
    <w:rsid w:val="00C60DE3"/>
    <w:rsid w:val="00C7528A"/>
    <w:rsid w:val="00C7678E"/>
    <w:rsid w:val="00C87F23"/>
    <w:rsid w:val="00C9163D"/>
    <w:rsid w:val="00CA3315"/>
    <w:rsid w:val="00CA3E68"/>
    <w:rsid w:val="00CA4D3A"/>
    <w:rsid w:val="00CA4DA9"/>
    <w:rsid w:val="00CA5841"/>
    <w:rsid w:val="00CA7E0D"/>
    <w:rsid w:val="00CB0E6B"/>
    <w:rsid w:val="00CC189D"/>
    <w:rsid w:val="00CC764D"/>
    <w:rsid w:val="00CE6807"/>
    <w:rsid w:val="00CE6EB8"/>
    <w:rsid w:val="00CF7674"/>
    <w:rsid w:val="00D0238B"/>
    <w:rsid w:val="00D1284D"/>
    <w:rsid w:val="00D171E4"/>
    <w:rsid w:val="00D25D84"/>
    <w:rsid w:val="00D26E48"/>
    <w:rsid w:val="00D34F08"/>
    <w:rsid w:val="00D41503"/>
    <w:rsid w:val="00D45A01"/>
    <w:rsid w:val="00D55785"/>
    <w:rsid w:val="00D60F40"/>
    <w:rsid w:val="00D64BA8"/>
    <w:rsid w:val="00D713DC"/>
    <w:rsid w:val="00D74461"/>
    <w:rsid w:val="00D87080"/>
    <w:rsid w:val="00D87406"/>
    <w:rsid w:val="00D87E58"/>
    <w:rsid w:val="00DA2383"/>
    <w:rsid w:val="00DB686C"/>
    <w:rsid w:val="00DC07A2"/>
    <w:rsid w:val="00DC594E"/>
    <w:rsid w:val="00DE7DF5"/>
    <w:rsid w:val="00E01426"/>
    <w:rsid w:val="00E02A10"/>
    <w:rsid w:val="00E07F66"/>
    <w:rsid w:val="00E11F44"/>
    <w:rsid w:val="00E13972"/>
    <w:rsid w:val="00E14968"/>
    <w:rsid w:val="00E14EA8"/>
    <w:rsid w:val="00E206E0"/>
    <w:rsid w:val="00E24001"/>
    <w:rsid w:val="00E25F15"/>
    <w:rsid w:val="00E263D4"/>
    <w:rsid w:val="00E3063B"/>
    <w:rsid w:val="00E333F3"/>
    <w:rsid w:val="00E343B1"/>
    <w:rsid w:val="00E371EA"/>
    <w:rsid w:val="00E37B54"/>
    <w:rsid w:val="00E47233"/>
    <w:rsid w:val="00E56DBB"/>
    <w:rsid w:val="00E6038B"/>
    <w:rsid w:val="00E805CD"/>
    <w:rsid w:val="00E82204"/>
    <w:rsid w:val="00E97F83"/>
    <w:rsid w:val="00EA218D"/>
    <w:rsid w:val="00EA23FA"/>
    <w:rsid w:val="00EA4379"/>
    <w:rsid w:val="00EB0841"/>
    <w:rsid w:val="00EB2092"/>
    <w:rsid w:val="00EC6188"/>
    <w:rsid w:val="00ED35C0"/>
    <w:rsid w:val="00ED41A6"/>
    <w:rsid w:val="00EE1810"/>
    <w:rsid w:val="00EE56F2"/>
    <w:rsid w:val="00EE7097"/>
    <w:rsid w:val="00F03AE7"/>
    <w:rsid w:val="00F114CA"/>
    <w:rsid w:val="00F2582A"/>
    <w:rsid w:val="00F31C10"/>
    <w:rsid w:val="00F452F7"/>
    <w:rsid w:val="00F47896"/>
    <w:rsid w:val="00F479A1"/>
    <w:rsid w:val="00F5100E"/>
    <w:rsid w:val="00F56F7E"/>
    <w:rsid w:val="00F653CF"/>
    <w:rsid w:val="00F94680"/>
    <w:rsid w:val="00F95B15"/>
    <w:rsid w:val="00FA7943"/>
    <w:rsid w:val="00FB67EB"/>
    <w:rsid w:val="00FC1132"/>
    <w:rsid w:val="00FC2859"/>
    <w:rsid w:val="00FC7FAE"/>
    <w:rsid w:val="00FD1D43"/>
    <w:rsid w:val="00FD1E31"/>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39AE36"/>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customStyle="1" w:styleId="Pa8">
    <w:name w:val="Pa8"/>
    <w:basedOn w:val="Normal"/>
    <w:next w:val="Normal"/>
    <w:uiPriority w:val="99"/>
    <w:rsid w:val="00DB686C"/>
    <w:pPr>
      <w:autoSpaceDE w:val="0"/>
      <w:autoSpaceDN w:val="0"/>
      <w:adjustRightInd w:val="0"/>
      <w:spacing w:line="241" w:lineRule="atLeast"/>
    </w:pPr>
    <w:rPr>
      <w:rFonts w:ascii="Helvetica 45 Light" w:hAnsi="Helvetica 45 Ligh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49816174">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1669794887">
      <w:bodyDiv w:val="1"/>
      <w:marLeft w:val="0"/>
      <w:marRight w:val="0"/>
      <w:marTop w:val="0"/>
      <w:marBottom w:val="0"/>
      <w:divBdr>
        <w:top w:val="none" w:sz="0" w:space="0" w:color="auto"/>
        <w:left w:val="none" w:sz="0" w:space="0" w:color="auto"/>
        <w:bottom w:val="none" w:sz="0" w:space="0" w:color="auto"/>
        <w:right w:val="none" w:sz="0" w:space="0" w:color="auto"/>
      </w:divBdr>
    </w:div>
    <w:div w:id="210569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owis.wales.nhs.uk/sitesplus/888/page/6454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ales.nhs.uk/governance-emanual/how-the-health-and-care-standards-ar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5A5F231099F942BDB087759F1EF38FEA"/>
        <w:category>
          <w:name w:val="General"/>
          <w:gallery w:val="placeholder"/>
        </w:category>
        <w:types>
          <w:type w:val="bbPlcHdr"/>
        </w:types>
        <w:behaviors>
          <w:behavior w:val="content"/>
        </w:behaviors>
        <w:guid w:val="{5AE80140-E785-43E6-BEAA-535AFF04F2AF}"/>
      </w:docPartPr>
      <w:docPartBody>
        <w:p w:rsidR="00AA293F" w:rsidRDefault="00760EAF" w:rsidP="00760EAF">
          <w:pPr>
            <w:pStyle w:val="5A5F231099F942BDB087759F1EF38FEA"/>
          </w:pPr>
          <w:r w:rsidRPr="0013075E">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942F3C"/>
    <w:rsid w:val="000410AB"/>
    <w:rsid w:val="001025A3"/>
    <w:rsid w:val="00145C67"/>
    <w:rsid w:val="00195F4B"/>
    <w:rsid w:val="00293B15"/>
    <w:rsid w:val="002C4FA7"/>
    <w:rsid w:val="00343F22"/>
    <w:rsid w:val="00396DE1"/>
    <w:rsid w:val="003B6BDB"/>
    <w:rsid w:val="003E7B41"/>
    <w:rsid w:val="005A164A"/>
    <w:rsid w:val="005E5411"/>
    <w:rsid w:val="00760EAF"/>
    <w:rsid w:val="00800CC4"/>
    <w:rsid w:val="00834930"/>
    <w:rsid w:val="0087256F"/>
    <w:rsid w:val="00884126"/>
    <w:rsid w:val="00895D61"/>
    <w:rsid w:val="00942F3C"/>
    <w:rsid w:val="0098440F"/>
    <w:rsid w:val="00A12BED"/>
    <w:rsid w:val="00A94C1F"/>
    <w:rsid w:val="00AA293F"/>
    <w:rsid w:val="00B518DA"/>
    <w:rsid w:val="00B518DF"/>
    <w:rsid w:val="00B661DB"/>
    <w:rsid w:val="00C2665F"/>
    <w:rsid w:val="00DE0877"/>
    <w:rsid w:val="00E91C64"/>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93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4AAECE6B6AB4695D2DB0DBB1AEDFA" ma:contentTypeVersion="0" ma:contentTypeDescription="Create a new document." ma:contentTypeScope="" ma:versionID="7c8db7e952f37149b538d2f14d7f8de6">
  <xsd:schema xmlns:xsd="http://www.w3.org/2001/XMLSchema" xmlns:xs="http://www.w3.org/2001/XMLSchema" xmlns:p="http://schemas.microsoft.com/office/2006/metadata/properties" xmlns:ns2="c3b7d625-8542-456a-8bfa-17af4e31fcbf" targetNamespace="http://schemas.microsoft.com/office/2006/metadata/properties" ma:root="true" ma:fieldsID="9fd732d6855e05b28411deeb8f92ddd3" ns2:_="">
    <xsd:import namespace="c3b7d625-8542-456a-8bfa-17af4e31fcb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7d625-8542-456a-8bfa-17af4e31fc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3b7d625-8542-456a-8bfa-17af4e31fcbf">Z7E3KC4X5DZ6-569099235-81</_dlc_DocId>
    <_dlc_DocIdUrl xmlns="c3b7d625-8542-456a-8bfa-17af4e31fcbf">
      <Url>https://phwsharepoint.cymru.nhs.uk/site/ig/riskincidentmanagement/_layouts/15/DocIdRedir.aspx?ID=Z7E3KC4X5DZ6-569099235-81</Url>
      <Description>Z7E3KC4X5DZ6-569099235-81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B6140-2810-469A-B3C7-DFED893DF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7d625-8542-456a-8bfa-17af4e31f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2819B-429D-474D-8D88-902A123DE242}">
  <ds:schemaRefs>
    <ds:schemaRef ds:uri="c3b7d625-8542-456a-8bfa-17af4e31fcb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522B278-2726-48C3-8BD2-B82D2CC3432D}">
  <ds:schemaRefs>
    <ds:schemaRef ds:uri="http://schemas.microsoft.com/sharepoint/v3/contenttype/forms"/>
  </ds:schemaRefs>
</ds:datastoreItem>
</file>

<file path=customXml/itemProps4.xml><?xml version="1.0" encoding="utf-8"?>
<ds:datastoreItem xmlns:ds="http://schemas.openxmlformats.org/officeDocument/2006/customXml" ds:itemID="{0311766E-1DAE-4E7A-AA86-BBABC94DDBF6}">
  <ds:schemaRefs>
    <ds:schemaRef ds:uri="http://schemas.microsoft.com/sharepoint/events"/>
  </ds:schemaRefs>
</ds:datastoreItem>
</file>

<file path=customXml/itemProps5.xml><?xml version="1.0" encoding="utf-8"?>
<ds:datastoreItem xmlns:ds="http://schemas.openxmlformats.org/officeDocument/2006/customXml" ds:itemID="{7FE2309F-FA30-4D94-A80A-0F00CB9E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Liz Blayney (Public Health Wales - No. 2 Capital Quarter)</cp:lastModifiedBy>
  <cp:revision>3</cp:revision>
  <cp:lastPrinted>2017-10-16T08:46:00Z</cp:lastPrinted>
  <dcterms:created xsi:type="dcterms:W3CDTF">2021-05-01T07:04:00Z</dcterms:created>
  <dcterms:modified xsi:type="dcterms:W3CDTF">2021-05-01T07:11:00Z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0x0101003D24AAECE6B6AB4695D2DB0DBB1AEDFA</vt:lpwstr>
  </property>
  <property fmtid="{D5CDD505-2E9C-101B-9397-08002B2CF9AE}" pid="3" name="_dlc_DocIdItemGuid">
    <vt:lpwstr>bd419849-8cba-4888-baab-2f1e04c7bfca</vt:lpwstr>
  </property>
</Properties>
</file>