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0" w:type="auto"/>
        <w:tblLook w:val="04A0" w:firstRow="1" w:lastRow="0" w:firstColumn="1" w:lastColumn="0" w:noHBand="0" w:noVBand="1"/>
      </w:tblPr>
      <w:tblGrid>
        <w:gridCol w:w="1848"/>
        <w:gridCol w:w="954"/>
        <w:gridCol w:w="894"/>
        <w:gridCol w:w="1506"/>
        <w:gridCol w:w="334"/>
        <w:gridCol w:w="1662"/>
        <w:gridCol w:w="1818"/>
      </w:tblGrid>
      <w:tr w:rsidR="000A2ADC" w:rsidRPr="00AC7380" w:rsidTr="00B052A7">
        <w:tc>
          <w:tcPr>
            <w:tcW w:w="5202" w:type="dxa"/>
            <w:gridSpan w:val="4"/>
            <w:vMerge w:val="restart"/>
          </w:tcPr>
          <w:p w:rsidR="000A2ADC" w:rsidRPr="00AC7380" w:rsidRDefault="000A2ADC" w:rsidP="005D3867">
            <w:pPr>
              <w:rPr>
                <w:rFonts w:ascii="Verdana" w:hAnsi="Verdana"/>
                <w:sz w:val="24"/>
              </w:rPr>
            </w:pPr>
            <w:r w:rsidRPr="00AC7380">
              <w:rPr>
                <w:rFonts w:ascii="Verdana" w:hAnsi="Verdana"/>
                <w:b/>
                <w:noProof/>
                <w:sz w:val="24"/>
                <w:lang w:eastAsia="en-GB"/>
              </w:rPr>
              <w:drawing>
                <wp:inline distT="0" distB="0" distL="0" distR="0" wp14:anchorId="0C765B80" wp14:editId="33A0F865">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rsidR="000A2ADC" w:rsidRPr="00AC7380" w:rsidRDefault="000A2ADC" w:rsidP="005D3867">
            <w:pPr>
              <w:jc w:val="right"/>
              <w:rPr>
                <w:rFonts w:ascii="Verdana" w:hAnsi="Verdana"/>
                <w:b/>
                <w:sz w:val="24"/>
                <w:szCs w:val="24"/>
              </w:rPr>
            </w:pPr>
            <w:r w:rsidRPr="00AC7380">
              <w:rPr>
                <w:rFonts w:ascii="Verdana" w:hAnsi="Verdana"/>
                <w:b/>
                <w:sz w:val="24"/>
                <w:szCs w:val="24"/>
              </w:rPr>
              <w:t>Name of Meeting</w:t>
            </w:r>
          </w:p>
          <w:sdt>
            <w:sdtPr>
              <w:rPr>
                <w:rFonts w:ascii="Verdana" w:hAnsi="Verdana"/>
                <w:b/>
                <w:szCs w:val="24"/>
              </w:rPr>
              <w:alias w:val="Name of meeting"/>
              <w:tag w:val="Name of meeting"/>
              <w:id w:val="1886526"/>
              <w:placeholder>
                <w:docPart w:val="0017E5D2C7864C97BA82E637C6FB9B2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sdtContent>
              <w:p w:rsidR="000A2ADC" w:rsidRPr="00AC7380" w:rsidRDefault="004E2FBB" w:rsidP="005D3867">
                <w:pPr>
                  <w:jc w:val="right"/>
                  <w:rPr>
                    <w:rFonts w:ascii="Verdana" w:hAnsi="Verdana"/>
                    <w:b/>
                    <w:sz w:val="24"/>
                    <w:szCs w:val="24"/>
                  </w:rPr>
                </w:pPr>
                <w:r>
                  <w:rPr>
                    <w:rFonts w:ascii="Verdana" w:hAnsi="Verdana"/>
                    <w:b/>
                    <w:szCs w:val="24"/>
                  </w:rPr>
                  <w:t>Board</w:t>
                </w:r>
              </w:p>
            </w:sdtContent>
          </w:sdt>
        </w:tc>
      </w:tr>
      <w:tr w:rsidR="000A2ADC" w:rsidRPr="00AC7380" w:rsidTr="00B052A7">
        <w:tc>
          <w:tcPr>
            <w:tcW w:w="5202" w:type="dxa"/>
            <w:gridSpan w:val="4"/>
            <w:vMerge/>
          </w:tcPr>
          <w:p w:rsidR="000A2ADC" w:rsidRPr="00AC7380" w:rsidRDefault="000A2ADC" w:rsidP="005D3867">
            <w:pPr>
              <w:rPr>
                <w:rFonts w:ascii="Verdana" w:hAnsi="Verdana"/>
                <w:b/>
                <w:noProof/>
                <w:sz w:val="24"/>
                <w:lang w:eastAsia="en-GB"/>
              </w:rPr>
            </w:pPr>
          </w:p>
        </w:tc>
        <w:tc>
          <w:tcPr>
            <w:tcW w:w="3814" w:type="dxa"/>
            <w:gridSpan w:val="3"/>
            <w:tcBorders>
              <w:top w:val="nil"/>
              <w:bottom w:val="nil"/>
            </w:tcBorders>
          </w:tcPr>
          <w:p w:rsidR="000A2ADC" w:rsidRPr="00AC7380" w:rsidRDefault="000A2ADC" w:rsidP="005D3867">
            <w:pPr>
              <w:jc w:val="right"/>
              <w:rPr>
                <w:rFonts w:ascii="Verdana" w:hAnsi="Verdana"/>
                <w:b/>
                <w:sz w:val="24"/>
              </w:rPr>
            </w:pPr>
            <w:r w:rsidRPr="00AC7380">
              <w:rPr>
                <w:rFonts w:ascii="Verdana" w:hAnsi="Verdana"/>
                <w:b/>
                <w:sz w:val="24"/>
              </w:rPr>
              <w:t>Date of Meeting</w:t>
            </w:r>
          </w:p>
          <w:p w:rsidR="000A2ADC" w:rsidRPr="00AC7380" w:rsidRDefault="006173F8" w:rsidP="004E2FBB">
            <w:pPr>
              <w:jc w:val="right"/>
              <w:rPr>
                <w:rFonts w:ascii="Verdana" w:hAnsi="Verdana"/>
                <w:color w:val="FF0000"/>
                <w:sz w:val="24"/>
              </w:rPr>
            </w:pPr>
            <w:r w:rsidRPr="004E2FBB">
              <w:rPr>
                <w:rFonts w:ascii="Verdana" w:hAnsi="Verdana"/>
                <w:sz w:val="24"/>
              </w:rPr>
              <w:t>1</w:t>
            </w:r>
            <w:r w:rsidR="004E2FBB" w:rsidRPr="004E2FBB">
              <w:rPr>
                <w:rFonts w:ascii="Verdana" w:hAnsi="Verdana"/>
                <w:sz w:val="24"/>
              </w:rPr>
              <w:t>6</w:t>
            </w:r>
            <w:r w:rsidRPr="004E2FBB">
              <w:rPr>
                <w:rFonts w:ascii="Verdana" w:hAnsi="Verdana"/>
                <w:sz w:val="24"/>
              </w:rPr>
              <w:t xml:space="preserve"> January 2023</w:t>
            </w:r>
          </w:p>
        </w:tc>
      </w:tr>
      <w:tr w:rsidR="000A2ADC" w:rsidRPr="00AC7380" w:rsidTr="00B052A7">
        <w:tc>
          <w:tcPr>
            <w:tcW w:w="5202" w:type="dxa"/>
            <w:gridSpan w:val="4"/>
            <w:vMerge/>
            <w:tcBorders>
              <w:bottom w:val="single" w:sz="4" w:space="0" w:color="auto"/>
            </w:tcBorders>
          </w:tcPr>
          <w:p w:rsidR="000A2ADC" w:rsidRPr="00AC7380" w:rsidRDefault="000A2ADC" w:rsidP="005D3867">
            <w:pPr>
              <w:rPr>
                <w:rFonts w:ascii="Verdana" w:hAnsi="Verdana"/>
                <w:b/>
                <w:noProof/>
                <w:sz w:val="24"/>
                <w:lang w:eastAsia="en-GB"/>
              </w:rPr>
            </w:pPr>
          </w:p>
        </w:tc>
        <w:tc>
          <w:tcPr>
            <w:tcW w:w="3814" w:type="dxa"/>
            <w:gridSpan w:val="3"/>
            <w:tcBorders>
              <w:top w:val="nil"/>
              <w:bottom w:val="single" w:sz="4" w:space="0" w:color="auto"/>
            </w:tcBorders>
          </w:tcPr>
          <w:p w:rsidR="000A2ADC" w:rsidRPr="00C330C4" w:rsidRDefault="000A2ADC" w:rsidP="005D3867">
            <w:pPr>
              <w:jc w:val="right"/>
              <w:rPr>
                <w:rFonts w:ascii="Verdana" w:hAnsi="Verdana"/>
                <w:b/>
                <w:sz w:val="24"/>
              </w:rPr>
            </w:pPr>
            <w:r w:rsidRPr="00C330C4">
              <w:rPr>
                <w:rFonts w:ascii="Verdana" w:hAnsi="Verdana"/>
                <w:b/>
                <w:sz w:val="24"/>
              </w:rPr>
              <w:t>Agenda item:</w:t>
            </w:r>
          </w:p>
          <w:p w:rsidR="000A2ADC" w:rsidRPr="001577BB" w:rsidRDefault="004E2FBB" w:rsidP="00DA575D">
            <w:pPr>
              <w:jc w:val="right"/>
              <w:rPr>
                <w:rFonts w:ascii="Verdana" w:hAnsi="Verdana"/>
                <w:color w:val="FF0000"/>
                <w:sz w:val="24"/>
              </w:rPr>
            </w:pPr>
            <w:r w:rsidRPr="004E2FBB">
              <w:rPr>
                <w:rFonts w:ascii="Verdana" w:hAnsi="Verdana"/>
                <w:sz w:val="24"/>
              </w:rPr>
              <w:t>4.2</w:t>
            </w:r>
          </w:p>
        </w:tc>
      </w:tr>
      <w:tr w:rsidR="000A2ADC" w:rsidRPr="00AC7380" w:rsidTr="00B052A7">
        <w:tc>
          <w:tcPr>
            <w:tcW w:w="9016" w:type="dxa"/>
            <w:gridSpan w:val="7"/>
            <w:tcBorders>
              <w:left w:val="nil"/>
              <w:right w:val="nil"/>
            </w:tcBorders>
            <w:vAlign w:val="center"/>
          </w:tcPr>
          <w:p w:rsidR="000A2ADC" w:rsidRPr="00AC7380" w:rsidRDefault="000A2ADC" w:rsidP="005D3867">
            <w:pPr>
              <w:rPr>
                <w:rFonts w:ascii="Verdana" w:hAnsi="Verdana"/>
                <w:b/>
                <w:sz w:val="28"/>
              </w:rPr>
            </w:pPr>
          </w:p>
        </w:tc>
      </w:tr>
      <w:tr w:rsidR="000A2ADC" w:rsidRPr="003E1752" w:rsidTr="00B052A7">
        <w:tc>
          <w:tcPr>
            <w:tcW w:w="9016" w:type="dxa"/>
            <w:gridSpan w:val="7"/>
            <w:vAlign w:val="center"/>
          </w:tcPr>
          <w:p w:rsidR="00365579" w:rsidRDefault="00365579" w:rsidP="00365579">
            <w:pPr>
              <w:jc w:val="center"/>
              <w:rPr>
                <w:rFonts w:ascii="Verdana" w:hAnsi="Verdana"/>
                <w:b/>
                <w:sz w:val="40"/>
                <w:szCs w:val="36"/>
              </w:rPr>
            </w:pPr>
          </w:p>
          <w:p w:rsidR="00D24212" w:rsidRPr="003E1752" w:rsidRDefault="00B04DD6" w:rsidP="00FA09FB">
            <w:pPr>
              <w:jc w:val="center"/>
              <w:rPr>
                <w:rFonts w:ascii="Verdana" w:hAnsi="Verdana"/>
                <w:b/>
                <w:sz w:val="40"/>
                <w:szCs w:val="36"/>
              </w:rPr>
            </w:pPr>
            <w:r w:rsidRPr="003E1752">
              <w:rPr>
                <w:rFonts w:ascii="Verdana" w:hAnsi="Verdana"/>
                <w:b/>
                <w:sz w:val="40"/>
                <w:szCs w:val="36"/>
              </w:rPr>
              <w:t>202</w:t>
            </w:r>
            <w:r w:rsidR="00A6581A" w:rsidRPr="003E1752">
              <w:rPr>
                <w:rFonts w:ascii="Verdana" w:hAnsi="Verdana"/>
                <w:b/>
                <w:sz w:val="40"/>
                <w:szCs w:val="36"/>
              </w:rPr>
              <w:t>2</w:t>
            </w:r>
            <w:r w:rsidRPr="003E1752">
              <w:rPr>
                <w:rFonts w:ascii="Verdana" w:hAnsi="Verdana"/>
                <w:b/>
                <w:sz w:val="40"/>
                <w:szCs w:val="36"/>
              </w:rPr>
              <w:t>/2</w:t>
            </w:r>
            <w:r w:rsidR="00A6581A" w:rsidRPr="003E1752">
              <w:rPr>
                <w:rFonts w:ascii="Verdana" w:hAnsi="Verdana"/>
                <w:b/>
                <w:sz w:val="40"/>
                <w:szCs w:val="36"/>
              </w:rPr>
              <w:t>3</w:t>
            </w:r>
            <w:r w:rsidRPr="003E1752">
              <w:rPr>
                <w:rFonts w:ascii="Verdana" w:hAnsi="Verdana"/>
                <w:b/>
                <w:sz w:val="40"/>
                <w:szCs w:val="36"/>
              </w:rPr>
              <w:t xml:space="preserve"> Financial Position </w:t>
            </w:r>
          </w:p>
          <w:p w:rsidR="00FA09FB" w:rsidRPr="003E1752" w:rsidRDefault="00FA09FB" w:rsidP="00FA09FB">
            <w:pPr>
              <w:jc w:val="center"/>
              <w:rPr>
                <w:rFonts w:ascii="Verdana" w:hAnsi="Verdana"/>
                <w:b/>
                <w:sz w:val="40"/>
                <w:szCs w:val="36"/>
                <w:highlight w:val="magenta"/>
              </w:rPr>
            </w:pPr>
          </w:p>
        </w:tc>
      </w:tr>
      <w:tr w:rsidR="000A2ADC" w:rsidRPr="003E1752" w:rsidTr="00B052A7">
        <w:tc>
          <w:tcPr>
            <w:tcW w:w="2802" w:type="dxa"/>
            <w:gridSpan w:val="2"/>
          </w:tcPr>
          <w:p w:rsidR="000A2ADC" w:rsidRPr="003E1752" w:rsidRDefault="000A2ADC" w:rsidP="005D3867">
            <w:pPr>
              <w:rPr>
                <w:rFonts w:ascii="Verdana" w:hAnsi="Verdana"/>
                <w:b/>
                <w:sz w:val="24"/>
                <w:szCs w:val="24"/>
              </w:rPr>
            </w:pPr>
            <w:r w:rsidRPr="003E1752">
              <w:rPr>
                <w:rFonts w:ascii="Verdana" w:hAnsi="Verdana"/>
                <w:b/>
                <w:sz w:val="24"/>
                <w:szCs w:val="24"/>
              </w:rPr>
              <w:t>Executive lead:</w:t>
            </w:r>
          </w:p>
        </w:tc>
        <w:tc>
          <w:tcPr>
            <w:tcW w:w="6214" w:type="dxa"/>
            <w:gridSpan w:val="5"/>
          </w:tcPr>
          <w:p w:rsidR="000A2ADC" w:rsidRPr="003E1752" w:rsidRDefault="00DC30EB" w:rsidP="005D3867">
            <w:pPr>
              <w:rPr>
                <w:rFonts w:ascii="Verdana" w:eastAsia="Verdana" w:hAnsi="Verdana"/>
                <w:sz w:val="24"/>
                <w:szCs w:val="24"/>
              </w:rPr>
            </w:pPr>
            <w:r w:rsidRPr="003E1752">
              <w:rPr>
                <w:rFonts w:ascii="Verdana" w:eastAsia="Verdana" w:hAnsi="Verdana"/>
                <w:sz w:val="24"/>
                <w:szCs w:val="24"/>
              </w:rPr>
              <w:t>Huw George</w:t>
            </w:r>
            <w:r w:rsidR="00210AF6" w:rsidRPr="003E1752">
              <w:rPr>
                <w:rFonts w:ascii="Verdana" w:eastAsia="Verdana" w:hAnsi="Verdana"/>
                <w:sz w:val="24"/>
                <w:szCs w:val="24"/>
              </w:rPr>
              <w:t xml:space="preserve">, </w:t>
            </w:r>
            <w:r w:rsidR="00B052A7" w:rsidRPr="003E1752">
              <w:rPr>
                <w:rFonts w:ascii="Verdana" w:eastAsia="Verdana" w:hAnsi="Verdana"/>
                <w:sz w:val="24"/>
                <w:szCs w:val="24"/>
              </w:rPr>
              <w:t xml:space="preserve">Deputy </w:t>
            </w:r>
            <w:r w:rsidR="00210AF6" w:rsidRPr="003E1752">
              <w:rPr>
                <w:rFonts w:ascii="Verdana" w:eastAsia="Verdana" w:hAnsi="Verdana"/>
                <w:sz w:val="24"/>
                <w:szCs w:val="24"/>
              </w:rPr>
              <w:t>Chief Executive</w:t>
            </w:r>
            <w:r w:rsidR="00B052A7" w:rsidRPr="003E1752">
              <w:rPr>
                <w:rFonts w:ascii="Verdana" w:eastAsia="Verdana" w:hAnsi="Verdana"/>
                <w:sz w:val="24"/>
                <w:szCs w:val="24"/>
              </w:rPr>
              <w:t xml:space="preserve"> and Executive Defector of Finance and Operations </w:t>
            </w:r>
            <w:r w:rsidR="00210AF6" w:rsidRPr="003E1752">
              <w:rPr>
                <w:rFonts w:ascii="Verdana" w:eastAsia="Verdana" w:hAnsi="Verdana"/>
                <w:sz w:val="24"/>
                <w:szCs w:val="24"/>
              </w:rPr>
              <w:t xml:space="preserve"> </w:t>
            </w:r>
          </w:p>
        </w:tc>
      </w:tr>
      <w:tr w:rsidR="000A2ADC" w:rsidRPr="003E1752" w:rsidTr="00B052A7">
        <w:tc>
          <w:tcPr>
            <w:tcW w:w="2802" w:type="dxa"/>
            <w:gridSpan w:val="2"/>
          </w:tcPr>
          <w:p w:rsidR="000A2ADC" w:rsidRPr="003E1752" w:rsidRDefault="000A2ADC" w:rsidP="005D3867">
            <w:pPr>
              <w:rPr>
                <w:rFonts w:ascii="Verdana" w:hAnsi="Verdana"/>
                <w:b/>
                <w:sz w:val="24"/>
                <w:szCs w:val="24"/>
              </w:rPr>
            </w:pPr>
            <w:r w:rsidRPr="003E1752">
              <w:rPr>
                <w:rFonts w:ascii="Verdana" w:hAnsi="Verdana"/>
                <w:b/>
                <w:sz w:val="24"/>
                <w:szCs w:val="24"/>
              </w:rPr>
              <w:t>Author:</w:t>
            </w:r>
          </w:p>
        </w:tc>
        <w:tc>
          <w:tcPr>
            <w:tcW w:w="6214" w:type="dxa"/>
            <w:gridSpan w:val="5"/>
          </w:tcPr>
          <w:p w:rsidR="00D24212" w:rsidRPr="003E1752" w:rsidRDefault="00DC30EB" w:rsidP="00D24212">
            <w:pPr>
              <w:rPr>
                <w:rFonts w:ascii="Verdana" w:eastAsia="Verdana" w:hAnsi="Verdana"/>
                <w:sz w:val="24"/>
                <w:szCs w:val="24"/>
              </w:rPr>
            </w:pPr>
            <w:r w:rsidRPr="003E1752">
              <w:rPr>
                <w:rFonts w:ascii="Verdana" w:eastAsia="Verdana" w:hAnsi="Verdana"/>
                <w:sz w:val="24"/>
                <w:szCs w:val="24"/>
              </w:rPr>
              <w:t xml:space="preserve">Angela Fisher, Deputy Director and </w:t>
            </w:r>
            <w:r w:rsidR="00D24212" w:rsidRPr="003E1752">
              <w:rPr>
                <w:rFonts w:ascii="Verdana" w:eastAsia="Verdana" w:hAnsi="Verdana"/>
                <w:sz w:val="24"/>
                <w:szCs w:val="24"/>
              </w:rPr>
              <w:t>Head of Finance</w:t>
            </w:r>
          </w:p>
          <w:p w:rsidR="00DC30EB" w:rsidRPr="003E1752" w:rsidRDefault="00D24212" w:rsidP="00D24212">
            <w:pPr>
              <w:rPr>
                <w:rFonts w:ascii="Verdana" w:eastAsia="Verdana" w:hAnsi="Verdana"/>
                <w:sz w:val="24"/>
                <w:szCs w:val="24"/>
              </w:rPr>
            </w:pPr>
            <w:r w:rsidRPr="003E1752">
              <w:rPr>
                <w:rFonts w:ascii="Verdana" w:eastAsia="Verdana" w:hAnsi="Verdana"/>
                <w:sz w:val="24"/>
                <w:szCs w:val="24"/>
              </w:rPr>
              <w:t>Suzanne David, Senior Finance Business Partner</w:t>
            </w:r>
            <w:r w:rsidR="00DC30EB" w:rsidRPr="003E1752">
              <w:rPr>
                <w:rFonts w:ascii="Verdana" w:eastAsia="Verdana" w:hAnsi="Verdana"/>
                <w:sz w:val="24"/>
                <w:szCs w:val="24"/>
              </w:rPr>
              <w:t xml:space="preserve"> </w:t>
            </w:r>
          </w:p>
        </w:tc>
      </w:tr>
      <w:tr w:rsidR="000A2ADC" w:rsidRPr="003E1752" w:rsidTr="00B052A7">
        <w:trPr>
          <w:trHeight w:val="149"/>
        </w:trPr>
        <w:tc>
          <w:tcPr>
            <w:tcW w:w="2802" w:type="dxa"/>
            <w:gridSpan w:val="2"/>
            <w:tcBorders>
              <w:left w:val="nil"/>
              <w:right w:val="nil"/>
            </w:tcBorders>
          </w:tcPr>
          <w:p w:rsidR="000A2ADC" w:rsidRPr="003E1752" w:rsidRDefault="000A2ADC" w:rsidP="005D3867">
            <w:pPr>
              <w:rPr>
                <w:rFonts w:ascii="Verdana" w:hAnsi="Verdana"/>
                <w:b/>
                <w:sz w:val="24"/>
                <w:szCs w:val="24"/>
                <w:highlight w:val="magenta"/>
              </w:rPr>
            </w:pPr>
          </w:p>
        </w:tc>
        <w:tc>
          <w:tcPr>
            <w:tcW w:w="6214" w:type="dxa"/>
            <w:gridSpan w:val="5"/>
            <w:tcBorders>
              <w:left w:val="nil"/>
              <w:right w:val="nil"/>
            </w:tcBorders>
          </w:tcPr>
          <w:p w:rsidR="000A2ADC" w:rsidRPr="003E1752" w:rsidRDefault="000A2ADC" w:rsidP="005D3867">
            <w:pPr>
              <w:rPr>
                <w:rFonts w:ascii="Verdana" w:hAnsi="Verdana"/>
                <w:sz w:val="24"/>
                <w:szCs w:val="24"/>
                <w:highlight w:val="magenta"/>
              </w:rPr>
            </w:pPr>
          </w:p>
        </w:tc>
      </w:tr>
      <w:tr w:rsidR="000A2ADC" w:rsidRPr="003E1752" w:rsidTr="00B052A7">
        <w:tc>
          <w:tcPr>
            <w:tcW w:w="2802" w:type="dxa"/>
            <w:gridSpan w:val="2"/>
          </w:tcPr>
          <w:p w:rsidR="000A2ADC" w:rsidRPr="003E1752" w:rsidRDefault="000A2ADC" w:rsidP="005D3867">
            <w:pPr>
              <w:rPr>
                <w:rFonts w:ascii="Verdana" w:hAnsi="Verdana"/>
                <w:b/>
                <w:sz w:val="24"/>
                <w:szCs w:val="24"/>
              </w:rPr>
            </w:pPr>
            <w:r w:rsidRPr="003E1752">
              <w:rPr>
                <w:rFonts w:ascii="Verdana" w:hAnsi="Verdana"/>
                <w:b/>
                <w:sz w:val="24"/>
                <w:szCs w:val="24"/>
              </w:rPr>
              <w:t>Approval/Scrutiny route:</w:t>
            </w:r>
          </w:p>
        </w:tc>
        <w:tc>
          <w:tcPr>
            <w:tcW w:w="6214" w:type="dxa"/>
            <w:gridSpan w:val="5"/>
          </w:tcPr>
          <w:p w:rsidR="000A2ADC" w:rsidRDefault="006173F8" w:rsidP="00854D09">
            <w:pPr>
              <w:rPr>
                <w:rFonts w:ascii="Verdana" w:eastAsia="Verdana" w:hAnsi="Verdana"/>
                <w:sz w:val="24"/>
                <w:szCs w:val="24"/>
              </w:rPr>
            </w:pPr>
            <w:r w:rsidRPr="003E1752">
              <w:rPr>
                <w:rFonts w:ascii="Verdana" w:eastAsia="Verdana" w:hAnsi="Verdana"/>
                <w:sz w:val="24"/>
                <w:szCs w:val="24"/>
              </w:rPr>
              <w:t xml:space="preserve">Huw George, Deputy Chief Executive and Executive Defector of Finance and Operations  </w:t>
            </w:r>
          </w:p>
          <w:p w:rsidR="004E2FBB" w:rsidRPr="003E1752" w:rsidRDefault="004E2FBB" w:rsidP="00854D09">
            <w:pPr>
              <w:rPr>
                <w:rFonts w:ascii="Verdana" w:eastAsia="Verdana" w:hAnsi="Verdana"/>
                <w:b/>
                <w:sz w:val="24"/>
                <w:szCs w:val="24"/>
              </w:rPr>
            </w:pPr>
            <w:r>
              <w:rPr>
                <w:rFonts w:ascii="Verdana" w:eastAsia="Verdana" w:hAnsi="Verdana"/>
                <w:sz w:val="24"/>
                <w:szCs w:val="24"/>
              </w:rPr>
              <w:t>Business Executive Team (16.1.23)</w:t>
            </w:r>
            <w:bookmarkStart w:id="0" w:name="_GoBack"/>
            <w:bookmarkEnd w:id="0"/>
          </w:p>
        </w:tc>
      </w:tr>
      <w:tr w:rsidR="000A2ADC" w:rsidRPr="003E1752" w:rsidTr="00B052A7">
        <w:tc>
          <w:tcPr>
            <w:tcW w:w="9016" w:type="dxa"/>
            <w:gridSpan w:val="7"/>
            <w:tcBorders>
              <w:left w:val="nil"/>
              <w:bottom w:val="single" w:sz="4" w:space="0" w:color="auto"/>
              <w:right w:val="nil"/>
            </w:tcBorders>
          </w:tcPr>
          <w:p w:rsidR="000A2ADC" w:rsidRPr="003E1752" w:rsidRDefault="000A2ADC" w:rsidP="005D3867">
            <w:pPr>
              <w:rPr>
                <w:rFonts w:ascii="Verdana" w:hAnsi="Verdana"/>
                <w:b/>
                <w:sz w:val="24"/>
                <w:szCs w:val="24"/>
                <w:highlight w:val="magenta"/>
              </w:rPr>
            </w:pPr>
          </w:p>
        </w:tc>
      </w:tr>
      <w:tr w:rsidR="000A2ADC" w:rsidRPr="003E1752" w:rsidTr="003E1752">
        <w:tc>
          <w:tcPr>
            <w:tcW w:w="9016" w:type="dxa"/>
            <w:gridSpan w:val="7"/>
            <w:tcBorders>
              <w:left w:val="single" w:sz="4" w:space="0" w:color="auto"/>
              <w:right w:val="single" w:sz="4" w:space="0" w:color="auto"/>
            </w:tcBorders>
            <w:shd w:val="clear" w:color="auto" w:fill="auto"/>
          </w:tcPr>
          <w:p w:rsidR="000A2ADC" w:rsidRPr="00847CCF" w:rsidRDefault="000A2ADC" w:rsidP="005D3867">
            <w:pPr>
              <w:rPr>
                <w:rFonts w:ascii="Verdana" w:hAnsi="Verdana"/>
                <w:b/>
                <w:sz w:val="24"/>
                <w:szCs w:val="24"/>
              </w:rPr>
            </w:pPr>
            <w:r w:rsidRPr="00847CCF">
              <w:rPr>
                <w:rFonts w:ascii="Verdana" w:hAnsi="Verdana"/>
                <w:b/>
                <w:sz w:val="24"/>
                <w:szCs w:val="24"/>
              </w:rPr>
              <w:t>Purpose</w:t>
            </w:r>
          </w:p>
        </w:tc>
      </w:tr>
      <w:tr w:rsidR="000A2ADC" w:rsidRPr="000411A5" w:rsidTr="003E1752">
        <w:tc>
          <w:tcPr>
            <w:tcW w:w="9016" w:type="dxa"/>
            <w:gridSpan w:val="7"/>
            <w:tcBorders>
              <w:left w:val="single" w:sz="4" w:space="0" w:color="auto"/>
              <w:right w:val="single" w:sz="4" w:space="0" w:color="auto"/>
            </w:tcBorders>
            <w:shd w:val="clear" w:color="auto" w:fill="auto"/>
          </w:tcPr>
          <w:p w:rsidR="00E51505" w:rsidRPr="00847CCF" w:rsidRDefault="00B931D2" w:rsidP="00E51505">
            <w:pPr>
              <w:tabs>
                <w:tab w:val="left" w:pos="447"/>
              </w:tabs>
              <w:contextualSpacing/>
              <w:jc w:val="both"/>
              <w:rPr>
                <w:rFonts w:ascii="Verdana" w:eastAsia="Verdana" w:hAnsi="Verdana"/>
                <w:sz w:val="24"/>
                <w:szCs w:val="24"/>
              </w:rPr>
            </w:pPr>
            <w:r w:rsidRPr="00847CCF">
              <w:rPr>
                <w:rFonts w:ascii="Verdana" w:eastAsia="Verdana" w:hAnsi="Verdana"/>
                <w:sz w:val="24"/>
                <w:szCs w:val="24"/>
              </w:rPr>
              <w:t xml:space="preserve">The purpose of this report is to outline to the Executive Team and the Board </w:t>
            </w:r>
            <w:r w:rsidR="00A6581A" w:rsidRPr="00847CCF">
              <w:rPr>
                <w:rFonts w:ascii="Verdana" w:eastAsia="Verdana" w:hAnsi="Verdana"/>
                <w:sz w:val="24"/>
                <w:szCs w:val="24"/>
              </w:rPr>
              <w:t xml:space="preserve">the revenue and capital position </w:t>
            </w:r>
            <w:r w:rsidR="009107BF" w:rsidRPr="00847CCF">
              <w:rPr>
                <w:rFonts w:ascii="Verdana" w:eastAsia="Verdana" w:hAnsi="Verdana"/>
                <w:sz w:val="24"/>
                <w:szCs w:val="24"/>
              </w:rPr>
              <w:t xml:space="preserve">as at </w:t>
            </w:r>
            <w:r w:rsidR="00A9703B" w:rsidRPr="00847CCF">
              <w:rPr>
                <w:rFonts w:ascii="Verdana" w:hAnsi="Verdana" w:cs="Arial"/>
              </w:rPr>
              <w:t>3</w:t>
            </w:r>
            <w:r w:rsidR="00A9703B">
              <w:rPr>
                <w:rFonts w:ascii="Verdana" w:hAnsi="Verdana" w:cs="Arial"/>
              </w:rPr>
              <w:t>1</w:t>
            </w:r>
            <w:r w:rsidR="00A9703B">
              <w:rPr>
                <w:rFonts w:ascii="Verdana" w:hAnsi="Verdana" w:cs="Arial"/>
                <w:vertAlign w:val="superscript"/>
              </w:rPr>
              <w:t>st</w:t>
            </w:r>
            <w:r w:rsidR="00847CCF" w:rsidRPr="00847CCF">
              <w:rPr>
                <w:rFonts w:ascii="Verdana" w:eastAsia="Verdana" w:hAnsi="Verdana"/>
                <w:sz w:val="24"/>
                <w:szCs w:val="24"/>
              </w:rPr>
              <w:t xml:space="preserve"> </w:t>
            </w:r>
            <w:r w:rsidR="00A9703B">
              <w:rPr>
                <w:rFonts w:ascii="Verdana" w:eastAsia="Verdana" w:hAnsi="Verdana"/>
                <w:sz w:val="24"/>
                <w:szCs w:val="24"/>
              </w:rPr>
              <w:t>December</w:t>
            </w:r>
            <w:r w:rsidR="00342BDF" w:rsidRPr="00847CCF">
              <w:rPr>
                <w:rFonts w:ascii="Verdana" w:eastAsia="Verdana" w:hAnsi="Verdana"/>
                <w:sz w:val="24"/>
                <w:szCs w:val="24"/>
              </w:rPr>
              <w:t xml:space="preserve"> 2022</w:t>
            </w:r>
            <w:r w:rsidR="00250028" w:rsidRPr="00847CCF">
              <w:rPr>
                <w:rFonts w:ascii="Verdana" w:eastAsia="Verdana" w:hAnsi="Verdana"/>
                <w:sz w:val="24"/>
                <w:szCs w:val="24"/>
              </w:rPr>
              <w:t xml:space="preserve"> (M</w:t>
            </w:r>
            <w:r w:rsidR="00A9703B">
              <w:rPr>
                <w:rFonts w:ascii="Verdana" w:eastAsia="Verdana" w:hAnsi="Verdana"/>
                <w:sz w:val="24"/>
                <w:szCs w:val="24"/>
              </w:rPr>
              <w:t>9</w:t>
            </w:r>
            <w:r w:rsidR="00250028" w:rsidRPr="00847CCF">
              <w:rPr>
                <w:rFonts w:ascii="Verdana" w:eastAsia="Verdana" w:hAnsi="Verdana"/>
                <w:sz w:val="24"/>
                <w:szCs w:val="24"/>
              </w:rPr>
              <w:t>)</w:t>
            </w:r>
            <w:r w:rsidR="00E51505" w:rsidRPr="00847CCF">
              <w:rPr>
                <w:rFonts w:ascii="Verdana" w:eastAsia="Verdana" w:hAnsi="Verdana"/>
                <w:sz w:val="24"/>
                <w:szCs w:val="24"/>
              </w:rPr>
              <w:t>, which</w:t>
            </w:r>
            <w:r w:rsidRPr="00847CCF">
              <w:rPr>
                <w:rFonts w:ascii="Verdana" w:eastAsia="Verdana" w:hAnsi="Verdana"/>
                <w:sz w:val="24"/>
                <w:szCs w:val="24"/>
              </w:rPr>
              <w:t xml:space="preserve"> includ</w:t>
            </w:r>
            <w:r w:rsidR="00E51505" w:rsidRPr="00847CCF">
              <w:rPr>
                <w:rFonts w:ascii="Verdana" w:eastAsia="Verdana" w:hAnsi="Verdana"/>
                <w:sz w:val="24"/>
                <w:szCs w:val="24"/>
              </w:rPr>
              <w:t>es</w:t>
            </w:r>
            <w:r w:rsidRPr="00847CCF">
              <w:rPr>
                <w:rFonts w:ascii="Verdana" w:eastAsia="Verdana" w:hAnsi="Verdana"/>
                <w:sz w:val="24"/>
                <w:szCs w:val="24"/>
              </w:rPr>
              <w:t xml:space="preserve"> </w:t>
            </w:r>
            <w:r w:rsidR="00E51505" w:rsidRPr="00847CCF">
              <w:rPr>
                <w:rFonts w:ascii="Verdana" w:eastAsia="Verdana" w:hAnsi="Verdana"/>
                <w:sz w:val="24"/>
                <w:szCs w:val="24"/>
              </w:rPr>
              <w:t>the</w:t>
            </w:r>
            <w:r w:rsidRPr="00847CCF">
              <w:rPr>
                <w:rFonts w:ascii="Verdana" w:eastAsia="Verdana" w:hAnsi="Verdana"/>
                <w:sz w:val="24"/>
                <w:szCs w:val="24"/>
              </w:rPr>
              <w:t xml:space="preserve"> position on COVID-19</w:t>
            </w:r>
            <w:r w:rsidR="00E51505" w:rsidRPr="00847CCF">
              <w:rPr>
                <w:rFonts w:ascii="Verdana" w:eastAsia="Verdana" w:hAnsi="Verdana"/>
                <w:sz w:val="24"/>
                <w:szCs w:val="24"/>
              </w:rPr>
              <w:t>.</w:t>
            </w:r>
          </w:p>
          <w:p w:rsidR="00D24212" w:rsidRPr="00847CCF" w:rsidRDefault="00B931D2" w:rsidP="00E51505">
            <w:pPr>
              <w:tabs>
                <w:tab w:val="left" w:pos="447"/>
              </w:tabs>
              <w:contextualSpacing/>
              <w:jc w:val="both"/>
              <w:rPr>
                <w:rFonts w:ascii="Verdana" w:eastAsia="Symbol" w:hAnsi="Verdana"/>
                <w:b/>
                <w:sz w:val="24"/>
                <w:szCs w:val="24"/>
              </w:rPr>
            </w:pPr>
            <w:r w:rsidRPr="00847CCF">
              <w:rPr>
                <w:rFonts w:ascii="Verdana" w:eastAsia="Verdana" w:hAnsi="Verdana"/>
                <w:sz w:val="24"/>
                <w:szCs w:val="24"/>
              </w:rPr>
              <w:t xml:space="preserve">  </w:t>
            </w:r>
          </w:p>
        </w:tc>
      </w:tr>
      <w:tr w:rsidR="000A2ADC" w:rsidRPr="000411A5" w:rsidTr="00B052A7">
        <w:tc>
          <w:tcPr>
            <w:tcW w:w="9016" w:type="dxa"/>
            <w:gridSpan w:val="7"/>
            <w:tcBorders>
              <w:left w:val="nil"/>
              <w:right w:val="nil"/>
            </w:tcBorders>
          </w:tcPr>
          <w:p w:rsidR="000A2ADC" w:rsidRPr="000411A5" w:rsidRDefault="000A2ADC" w:rsidP="005D3867">
            <w:pPr>
              <w:rPr>
                <w:rFonts w:ascii="Verdana" w:hAnsi="Verdana"/>
                <w:b/>
                <w:sz w:val="24"/>
                <w:szCs w:val="24"/>
                <w:highlight w:val="magenta"/>
              </w:rPr>
            </w:pPr>
          </w:p>
        </w:tc>
      </w:tr>
      <w:tr w:rsidR="000A2ADC" w:rsidRPr="000411A5" w:rsidTr="00B052A7">
        <w:tc>
          <w:tcPr>
            <w:tcW w:w="9016" w:type="dxa"/>
            <w:gridSpan w:val="7"/>
          </w:tcPr>
          <w:p w:rsidR="000A2ADC" w:rsidRPr="00847CCF" w:rsidRDefault="000A2ADC" w:rsidP="005D3867">
            <w:pPr>
              <w:rPr>
                <w:rFonts w:ascii="Verdana" w:hAnsi="Verdana"/>
                <w:b/>
                <w:sz w:val="24"/>
                <w:szCs w:val="24"/>
              </w:rPr>
            </w:pPr>
            <w:r w:rsidRPr="00847CCF">
              <w:rPr>
                <w:rFonts w:ascii="Verdana" w:hAnsi="Verdana"/>
                <w:b/>
                <w:sz w:val="24"/>
                <w:szCs w:val="24"/>
              </w:rPr>
              <w:t>Recommendation:</w:t>
            </w:r>
          </w:p>
        </w:tc>
      </w:tr>
      <w:tr w:rsidR="000A2ADC" w:rsidRPr="000411A5" w:rsidTr="00B052A7">
        <w:tc>
          <w:tcPr>
            <w:tcW w:w="1848" w:type="dxa"/>
            <w:tcBorders>
              <w:bottom w:val="single" w:sz="4" w:space="0" w:color="auto"/>
            </w:tcBorders>
          </w:tcPr>
          <w:p w:rsidR="000A2ADC" w:rsidRPr="00847CCF" w:rsidRDefault="000A2ADC" w:rsidP="005D3867">
            <w:pPr>
              <w:jc w:val="center"/>
              <w:rPr>
                <w:rFonts w:ascii="Verdana" w:hAnsi="Verdana"/>
                <w:sz w:val="24"/>
                <w:szCs w:val="24"/>
              </w:rPr>
            </w:pPr>
            <w:r w:rsidRPr="00847CCF">
              <w:rPr>
                <w:rFonts w:ascii="Verdana" w:hAnsi="Verdana"/>
                <w:sz w:val="24"/>
                <w:szCs w:val="24"/>
              </w:rPr>
              <w:t>APPROVE</w:t>
            </w:r>
          </w:p>
          <w:p w:rsidR="000A2ADC" w:rsidRPr="00847CCF" w:rsidRDefault="00A476DA" w:rsidP="005D3867">
            <w:pPr>
              <w:jc w:val="center"/>
              <w:rPr>
                <w:rFonts w:ascii="Verdana" w:hAnsi="Verdana"/>
                <w:sz w:val="24"/>
                <w:szCs w:val="24"/>
              </w:rPr>
            </w:pPr>
            <w:r w:rsidRPr="00847CCF">
              <w:rPr>
                <w:rFonts w:ascii="Verdana" w:hAnsi="Verdana"/>
                <w:sz w:val="24"/>
                <w:szCs w:val="24"/>
              </w:rPr>
              <w:fldChar w:fldCharType="begin">
                <w:ffData>
                  <w:name w:val="Check1"/>
                  <w:enabled w:val="0"/>
                  <w:calcOnExit w:val="0"/>
                  <w:checkBox>
                    <w:sizeAuto/>
                    <w:default w:val="0"/>
                  </w:checkBox>
                </w:ffData>
              </w:fldChar>
            </w:r>
            <w:bookmarkStart w:id="1" w:name="Check1"/>
            <w:r w:rsidRPr="00847CCF">
              <w:rPr>
                <w:rFonts w:ascii="Verdana" w:hAnsi="Verdana"/>
                <w:sz w:val="24"/>
                <w:szCs w:val="24"/>
              </w:rPr>
              <w:instrText xml:space="preserve"> FORMCHECKBOX </w:instrText>
            </w:r>
            <w:r w:rsidR="004E2FBB">
              <w:rPr>
                <w:rFonts w:ascii="Verdana" w:hAnsi="Verdana"/>
                <w:sz w:val="24"/>
                <w:szCs w:val="24"/>
              </w:rPr>
            </w:r>
            <w:r w:rsidR="004E2FBB">
              <w:rPr>
                <w:rFonts w:ascii="Verdana" w:hAnsi="Verdana"/>
                <w:sz w:val="24"/>
                <w:szCs w:val="24"/>
              </w:rPr>
              <w:fldChar w:fldCharType="separate"/>
            </w:r>
            <w:r w:rsidRPr="00847CCF">
              <w:rPr>
                <w:rFonts w:ascii="Verdana" w:hAnsi="Verdana"/>
                <w:sz w:val="24"/>
                <w:szCs w:val="24"/>
              </w:rPr>
              <w:fldChar w:fldCharType="end"/>
            </w:r>
            <w:bookmarkEnd w:id="1"/>
          </w:p>
        </w:tc>
        <w:tc>
          <w:tcPr>
            <w:tcW w:w="1848" w:type="dxa"/>
            <w:gridSpan w:val="2"/>
            <w:tcBorders>
              <w:bottom w:val="single" w:sz="4" w:space="0" w:color="auto"/>
            </w:tcBorders>
          </w:tcPr>
          <w:p w:rsidR="000A2ADC" w:rsidRPr="00847CCF" w:rsidRDefault="000A2ADC" w:rsidP="005D3867">
            <w:pPr>
              <w:jc w:val="center"/>
              <w:rPr>
                <w:rFonts w:ascii="Verdana" w:hAnsi="Verdana"/>
                <w:sz w:val="24"/>
                <w:szCs w:val="24"/>
              </w:rPr>
            </w:pPr>
            <w:r w:rsidRPr="00847CCF">
              <w:rPr>
                <w:rFonts w:ascii="Verdana" w:hAnsi="Verdana"/>
                <w:sz w:val="24"/>
                <w:szCs w:val="24"/>
              </w:rPr>
              <w:t>CONSIDER</w:t>
            </w:r>
          </w:p>
          <w:p w:rsidR="000A2ADC" w:rsidRPr="00847CCF" w:rsidRDefault="003F6142" w:rsidP="005D3867">
            <w:pPr>
              <w:jc w:val="center"/>
              <w:rPr>
                <w:rFonts w:ascii="Verdana" w:hAnsi="Verdana"/>
                <w:sz w:val="24"/>
                <w:szCs w:val="24"/>
              </w:rPr>
            </w:pPr>
            <w:r w:rsidRPr="00847CCF">
              <w:rPr>
                <w:rFonts w:ascii="Verdana" w:hAnsi="Verdana"/>
                <w:sz w:val="24"/>
                <w:szCs w:val="24"/>
              </w:rPr>
              <w:fldChar w:fldCharType="begin">
                <w:ffData>
                  <w:name w:val="Check2"/>
                  <w:enabled/>
                  <w:calcOnExit w:val="0"/>
                  <w:checkBox>
                    <w:sizeAuto/>
                    <w:default w:val="1"/>
                  </w:checkBox>
                </w:ffData>
              </w:fldChar>
            </w:r>
            <w:r w:rsidRPr="00847CCF">
              <w:rPr>
                <w:rFonts w:ascii="Verdana" w:hAnsi="Verdana"/>
                <w:sz w:val="24"/>
                <w:szCs w:val="24"/>
              </w:rPr>
              <w:instrText xml:space="preserve"> </w:instrText>
            </w:r>
            <w:bookmarkStart w:id="2" w:name="Check2"/>
            <w:r w:rsidRPr="00847CCF">
              <w:rPr>
                <w:rFonts w:ascii="Verdana" w:hAnsi="Verdana"/>
                <w:sz w:val="24"/>
                <w:szCs w:val="24"/>
              </w:rPr>
              <w:instrText xml:space="preserve">FORMCHECKBOX </w:instrText>
            </w:r>
            <w:r w:rsidR="004E2FBB">
              <w:rPr>
                <w:rFonts w:ascii="Verdana" w:hAnsi="Verdana"/>
                <w:sz w:val="24"/>
                <w:szCs w:val="24"/>
              </w:rPr>
            </w:r>
            <w:r w:rsidR="004E2FBB">
              <w:rPr>
                <w:rFonts w:ascii="Verdana" w:hAnsi="Verdana"/>
                <w:sz w:val="24"/>
                <w:szCs w:val="24"/>
              </w:rPr>
              <w:fldChar w:fldCharType="separate"/>
            </w:r>
            <w:r w:rsidRPr="00847CCF">
              <w:rPr>
                <w:rFonts w:ascii="Verdana" w:hAnsi="Verdana"/>
                <w:sz w:val="24"/>
                <w:szCs w:val="24"/>
              </w:rPr>
              <w:fldChar w:fldCharType="end"/>
            </w:r>
            <w:bookmarkEnd w:id="2"/>
          </w:p>
        </w:tc>
        <w:tc>
          <w:tcPr>
            <w:tcW w:w="1840" w:type="dxa"/>
            <w:gridSpan w:val="2"/>
            <w:tcBorders>
              <w:bottom w:val="single" w:sz="4" w:space="0" w:color="auto"/>
            </w:tcBorders>
          </w:tcPr>
          <w:p w:rsidR="000A2ADC" w:rsidRPr="00847CCF" w:rsidRDefault="000A2ADC" w:rsidP="005D3867">
            <w:pPr>
              <w:jc w:val="center"/>
              <w:rPr>
                <w:rFonts w:ascii="Verdana" w:hAnsi="Verdana"/>
                <w:sz w:val="24"/>
                <w:szCs w:val="24"/>
              </w:rPr>
            </w:pPr>
            <w:r w:rsidRPr="00847CCF">
              <w:rPr>
                <w:rFonts w:ascii="Verdana" w:hAnsi="Verdana"/>
                <w:sz w:val="24"/>
                <w:szCs w:val="24"/>
              </w:rPr>
              <w:t>RECOMMEND</w:t>
            </w:r>
          </w:p>
          <w:p w:rsidR="000A2ADC" w:rsidRPr="00847CCF" w:rsidRDefault="000A2ADC" w:rsidP="005D3867">
            <w:pPr>
              <w:jc w:val="center"/>
              <w:rPr>
                <w:rFonts w:ascii="Verdana" w:hAnsi="Verdana"/>
                <w:sz w:val="24"/>
                <w:szCs w:val="24"/>
              </w:rPr>
            </w:pPr>
            <w:r w:rsidRPr="00847CCF">
              <w:rPr>
                <w:rFonts w:ascii="Verdana" w:hAnsi="Verdana"/>
                <w:sz w:val="24"/>
                <w:szCs w:val="24"/>
              </w:rPr>
              <w:fldChar w:fldCharType="begin">
                <w:ffData>
                  <w:name w:val="Check3"/>
                  <w:enabled/>
                  <w:calcOnExit w:val="0"/>
                  <w:checkBox>
                    <w:sizeAuto/>
                    <w:default w:val="0"/>
                  </w:checkBox>
                </w:ffData>
              </w:fldChar>
            </w:r>
            <w:bookmarkStart w:id="3" w:name="Check3"/>
            <w:r w:rsidRPr="00847CCF">
              <w:rPr>
                <w:rFonts w:ascii="Verdana" w:hAnsi="Verdana"/>
                <w:sz w:val="24"/>
                <w:szCs w:val="24"/>
              </w:rPr>
              <w:instrText xml:space="preserve"> FORMCHECKBOX </w:instrText>
            </w:r>
            <w:r w:rsidR="004E2FBB">
              <w:rPr>
                <w:rFonts w:ascii="Verdana" w:hAnsi="Verdana"/>
                <w:sz w:val="24"/>
                <w:szCs w:val="24"/>
              </w:rPr>
            </w:r>
            <w:r w:rsidR="004E2FBB">
              <w:rPr>
                <w:rFonts w:ascii="Verdana" w:hAnsi="Verdana"/>
                <w:sz w:val="24"/>
                <w:szCs w:val="24"/>
              </w:rPr>
              <w:fldChar w:fldCharType="separate"/>
            </w:r>
            <w:r w:rsidRPr="00847CCF">
              <w:rPr>
                <w:rFonts w:ascii="Verdana" w:hAnsi="Verdana"/>
                <w:sz w:val="24"/>
                <w:szCs w:val="24"/>
              </w:rPr>
              <w:fldChar w:fldCharType="end"/>
            </w:r>
            <w:bookmarkEnd w:id="3"/>
          </w:p>
        </w:tc>
        <w:tc>
          <w:tcPr>
            <w:tcW w:w="1662" w:type="dxa"/>
            <w:tcBorders>
              <w:bottom w:val="single" w:sz="4" w:space="0" w:color="auto"/>
            </w:tcBorders>
          </w:tcPr>
          <w:p w:rsidR="000A2ADC" w:rsidRPr="00847CCF" w:rsidRDefault="000A2ADC" w:rsidP="005D3867">
            <w:pPr>
              <w:jc w:val="center"/>
              <w:rPr>
                <w:rFonts w:ascii="Verdana" w:hAnsi="Verdana"/>
                <w:sz w:val="24"/>
                <w:szCs w:val="24"/>
              </w:rPr>
            </w:pPr>
            <w:r w:rsidRPr="00847CCF">
              <w:rPr>
                <w:rFonts w:ascii="Verdana" w:hAnsi="Verdana"/>
                <w:sz w:val="24"/>
                <w:szCs w:val="24"/>
              </w:rPr>
              <w:t>ADOPT</w:t>
            </w:r>
          </w:p>
          <w:p w:rsidR="000A2ADC" w:rsidRPr="00847CCF" w:rsidRDefault="000A2ADC" w:rsidP="005D3867">
            <w:pPr>
              <w:jc w:val="center"/>
              <w:rPr>
                <w:rFonts w:ascii="Verdana" w:hAnsi="Verdana"/>
                <w:sz w:val="24"/>
                <w:szCs w:val="24"/>
              </w:rPr>
            </w:pPr>
            <w:r w:rsidRPr="00847CCF">
              <w:rPr>
                <w:rFonts w:ascii="Verdana" w:hAnsi="Verdana"/>
                <w:sz w:val="24"/>
                <w:szCs w:val="24"/>
              </w:rPr>
              <w:fldChar w:fldCharType="begin">
                <w:ffData>
                  <w:name w:val="Check4"/>
                  <w:enabled/>
                  <w:calcOnExit w:val="0"/>
                  <w:checkBox>
                    <w:sizeAuto/>
                    <w:default w:val="0"/>
                  </w:checkBox>
                </w:ffData>
              </w:fldChar>
            </w:r>
            <w:bookmarkStart w:id="4" w:name="Check4"/>
            <w:r w:rsidRPr="00847CCF">
              <w:rPr>
                <w:rFonts w:ascii="Verdana" w:hAnsi="Verdana"/>
                <w:sz w:val="24"/>
                <w:szCs w:val="24"/>
              </w:rPr>
              <w:instrText xml:space="preserve"> FORMCHECKBOX </w:instrText>
            </w:r>
            <w:r w:rsidR="004E2FBB">
              <w:rPr>
                <w:rFonts w:ascii="Verdana" w:hAnsi="Verdana"/>
                <w:sz w:val="24"/>
                <w:szCs w:val="24"/>
              </w:rPr>
            </w:r>
            <w:r w:rsidR="004E2FBB">
              <w:rPr>
                <w:rFonts w:ascii="Verdana" w:hAnsi="Verdana"/>
                <w:sz w:val="24"/>
                <w:szCs w:val="24"/>
              </w:rPr>
              <w:fldChar w:fldCharType="separate"/>
            </w:r>
            <w:r w:rsidRPr="00847CCF">
              <w:rPr>
                <w:rFonts w:ascii="Verdana" w:hAnsi="Verdana"/>
                <w:sz w:val="24"/>
                <w:szCs w:val="24"/>
              </w:rPr>
              <w:fldChar w:fldCharType="end"/>
            </w:r>
            <w:bookmarkEnd w:id="4"/>
          </w:p>
        </w:tc>
        <w:tc>
          <w:tcPr>
            <w:tcW w:w="1818" w:type="dxa"/>
            <w:tcBorders>
              <w:bottom w:val="single" w:sz="4" w:space="0" w:color="auto"/>
            </w:tcBorders>
          </w:tcPr>
          <w:p w:rsidR="000A2ADC" w:rsidRPr="00847CCF" w:rsidRDefault="000A2ADC" w:rsidP="005D3867">
            <w:pPr>
              <w:jc w:val="center"/>
              <w:rPr>
                <w:rFonts w:ascii="Verdana" w:hAnsi="Verdana"/>
                <w:sz w:val="24"/>
                <w:szCs w:val="24"/>
              </w:rPr>
            </w:pPr>
            <w:r w:rsidRPr="00847CCF">
              <w:rPr>
                <w:rFonts w:ascii="Verdana" w:hAnsi="Verdana"/>
                <w:sz w:val="24"/>
                <w:szCs w:val="24"/>
              </w:rPr>
              <w:t>ASSURANCE</w:t>
            </w:r>
          </w:p>
          <w:p w:rsidR="000A2ADC" w:rsidRPr="00847CCF" w:rsidRDefault="00210AF6" w:rsidP="005D3867">
            <w:pPr>
              <w:jc w:val="center"/>
              <w:rPr>
                <w:rFonts w:ascii="Verdana" w:hAnsi="Verdana"/>
                <w:sz w:val="24"/>
                <w:szCs w:val="24"/>
              </w:rPr>
            </w:pPr>
            <w:r w:rsidRPr="00847CCF">
              <w:rPr>
                <w:rFonts w:ascii="Verdana" w:hAnsi="Verdana"/>
                <w:sz w:val="24"/>
                <w:szCs w:val="24"/>
              </w:rPr>
              <w:fldChar w:fldCharType="begin">
                <w:ffData>
                  <w:name w:val="Check5"/>
                  <w:enabled/>
                  <w:calcOnExit w:val="0"/>
                  <w:checkBox>
                    <w:sizeAuto/>
                    <w:default w:val="0"/>
                  </w:checkBox>
                </w:ffData>
              </w:fldChar>
            </w:r>
            <w:bookmarkStart w:id="5" w:name="Check5"/>
            <w:r w:rsidRPr="00847CCF">
              <w:rPr>
                <w:rFonts w:ascii="Verdana" w:hAnsi="Verdana"/>
                <w:sz w:val="24"/>
                <w:szCs w:val="24"/>
              </w:rPr>
              <w:instrText xml:space="preserve"> FORMCHECKBOX </w:instrText>
            </w:r>
            <w:r w:rsidR="004E2FBB">
              <w:rPr>
                <w:rFonts w:ascii="Verdana" w:hAnsi="Verdana"/>
                <w:sz w:val="24"/>
                <w:szCs w:val="24"/>
              </w:rPr>
            </w:r>
            <w:r w:rsidR="004E2FBB">
              <w:rPr>
                <w:rFonts w:ascii="Verdana" w:hAnsi="Verdana"/>
                <w:sz w:val="24"/>
                <w:szCs w:val="24"/>
              </w:rPr>
              <w:fldChar w:fldCharType="separate"/>
            </w:r>
            <w:r w:rsidRPr="00847CCF">
              <w:rPr>
                <w:rFonts w:ascii="Verdana" w:hAnsi="Verdana"/>
                <w:sz w:val="24"/>
                <w:szCs w:val="24"/>
              </w:rPr>
              <w:fldChar w:fldCharType="end"/>
            </w:r>
            <w:bookmarkEnd w:id="5"/>
          </w:p>
        </w:tc>
      </w:tr>
      <w:tr w:rsidR="000A2ADC" w:rsidRPr="000411A5" w:rsidTr="00B052A7">
        <w:tc>
          <w:tcPr>
            <w:tcW w:w="9016" w:type="dxa"/>
            <w:gridSpan w:val="7"/>
            <w:tcBorders>
              <w:bottom w:val="single" w:sz="4" w:space="0" w:color="auto"/>
            </w:tcBorders>
          </w:tcPr>
          <w:p w:rsidR="00210AF6" w:rsidRPr="00847CCF" w:rsidRDefault="00D24212" w:rsidP="00210AF6">
            <w:pPr>
              <w:rPr>
                <w:rFonts w:ascii="Verdana" w:eastAsia="Times New Roman" w:hAnsi="Verdana"/>
                <w:sz w:val="24"/>
                <w:szCs w:val="24"/>
              </w:rPr>
            </w:pPr>
            <w:r w:rsidRPr="00847CCF">
              <w:rPr>
                <w:rFonts w:ascii="Verdana" w:eastAsia="Times New Roman" w:hAnsi="Verdana"/>
                <w:sz w:val="24"/>
                <w:szCs w:val="24"/>
              </w:rPr>
              <w:t>T</w:t>
            </w:r>
            <w:r w:rsidR="00210AF6" w:rsidRPr="00847CCF">
              <w:rPr>
                <w:rFonts w:ascii="Verdana" w:eastAsia="Times New Roman" w:hAnsi="Verdana"/>
                <w:sz w:val="24"/>
                <w:szCs w:val="24"/>
              </w:rPr>
              <w:t>he Board is asked to:</w:t>
            </w:r>
          </w:p>
          <w:p w:rsidR="00210AF6" w:rsidRPr="00847CCF" w:rsidRDefault="00210AF6" w:rsidP="00210AF6">
            <w:pPr>
              <w:rPr>
                <w:rFonts w:ascii="Verdana" w:eastAsia="Times New Roman" w:hAnsi="Verdana"/>
                <w:b/>
                <w:sz w:val="24"/>
                <w:szCs w:val="24"/>
              </w:rPr>
            </w:pPr>
          </w:p>
          <w:p w:rsidR="003D6FBB" w:rsidRPr="00847CCF" w:rsidRDefault="003D6FBB" w:rsidP="003A7948">
            <w:pPr>
              <w:pStyle w:val="ListParagraph"/>
              <w:numPr>
                <w:ilvl w:val="0"/>
                <w:numId w:val="1"/>
              </w:numPr>
              <w:jc w:val="both"/>
              <w:rPr>
                <w:rFonts w:ascii="Verdana" w:hAnsi="Verdana" w:cs="Arial"/>
              </w:rPr>
            </w:pPr>
            <w:r w:rsidRPr="00847CCF">
              <w:rPr>
                <w:rFonts w:ascii="Verdana" w:hAnsi="Verdana" w:cs="Arial"/>
                <w:b/>
              </w:rPr>
              <w:t>CONSIDER</w:t>
            </w:r>
            <w:r w:rsidRPr="00847CCF">
              <w:rPr>
                <w:rFonts w:ascii="Verdana" w:hAnsi="Verdana" w:cs="Arial"/>
              </w:rPr>
              <w:t xml:space="preserve"> the financial </w:t>
            </w:r>
            <w:r w:rsidR="00B04DD6" w:rsidRPr="00847CCF">
              <w:rPr>
                <w:rFonts w:ascii="Verdana" w:hAnsi="Verdana" w:cs="Arial"/>
              </w:rPr>
              <w:t xml:space="preserve">position of Public Health Wales </w:t>
            </w:r>
            <w:r w:rsidRPr="00847CCF">
              <w:rPr>
                <w:rFonts w:ascii="Verdana" w:hAnsi="Verdana" w:cs="Arial"/>
              </w:rPr>
              <w:t xml:space="preserve">as at </w:t>
            </w:r>
            <w:r w:rsidR="00847CCF" w:rsidRPr="00847CCF">
              <w:rPr>
                <w:rFonts w:ascii="Verdana" w:hAnsi="Verdana" w:cs="Arial"/>
              </w:rPr>
              <w:t>3</w:t>
            </w:r>
            <w:r w:rsidR="00A9703B">
              <w:rPr>
                <w:rFonts w:ascii="Verdana" w:hAnsi="Verdana" w:cs="Arial"/>
              </w:rPr>
              <w:t>1</w:t>
            </w:r>
            <w:r w:rsidR="00A9703B">
              <w:rPr>
                <w:rFonts w:ascii="Verdana" w:hAnsi="Verdana" w:cs="Arial"/>
                <w:vertAlign w:val="superscript"/>
              </w:rPr>
              <w:t>st</w:t>
            </w:r>
            <w:r w:rsidR="00847CCF" w:rsidRPr="00847CCF">
              <w:rPr>
                <w:rFonts w:ascii="Verdana" w:hAnsi="Verdana" w:cs="Arial"/>
              </w:rPr>
              <w:t xml:space="preserve"> </w:t>
            </w:r>
            <w:r w:rsidR="00A9703B">
              <w:rPr>
                <w:rFonts w:ascii="Verdana" w:hAnsi="Verdana" w:cs="Arial"/>
              </w:rPr>
              <w:t>December</w:t>
            </w:r>
            <w:r w:rsidR="00794AC9" w:rsidRPr="00847CCF">
              <w:rPr>
                <w:rFonts w:ascii="Verdana" w:hAnsi="Verdana" w:cs="Arial"/>
              </w:rPr>
              <w:t xml:space="preserve"> </w:t>
            </w:r>
            <w:r w:rsidR="005335E0" w:rsidRPr="00847CCF">
              <w:rPr>
                <w:rFonts w:ascii="Verdana" w:hAnsi="Verdana" w:cs="Arial"/>
              </w:rPr>
              <w:t>202</w:t>
            </w:r>
            <w:r w:rsidR="00342BDF" w:rsidRPr="00847CCF">
              <w:rPr>
                <w:rFonts w:ascii="Verdana" w:hAnsi="Verdana" w:cs="Arial"/>
              </w:rPr>
              <w:t>2</w:t>
            </w:r>
            <w:r w:rsidR="00417C5D" w:rsidRPr="00847CCF">
              <w:rPr>
                <w:rFonts w:ascii="Verdana" w:hAnsi="Verdana" w:cs="Arial"/>
              </w:rPr>
              <w:t xml:space="preserve">, which includes </w:t>
            </w:r>
            <w:r w:rsidR="00A22060" w:rsidRPr="00847CCF">
              <w:rPr>
                <w:rFonts w:ascii="Verdana" w:hAnsi="Verdana" w:cs="Arial"/>
              </w:rPr>
              <w:t xml:space="preserve">the </w:t>
            </w:r>
            <w:r w:rsidR="00417C5D" w:rsidRPr="00847CCF">
              <w:rPr>
                <w:rFonts w:ascii="Verdana" w:hAnsi="Verdana" w:cs="Arial"/>
              </w:rPr>
              <w:t>position on</w:t>
            </w:r>
            <w:r w:rsidRPr="00847CCF">
              <w:rPr>
                <w:rFonts w:ascii="Verdana" w:hAnsi="Verdana" w:cs="Arial"/>
              </w:rPr>
              <w:t xml:space="preserve"> COVID</w:t>
            </w:r>
            <w:r w:rsidR="0006136C" w:rsidRPr="00847CCF">
              <w:rPr>
                <w:rFonts w:ascii="Verdana" w:hAnsi="Verdana" w:cs="Arial"/>
              </w:rPr>
              <w:t>-</w:t>
            </w:r>
            <w:r w:rsidRPr="00847CCF">
              <w:rPr>
                <w:rFonts w:ascii="Verdana" w:hAnsi="Verdana" w:cs="Arial"/>
              </w:rPr>
              <w:t>19</w:t>
            </w:r>
            <w:r w:rsidR="00E51505" w:rsidRPr="00847CCF">
              <w:rPr>
                <w:rFonts w:ascii="Verdana" w:hAnsi="Verdana" w:cs="Arial"/>
              </w:rPr>
              <w:t>.</w:t>
            </w:r>
          </w:p>
          <w:p w:rsidR="003D6FBB" w:rsidRPr="00847CCF" w:rsidRDefault="003D6FBB" w:rsidP="003D6FBB">
            <w:pPr>
              <w:pStyle w:val="ListParagraph"/>
              <w:ind w:left="1080"/>
              <w:jc w:val="both"/>
              <w:rPr>
                <w:rFonts w:ascii="Verdana" w:hAnsi="Verdana" w:cs="Arial"/>
              </w:rPr>
            </w:pPr>
          </w:p>
          <w:p w:rsidR="00D24212" w:rsidRPr="00847CCF" w:rsidRDefault="00D24212" w:rsidP="00D24212">
            <w:pPr>
              <w:rPr>
                <w:rFonts w:ascii="Verdana" w:eastAsia="Times New Roman" w:hAnsi="Verdana"/>
                <w:b/>
              </w:rPr>
            </w:pPr>
          </w:p>
          <w:p w:rsidR="00210AF6" w:rsidRPr="00847CCF" w:rsidRDefault="00210AF6" w:rsidP="00210AF6">
            <w:pPr>
              <w:rPr>
                <w:rFonts w:ascii="Verdana" w:eastAsia="Times New Roman" w:hAnsi="Verdana"/>
                <w:b/>
                <w:sz w:val="24"/>
                <w:szCs w:val="24"/>
              </w:rPr>
            </w:pPr>
          </w:p>
        </w:tc>
      </w:tr>
    </w:tbl>
    <w:p w:rsidR="000A2ADC" w:rsidRPr="000411A5" w:rsidRDefault="000A2ADC" w:rsidP="00210AF6">
      <w:pPr>
        <w:spacing w:after="0" w:line="240" w:lineRule="auto"/>
        <w:rPr>
          <w:rFonts w:ascii="Verdana" w:hAnsi="Verdana"/>
          <w:sz w:val="24"/>
          <w:szCs w:val="24"/>
          <w:highlight w:val="magenta"/>
        </w:rPr>
      </w:pPr>
    </w:p>
    <w:p w:rsidR="00250028" w:rsidRPr="000411A5" w:rsidRDefault="00250028" w:rsidP="00210AF6">
      <w:pPr>
        <w:spacing w:after="0" w:line="240" w:lineRule="auto"/>
        <w:rPr>
          <w:rFonts w:ascii="Verdana" w:hAnsi="Verdana"/>
          <w:sz w:val="24"/>
          <w:szCs w:val="24"/>
          <w:highlight w:val="magenta"/>
        </w:rPr>
        <w:sectPr w:rsidR="00250028" w:rsidRPr="000411A5" w:rsidSect="005D3867">
          <w:footerReference w:type="default" r:id="rId12"/>
          <w:pgSz w:w="11906" w:h="16838"/>
          <w:pgMar w:top="1440" w:right="1440" w:bottom="1440" w:left="1440" w:header="708" w:footer="708" w:gutter="0"/>
          <w:cols w:space="708"/>
          <w:docGrid w:linePitch="360"/>
        </w:sectPr>
      </w:pPr>
    </w:p>
    <w:p w:rsidR="00250028" w:rsidRPr="00E20F25" w:rsidRDefault="00250028" w:rsidP="00E13962">
      <w:pPr>
        <w:pStyle w:val="ListParagraph"/>
        <w:numPr>
          <w:ilvl w:val="0"/>
          <w:numId w:val="2"/>
        </w:numPr>
        <w:spacing w:before="120" w:after="120"/>
        <w:ind w:hanging="720"/>
        <w:jc w:val="both"/>
        <w:rPr>
          <w:rFonts w:ascii="Verdana" w:eastAsia="Times New Roman" w:hAnsi="Verdana"/>
          <w:b/>
          <w:color w:val="000000" w:themeColor="text1"/>
          <w:kern w:val="24"/>
          <w:u w:val="single"/>
        </w:rPr>
      </w:pPr>
      <w:r w:rsidRPr="00E20F25">
        <w:rPr>
          <w:rFonts w:ascii="Verdana" w:eastAsia="Times New Roman" w:hAnsi="Verdana"/>
          <w:b/>
          <w:color w:val="000000" w:themeColor="text1"/>
          <w:kern w:val="24"/>
          <w:u w:val="single"/>
        </w:rPr>
        <w:lastRenderedPageBreak/>
        <w:t>Introduction</w:t>
      </w:r>
      <w:r w:rsidR="000B2D22" w:rsidRPr="00E20F25">
        <w:rPr>
          <w:rFonts w:ascii="Verdana" w:eastAsia="Times New Roman" w:hAnsi="Verdana"/>
          <w:b/>
          <w:color w:val="000000" w:themeColor="text1"/>
          <w:kern w:val="24"/>
          <w:u w:val="single"/>
        </w:rPr>
        <w:t xml:space="preserve"> and Context</w:t>
      </w:r>
    </w:p>
    <w:p w:rsidR="000B2D22" w:rsidRPr="00E20F25" w:rsidRDefault="000B2D22" w:rsidP="000B2D22">
      <w:pPr>
        <w:pStyle w:val="ListParagraph"/>
        <w:spacing w:before="120" w:after="120"/>
        <w:jc w:val="both"/>
        <w:rPr>
          <w:rFonts w:ascii="Verdana" w:eastAsia="Times New Roman" w:hAnsi="Verdana"/>
          <w:b/>
          <w:color w:val="000000" w:themeColor="text1"/>
          <w:kern w:val="24"/>
          <w:u w:val="single"/>
        </w:rPr>
      </w:pPr>
    </w:p>
    <w:p w:rsidR="00250028" w:rsidRPr="00E20F25" w:rsidRDefault="00250028" w:rsidP="00250028">
      <w:pPr>
        <w:spacing w:before="120" w:after="120"/>
        <w:jc w:val="both"/>
        <w:rPr>
          <w:rFonts w:ascii="Verdana" w:eastAsia="Times New Roman" w:hAnsi="Verdana" w:cs="Times New Roman"/>
          <w:sz w:val="24"/>
          <w:szCs w:val="24"/>
          <w:lang w:eastAsia="en-GB"/>
        </w:rPr>
      </w:pPr>
      <w:r w:rsidRPr="00E20F25">
        <w:rPr>
          <w:rFonts w:ascii="Verdana" w:eastAsia="Times New Roman" w:hAnsi="Verdana" w:cs="Times New Roman"/>
          <w:color w:val="000000" w:themeColor="text1"/>
          <w:kern w:val="24"/>
          <w:sz w:val="24"/>
          <w:szCs w:val="24"/>
          <w:lang w:eastAsia="en-GB"/>
        </w:rPr>
        <w:t xml:space="preserve">The purpose of this report is to </w:t>
      </w:r>
      <w:r w:rsidR="00DE10C8" w:rsidRPr="00E20F25">
        <w:rPr>
          <w:rFonts w:ascii="Verdana" w:eastAsia="Times New Roman" w:hAnsi="Verdana" w:cs="Times New Roman"/>
          <w:color w:val="000000" w:themeColor="text1"/>
          <w:kern w:val="24"/>
          <w:sz w:val="24"/>
          <w:szCs w:val="24"/>
          <w:lang w:eastAsia="en-GB"/>
        </w:rPr>
        <w:t xml:space="preserve">outline to the Executive Team and the Board the </w:t>
      </w:r>
      <w:r w:rsidR="00373E95" w:rsidRPr="00E20F25">
        <w:rPr>
          <w:rFonts w:ascii="Verdana" w:eastAsia="Times New Roman" w:hAnsi="Verdana" w:cs="Times New Roman"/>
          <w:color w:val="000000" w:themeColor="text1"/>
          <w:kern w:val="24"/>
          <w:sz w:val="24"/>
          <w:szCs w:val="24"/>
          <w:lang w:eastAsia="en-GB"/>
        </w:rPr>
        <w:t xml:space="preserve">revenue and capital </w:t>
      </w:r>
      <w:r w:rsidR="00DE10C8" w:rsidRPr="00E20F25">
        <w:rPr>
          <w:rFonts w:ascii="Verdana" w:eastAsia="Times New Roman" w:hAnsi="Verdana" w:cs="Times New Roman"/>
          <w:color w:val="000000" w:themeColor="text1"/>
          <w:kern w:val="24"/>
          <w:sz w:val="24"/>
          <w:szCs w:val="24"/>
          <w:lang w:eastAsia="en-GB"/>
        </w:rPr>
        <w:t>position for Public Health Wales as at 3</w:t>
      </w:r>
      <w:r w:rsidR="00A9703B">
        <w:rPr>
          <w:rFonts w:ascii="Verdana" w:eastAsia="Times New Roman" w:hAnsi="Verdana" w:cs="Times New Roman"/>
          <w:color w:val="000000" w:themeColor="text1"/>
          <w:kern w:val="24"/>
          <w:sz w:val="24"/>
          <w:szCs w:val="24"/>
          <w:lang w:eastAsia="en-GB"/>
        </w:rPr>
        <w:t>1</w:t>
      </w:r>
      <w:r w:rsidR="00A9703B">
        <w:rPr>
          <w:rFonts w:ascii="Verdana" w:eastAsia="Times New Roman" w:hAnsi="Verdana" w:cs="Times New Roman"/>
          <w:color w:val="000000" w:themeColor="text1"/>
          <w:kern w:val="24"/>
          <w:sz w:val="24"/>
          <w:szCs w:val="24"/>
          <w:vertAlign w:val="superscript"/>
          <w:lang w:eastAsia="en-GB"/>
        </w:rPr>
        <w:t>st</w:t>
      </w:r>
      <w:r w:rsidR="00E20F25">
        <w:rPr>
          <w:rFonts w:ascii="Verdana" w:eastAsia="Times New Roman" w:hAnsi="Verdana" w:cs="Times New Roman"/>
          <w:color w:val="000000" w:themeColor="text1"/>
          <w:kern w:val="24"/>
          <w:sz w:val="24"/>
          <w:szCs w:val="24"/>
          <w:lang w:eastAsia="en-GB"/>
        </w:rPr>
        <w:t xml:space="preserve"> </w:t>
      </w:r>
      <w:r w:rsidR="00A9703B">
        <w:rPr>
          <w:rFonts w:ascii="Verdana" w:eastAsia="Times New Roman" w:hAnsi="Verdana" w:cs="Times New Roman"/>
          <w:color w:val="000000" w:themeColor="text1"/>
          <w:kern w:val="24"/>
          <w:sz w:val="24"/>
          <w:szCs w:val="24"/>
          <w:lang w:eastAsia="en-GB"/>
        </w:rPr>
        <w:t>December</w:t>
      </w:r>
      <w:r w:rsidR="00DE10C8" w:rsidRPr="00E20F25">
        <w:rPr>
          <w:rFonts w:ascii="Verdana" w:eastAsia="Times New Roman" w:hAnsi="Verdana" w:cs="Times New Roman"/>
          <w:color w:val="000000" w:themeColor="text1"/>
          <w:kern w:val="24"/>
          <w:sz w:val="24"/>
          <w:szCs w:val="24"/>
          <w:lang w:eastAsia="en-GB"/>
        </w:rPr>
        <w:t xml:space="preserve"> 2022 (M</w:t>
      </w:r>
      <w:r w:rsidR="00A9703B">
        <w:rPr>
          <w:rFonts w:ascii="Verdana" w:eastAsia="Times New Roman" w:hAnsi="Verdana" w:cs="Times New Roman"/>
          <w:color w:val="000000" w:themeColor="text1"/>
          <w:kern w:val="24"/>
          <w:sz w:val="24"/>
          <w:szCs w:val="24"/>
          <w:lang w:eastAsia="en-GB"/>
        </w:rPr>
        <w:t>9</w:t>
      </w:r>
      <w:r w:rsidR="00DE10C8" w:rsidRPr="00E20F25">
        <w:rPr>
          <w:rFonts w:ascii="Verdana" w:eastAsia="Times New Roman" w:hAnsi="Verdana" w:cs="Times New Roman"/>
          <w:color w:val="000000" w:themeColor="text1"/>
          <w:kern w:val="24"/>
          <w:sz w:val="24"/>
          <w:szCs w:val="24"/>
          <w:lang w:eastAsia="en-GB"/>
        </w:rPr>
        <w:t>). The content of this report is reflected in the Director of Finance commentary that has been submitted to Welsh Government on 1</w:t>
      </w:r>
      <w:r w:rsidR="00626DA4">
        <w:rPr>
          <w:rFonts w:ascii="Verdana" w:eastAsia="Times New Roman" w:hAnsi="Verdana" w:cs="Times New Roman"/>
          <w:color w:val="000000" w:themeColor="text1"/>
          <w:kern w:val="24"/>
          <w:sz w:val="24"/>
          <w:szCs w:val="24"/>
          <w:lang w:eastAsia="en-GB"/>
        </w:rPr>
        <w:t>3</w:t>
      </w:r>
      <w:r w:rsidR="00DE10C8" w:rsidRPr="00E20F25">
        <w:rPr>
          <w:rFonts w:ascii="Verdana" w:eastAsia="Times New Roman" w:hAnsi="Verdana" w:cs="Times New Roman"/>
          <w:color w:val="000000" w:themeColor="text1"/>
          <w:kern w:val="24"/>
          <w:sz w:val="24"/>
          <w:szCs w:val="24"/>
          <w:vertAlign w:val="superscript"/>
          <w:lang w:eastAsia="en-GB"/>
        </w:rPr>
        <w:t>th</w:t>
      </w:r>
      <w:r w:rsidR="00DE10C8" w:rsidRPr="00E20F25">
        <w:rPr>
          <w:rFonts w:ascii="Verdana" w:eastAsia="Times New Roman" w:hAnsi="Verdana" w:cs="Times New Roman"/>
          <w:color w:val="000000" w:themeColor="text1"/>
          <w:kern w:val="24"/>
          <w:sz w:val="24"/>
          <w:szCs w:val="24"/>
          <w:lang w:eastAsia="en-GB"/>
        </w:rPr>
        <w:t xml:space="preserve"> </w:t>
      </w:r>
      <w:r w:rsidR="00A9703B">
        <w:rPr>
          <w:rFonts w:ascii="Verdana" w:eastAsia="Times New Roman" w:hAnsi="Verdana" w:cs="Times New Roman"/>
          <w:color w:val="000000" w:themeColor="text1"/>
          <w:kern w:val="24"/>
          <w:sz w:val="24"/>
          <w:szCs w:val="24"/>
          <w:lang w:eastAsia="en-GB"/>
        </w:rPr>
        <w:t>January</w:t>
      </w:r>
      <w:r w:rsidR="00DE10C8" w:rsidRPr="00E20F25">
        <w:rPr>
          <w:rFonts w:ascii="Verdana" w:eastAsia="Times New Roman" w:hAnsi="Verdana" w:cs="Times New Roman"/>
          <w:color w:val="000000" w:themeColor="text1"/>
          <w:kern w:val="24"/>
          <w:sz w:val="24"/>
          <w:szCs w:val="24"/>
          <w:lang w:eastAsia="en-GB"/>
        </w:rPr>
        <w:t xml:space="preserve"> 202</w:t>
      </w:r>
      <w:r w:rsidR="00A9703B">
        <w:rPr>
          <w:rFonts w:ascii="Verdana" w:eastAsia="Times New Roman" w:hAnsi="Verdana" w:cs="Times New Roman"/>
          <w:color w:val="000000" w:themeColor="text1"/>
          <w:kern w:val="24"/>
          <w:sz w:val="24"/>
          <w:szCs w:val="24"/>
          <w:lang w:eastAsia="en-GB"/>
        </w:rPr>
        <w:t>3</w:t>
      </w:r>
      <w:r w:rsidR="00DE10C8" w:rsidRPr="00E20F25">
        <w:rPr>
          <w:rFonts w:ascii="Verdana" w:eastAsia="Times New Roman" w:hAnsi="Verdana" w:cs="Times New Roman"/>
          <w:color w:val="000000" w:themeColor="text1"/>
          <w:kern w:val="24"/>
          <w:sz w:val="24"/>
          <w:szCs w:val="24"/>
          <w:lang w:eastAsia="en-GB"/>
        </w:rPr>
        <w:t xml:space="preserve"> as part of the full financial monitoring return </w:t>
      </w:r>
      <w:r w:rsidR="00F771DF" w:rsidRPr="00E20F25">
        <w:rPr>
          <w:rFonts w:ascii="Verdana" w:eastAsia="Times New Roman" w:hAnsi="Verdana" w:cs="Times New Roman"/>
          <w:color w:val="000000" w:themeColor="text1"/>
          <w:kern w:val="24"/>
          <w:sz w:val="24"/>
          <w:szCs w:val="24"/>
          <w:lang w:eastAsia="en-GB"/>
        </w:rPr>
        <w:t xml:space="preserve">for Month </w:t>
      </w:r>
      <w:r w:rsidR="00A9703B">
        <w:rPr>
          <w:rFonts w:ascii="Verdana" w:eastAsia="Times New Roman" w:hAnsi="Verdana" w:cs="Times New Roman"/>
          <w:color w:val="000000" w:themeColor="text1"/>
          <w:kern w:val="24"/>
          <w:sz w:val="24"/>
          <w:szCs w:val="24"/>
          <w:lang w:eastAsia="en-GB"/>
        </w:rPr>
        <w:t>9</w:t>
      </w:r>
      <w:r w:rsidR="00DE10C8" w:rsidRPr="00E20F25">
        <w:rPr>
          <w:rFonts w:ascii="Verdana" w:eastAsia="Times New Roman" w:hAnsi="Verdana" w:cs="Times New Roman"/>
          <w:color w:val="000000" w:themeColor="text1"/>
          <w:kern w:val="24"/>
          <w:sz w:val="24"/>
          <w:szCs w:val="24"/>
          <w:lang w:eastAsia="en-GB"/>
        </w:rPr>
        <w:t xml:space="preserve">.  The monitoring returns are included at </w:t>
      </w:r>
      <w:r w:rsidR="00DE10C8" w:rsidRPr="00E20F25">
        <w:rPr>
          <w:rFonts w:ascii="Verdana" w:eastAsia="Times New Roman" w:hAnsi="Verdana" w:cs="Times New Roman"/>
          <w:b/>
          <w:color w:val="000000" w:themeColor="text1"/>
          <w:kern w:val="24"/>
          <w:sz w:val="24"/>
          <w:szCs w:val="24"/>
          <w:lang w:eastAsia="en-GB"/>
        </w:rPr>
        <w:t>Appendix A</w:t>
      </w:r>
      <w:r w:rsidRPr="00E20F25">
        <w:rPr>
          <w:rFonts w:ascii="Verdana" w:eastAsia="Times New Roman" w:hAnsi="Verdana" w:cs="Times New Roman"/>
          <w:color w:val="000000" w:themeColor="text1"/>
          <w:kern w:val="24"/>
          <w:sz w:val="24"/>
          <w:szCs w:val="24"/>
          <w:lang w:eastAsia="en-GB"/>
        </w:rPr>
        <w:t xml:space="preserve"> </w:t>
      </w:r>
    </w:p>
    <w:p w:rsidR="00E13962" w:rsidRDefault="00E13962" w:rsidP="00DE10C8">
      <w:pPr>
        <w:spacing w:before="120" w:after="120"/>
        <w:jc w:val="both"/>
        <w:rPr>
          <w:rFonts w:ascii="Verdana" w:eastAsia="Times New Roman" w:hAnsi="Verdana" w:cs="Times New Roman"/>
          <w:color w:val="000000" w:themeColor="text1"/>
          <w:kern w:val="24"/>
          <w:sz w:val="24"/>
          <w:szCs w:val="24"/>
          <w:lang w:eastAsia="en-GB"/>
        </w:rPr>
      </w:pPr>
    </w:p>
    <w:p w:rsidR="00E13962" w:rsidRDefault="00E13962" w:rsidP="00DE10C8">
      <w:pPr>
        <w:spacing w:before="120" w:after="120"/>
        <w:jc w:val="both"/>
        <w:rPr>
          <w:rFonts w:ascii="Verdana" w:eastAsia="Times New Roman" w:hAnsi="Verdana" w:cs="Times New Roman"/>
          <w:color w:val="000000" w:themeColor="text1"/>
          <w:kern w:val="24"/>
          <w:sz w:val="24"/>
          <w:szCs w:val="24"/>
          <w:lang w:eastAsia="en-GB"/>
        </w:rPr>
      </w:pPr>
      <w:r>
        <w:rPr>
          <w:rFonts w:ascii="Verdana" w:eastAsia="Times New Roman" w:hAnsi="Verdana" w:cs="Times New Roman"/>
          <w:color w:val="000000" w:themeColor="text1"/>
          <w:kern w:val="24"/>
          <w:sz w:val="24"/>
          <w:szCs w:val="24"/>
          <w:lang w:eastAsia="en-GB"/>
        </w:rPr>
        <w:t>Table A</w:t>
      </w:r>
      <w:r w:rsidR="00632FF7" w:rsidRPr="00E20F25">
        <w:rPr>
          <w:rFonts w:ascii="Verdana" w:eastAsia="Times New Roman" w:hAnsi="Verdana" w:cs="Times New Roman"/>
          <w:color w:val="000000" w:themeColor="text1"/>
          <w:kern w:val="24"/>
          <w:sz w:val="24"/>
          <w:szCs w:val="24"/>
          <w:lang w:eastAsia="en-GB"/>
        </w:rPr>
        <w:t xml:space="preserve"> highlights the</w:t>
      </w:r>
      <w:r w:rsidR="00BD65F4" w:rsidRPr="00E20F25">
        <w:rPr>
          <w:rFonts w:ascii="Verdana" w:eastAsia="Times New Roman" w:hAnsi="Verdana" w:cs="Times New Roman"/>
          <w:color w:val="000000" w:themeColor="text1"/>
          <w:kern w:val="24"/>
          <w:sz w:val="24"/>
          <w:szCs w:val="24"/>
          <w:lang w:eastAsia="en-GB"/>
        </w:rPr>
        <w:t xml:space="preserve"> </w:t>
      </w:r>
      <w:r w:rsidR="00632FF7" w:rsidRPr="00E20F25">
        <w:rPr>
          <w:rFonts w:ascii="Verdana" w:eastAsia="Times New Roman" w:hAnsi="Verdana" w:cs="Times New Roman"/>
          <w:color w:val="000000" w:themeColor="text1"/>
          <w:kern w:val="24"/>
          <w:sz w:val="24"/>
          <w:szCs w:val="24"/>
          <w:lang w:eastAsia="en-GB"/>
        </w:rPr>
        <w:t>performance against the key revenue and capital financial targets.</w:t>
      </w:r>
    </w:p>
    <w:p w:rsidR="00E13962" w:rsidRDefault="00E13962" w:rsidP="00E13962">
      <w:pPr>
        <w:tabs>
          <w:tab w:val="num" w:pos="1008"/>
          <w:tab w:val="left" w:pos="8222"/>
        </w:tabs>
        <w:spacing w:before="240" w:line="240" w:lineRule="auto"/>
        <w:ind w:right="-284" w:hanging="17"/>
        <w:jc w:val="both"/>
        <w:rPr>
          <w:rFonts w:ascii="Verdana" w:eastAsia="Times New Roman" w:hAnsi="Verdana" w:cs="Times New Roman"/>
          <w:color w:val="000000" w:themeColor="text1"/>
          <w:kern w:val="24"/>
          <w:sz w:val="24"/>
          <w:szCs w:val="24"/>
          <w:lang w:eastAsia="en-GB"/>
        </w:rPr>
      </w:pPr>
    </w:p>
    <w:p w:rsidR="00DA25D9" w:rsidRPr="00E20F25" w:rsidRDefault="00632FF7" w:rsidP="00E13962">
      <w:pPr>
        <w:tabs>
          <w:tab w:val="num" w:pos="1008"/>
          <w:tab w:val="left" w:pos="8222"/>
        </w:tabs>
        <w:spacing w:before="240" w:line="240" w:lineRule="auto"/>
        <w:ind w:right="-284" w:hanging="17"/>
        <w:jc w:val="both"/>
        <w:rPr>
          <w:rFonts w:ascii="Verdana" w:eastAsia="Times New Roman" w:hAnsi="Verdana" w:cs="Times New Roman"/>
          <w:color w:val="000000" w:themeColor="text1"/>
          <w:kern w:val="24"/>
          <w:sz w:val="24"/>
          <w:szCs w:val="24"/>
          <w:lang w:eastAsia="en-GB"/>
        </w:rPr>
      </w:pPr>
      <w:r w:rsidRPr="00E20F25">
        <w:rPr>
          <w:rFonts w:ascii="Verdana" w:eastAsia="Times New Roman" w:hAnsi="Verdana" w:cs="Times New Roman"/>
          <w:color w:val="000000" w:themeColor="text1"/>
          <w:kern w:val="24"/>
          <w:sz w:val="24"/>
          <w:szCs w:val="24"/>
          <w:lang w:eastAsia="en-GB"/>
        </w:rPr>
        <w:t xml:space="preserve"> </w:t>
      </w:r>
      <w:r w:rsidR="00E13962" w:rsidRPr="00E20F25">
        <w:rPr>
          <w:rFonts w:ascii="Verdana" w:hAnsi="Verdana"/>
          <w:b/>
          <w:sz w:val="24"/>
          <w:szCs w:val="24"/>
        </w:rPr>
        <w:t xml:space="preserve">Table A – </w:t>
      </w:r>
      <w:r w:rsidR="00E13962">
        <w:rPr>
          <w:rFonts w:ascii="Verdana" w:hAnsi="Verdana"/>
          <w:b/>
          <w:sz w:val="24"/>
          <w:szCs w:val="24"/>
        </w:rPr>
        <w:t>Performance against Key Financial Targets</w:t>
      </w:r>
      <w:r w:rsidR="00E13962" w:rsidRPr="00E20F25">
        <w:rPr>
          <w:rFonts w:ascii="Verdana" w:hAnsi="Verdana"/>
          <w:b/>
          <w:sz w:val="24"/>
          <w:szCs w:val="24"/>
        </w:rPr>
        <w:t xml:space="preserve"> </w:t>
      </w:r>
    </w:p>
    <w:tbl>
      <w:tblPr>
        <w:tblW w:w="0" w:type="auto"/>
        <w:tblInd w:w="-5" w:type="dxa"/>
        <w:tblLook w:val="04A0" w:firstRow="1" w:lastRow="0" w:firstColumn="1" w:lastColumn="0" w:noHBand="0" w:noVBand="1"/>
      </w:tblPr>
      <w:tblGrid>
        <w:gridCol w:w="3938"/>
        <w:gridCol w:w="1674"/>
        <w:gridCol w:w="1437"/>
        <w:gridCol w:w="1972"/>
      </w:tblGrid>
      <w:tr w:rsidR="00EC58CE" w:rsidRPr="000411A5" w:rsidTr="00EC58CE">
        <w:trPr>
          <w:trHeight w:val="624"/>
        </w:trPr>
        <w:tc>
          <w:tcPr>
            <w:tcW w:w="0" w:type="auto"/>
            <w:tcBorders>
              <w:top w:val="single" w:sz="4" w:space="0" w:color="0070C0"/>
              <w:left w:val="single" w:sz="4" w:space="0" w:color="0070C0"/>
              <w:bottom w:val="single" w:sz="4" w:space="0" w:color="0070C0"/>
              <w:right w:val="single" w:sz="4" w:space="0" w:color="0070C0"/>
            </w:tcBorders>
            <w:shd w:val="clear" w:color="000000" w:fill="2F75B5"/>
            <w:hideMark/>
          </w:tcPr>
          <w:p w:rsidR="00EC58CE" w:rsidRPr="00E20F25" w:rsidRDefault="00EC58CE" w:rsidP="00EC58CE">
            <w:pPr>
              <w:spacing w:after="0" w:line="240" w:lineRule="auto"/>
              <w:jc w:val="center"/>
              <w:rPr>
                <w:rFonts w:ascii="Calibri" w:eastAsia="Times New Roman" w:hAnsi="Calibri" w:cs="Calibri"/>
                <w:b/>
                <w:bCs/>
                <w:color w:val="FFFFFF"/>
                <w:sz w:val="24"/>
                <w:szCs w:val="24"/>
                <w:lang w:eastAsia="en-GB"/>
              </w:rPr>
            </w:pPr>
            <w:r w:rsidRPr="00E20F25">
              <w:rPr>
                <w:rFonts w:ascii="Calibri" w:eastAsia="Times New Roman" w:hAnsi="Calibri" w:cs="Calibri"/>
                <w:b/>
                <w:bCs/>
                <w:color w:val="FFFFFF"/>
                <w:sz w:val="24"/>
                <w:szCs w:val="24"/>
                <w:lang w:eastAsia="en-GB"/>
              </w:rPr>
              <w:t>Target</w:t>
            </w:r>
          </w:p>
        </w:tc>
        <w:tc>
          <w:tcPr>
            <w:tcW w:w="0" w:type="auto"/>
            <w:tcBorders>
              <w:top w:val="single" w:sz="4" w:space="0" w:color="0070C0"/>
              <w:left w:val="nil"/>
              <w:bottom w:val="single" w:sz="4" w:space="0" w:color="0070C0"/>
              <w:right w:val="single" w:sz="4" w:space="0" w:color="0070C0"/>
            </w:tcBorders>
            <w:shd w:val="clear" w:color="000000" w:fill="2F75B5"/>
            <w:hideMark/>
          </w:tcPr>
          <w:p w:rsidR="00EC58CE" w:rsidRPr="00E20F25" w:rsidRDefault="00EC58CE" w:rsidP="00EC58CE">
            <w:pPr>
              <w:spacing w:after="0" w:line="240" w:lineRule="auto"/>
              <w:jc w:val="center"/>
              <w:rPr>
                <w:rFonts w:ascii="Calibri" w:eastAsia="Times New Roman" w:hAnsi="Calibri" w:cs="Calibri"/>
                <w:b/>
                <w:bCs/>
                <w:color w:val="FFFFFF"/>
                <w:sz w:val="24"/>
                <w:szCs w:val="24"/>
                <w:lang w:eastAsia="en-GB"/>
              </w:rPr>
            </w:pPr>
            <w:r w:rsidRPr="00E20F25">
              <w:rPr>
                <w:rFonts w:ascii="Calibri" w:eastAsia="Times New Roman" w:hAnsi="Calibri" w:cs="Calibri"/>
                <w:b/>
                <w:bCs/>
                <w:color w:val="FFFFFF"/>
                <w:sz w:val="24"/>
                <w:szCs w:val="24"/>
                <w:lang w:eastAsia="en-GB"/>
              </w:rPr>
              <w:t>Current Month</w:t>
            </w:r>
          </w:p>
        </w:tc>
        <w:tc>
          <w:tcPr>
            <w:tcW w:w="0" w:type="auto"/>
            <w:tcBorders>
              <w:top w:val="single" w:sz="4" w:space="0" w:color="0070C0"/>
              <w:left w:val="nil"/>
              <w:bottom w:val="single" w:sz="4" w:space="0" w:color="0070C0"/>
              <w:right w:val="single" w:sz="4" w:space="0" w:color="0070C0"/>
            </w:tcBorders>
            <w:shd w:val="clear" w:color="000000" w:fill="2F75B5"/>
            <w:hideMark/>
          </w:tcPr>
          <w:p w:rsidR="00EC58CE" w:rsidRPr="00E20F25" w:rsidRDefault="00EC58CE" w:rsidP="00EC58CE">
            <w:pPr>
              <w:spacing w:after="0" w:line="240" w:lineRule="auto"/>
              <w:jc w:val="center"/>
              <w:rPr>
                <w:rFonts w:ascii="Calibri" w:eastAsia="Times New Roman" w:hAnsi="Calibri" w:cs="Calibri"/>
                <w:b/>
                <w:bCs/>
                <w:color w:val="FFFFFF"/>
                <w:sz w:val="24"/>
                <w:szCs w:val="24"/>
                <w:lang w:eastAsia="en-GB"/>
              </w:rPr>
            </w:pPr>
            <w:r w:rsidRPr="00E20F25">
              <w:rPr>
                <w:rFonts w:ascii="Calibri" w:eastAsia="Times New Roman" w:hAnsi="Calibri" w:cs="Calibri"/>
                <w:b/>
                <w:bCs/>
                <w:color w:val="FFFFFF"/>
                <w:sz w:val="24"/>
                <w:szCs w:val="24"/>
                <w:lang w:eastAsia="en-GB"/>
              </w:rPr>
              <w:t>Year to Date</w:t>
            </w:r>
          </w:p>
        </w:tc>
        <w:tc>
          <w:tcPr>
            <w:tcW w:w="0" w:type="auto"/>
            <w:tcBorders>
              <w:top w:val="single" w:sz="4" w:space="0" w:color="0070C0"/>
              <w:left w:val="nil"/>
              <w:bottom w:val="single" w:sz="4" w:space="0" w:color="0070C0"/>
              <w:right w:val="single" w:sz="4" w:space="0" w:color="0070C0"/>
            </w:tcBorders>
            <w:shd w:val="clear" w:color="000000" w:fill="2F75B5"/>
            <w:hideMark/>
          </w:tcPr>
          <w:p w:rsidR="00EC58CE" w:rsidRPr="00E20F25" w:rsidRDefault="00EC58CE" w:rsidP="00EC58CE">
            <w:pPr>
              <w:spacing w:after="0" w:line="240" w:lineRule="auto"/>
              <w:jc w:val="center"/>
              <w:rPr>
                <w:rFonts w:ascii="Calibri" w:eastAsia="Times New Roman" w:hAnsi="Calibri" w:cs="Calibri"/>
                <w:b/>
                <w:bCs/>
                <w:color w:val="FFFFFF"/>
                <w:sz w:val="24"/>
                <w:szCs w:val="24"/>
                <w:lang w:eastAsia="en-GB"/>
              </w:rPr>
            </w:pPr>
            <w:r w:rsidRPr="00E20F25">
              <w:rPr>
                <w:rFonts w:ascii="Calibri" w:eastAsia="Times New Roman" w:hAnsi="Calibri" w:cs="Calibri"/>
                <w:b/>
                <w:bCs/>
                <w:color w:val="FFFFFF"/>
                <w:sz w:val="24"/>
                <w:szCs w:val="24"/>
                <w:lang w:eastAsia="en-GB"/>
              </w:rPr>
              <w:t>Year-end Forecast</w:t>
            </w:r>
          </w:p>
        </w:tc>
      </w:tr>
      <w:tr w:rsidR="00EC58CE" w:rsidRPr="00626DA4" w:rsidTr="00EC58CE">
        <w:trPr>
          <w:trHeight w:val="798"/>
        </w:trPr>
        <w:tc>
          <w:tcPr>
            <w:tcW w:w="0" w:type="auto"/>
            <w:tcBorders>
              <w:top w:val="nil"/>
              <w:left w:val="single" w:sz="4" w:space="0" w:color="0070C0"/>
              <w:bottom w:val="single" w:sz="4" w:space="0" w:color="0070C0"/>
              <w:right w:val="single" w:sz="4" w:space="0" w:color="0070C0"/>
            </w:tcBorders>
            <w:shd w:val="clear" w:color="000000" w:fill="FFFFFF"/>
            <w:vAlign w:val="center"/>
            <w:hideMark/>
          </w:tcPr>
          <w:p w:rsidR="00EC58CE" w:rsidRPr="00B02FD5" w:rsidRDefault="00EC58CE" w:rsidP="00EC58CE">
            <w:pPr>
              <w:spacing w:after="0" w:line="240" w:lineRule="auto"/>
              <w:rPr>
                <w:rFonts w:ascii="Calibri" w:eastAsia="Times New Roman" w:hAnsi="Calibri" w:cs="Calibri"/>
                <w:b/>
                <w:bCs/>
                <w:color w:val="000000"/>
                <w:lang w:eastAsia="en-GB"/>
              </w:rPr>
            </w:pPr>
            <w:r w:rsidRPr="00B02FD5">
              <w:rPr>
                <w:rFonts w:ascii="Calibri" w:eastAsia="Times New Roman" w:hAnsi="Calibri" w:cs="Calibri"/>
                <w:b/>
                <w:bCs/>
                <w:color w:val="000000"/>
                <w:lang w:eastAsia="en-GB"/>
              </w:rPr>
              <w:t xml:space="preserve">Revenue financial target Deficit/(Surplus)                                                        </w:t>
            </w:r>
          </w:p>
        </w:tc>
        <w:tc>
          <w:tcPr>
            <w:tcW w:w="0" w:type="auto"/>
            <w:tcBorders>
              <w:top w:val="nil"/>
              <w:left w:val="nil"/>
              <w:bottom w:val="single" w:sz="4" w:space="0" w:color="0070C0"/>
              <w:right w:val="single" w:sz="4" w:space="0" w:color="0070C0"/>
            </w:tcBorders>
            <w:shd w:val="clear" w:color="000000" w:fill="C6E0B4"/>
            <w:noWrap/>
            <w:vAlign w:val="center"/>
            <w:hideMark/>
          </w:tcPr>
          <w:p w:rsidR="00EC58CE" w:rsidRPr="00B02FD5" w:rsidRDefault="00E20F25" w:rsidP="00B02FD5">
            <w:pPr>
              <w:spacing w:after="0" w:line="240" w:lineRule="auto"/>
              <w:jc w:val="center"/>
              <w:rPr>
                <w:rFonts w:ascii="Calibri" w:eastAsia="Times New Roman" w:hAnsi="Calibri" w:cs="Calibri"/>
                <w:b/>
                <w:bCs/>
                <w:color w:val="000000"/>
                <w:lang w:eastAsia="en-GB"/>
              </w:rPr>
            </w:pPr>
            <w:r w:rsidRPr="00B02FD5">
              <w:rPr>
                <w:rFonts w:ascii="Calibri" w:eastAsia="Times New Roman" w:hAnsi="Calibri" w:cs="Calibri"/>
                <w:b/>
                <w:bCs/>
                <w:color w:val="000000"/>
                <w:lang w:eastAsia="en-GB"/>
              </w:rPr>
              <w:t>(£</w:t>
            </w:r>
            <w:r w:rsidR="00B02FD5" w:rsidRPr="00B02FD5">
              <w:rPr>
                <w:rFonts w:ascii="Calibri" w:eastAsia="Times New Roman" w:hAnsi="Calibri" w:cs="Calibri"/>
                <w:b/>
                <w:bCs/>
                <w:color w:val="000000"/>
                <w:lang w:eastAsia="en-GB"/>
              </w:rPr>
              <w:t>35</w:t>
            </w:r>
            <w:r w:rsidRPr="00B02FD5">
              <w:rPr>
                <w:rFonts w:ascii="Calibri" w:eastAsia="Times New Roman" w:hAnsi="Calibri" w:cs="Calibri"/>
                <w:b/>
                <w:bCs/>
                <w:color w:val="000000"/>
                <w:lang w:eastAsia="en-GB"/>
              </w:rPr>
              <w:t>k)</w:t>
            </w:r>
          </w:p>
        </w:tc>
        <w:tc>
          <w:tcPr>
            <w:tcW w:w="0" w:type="auto"/>
            <w:tcBorders>
              <w:top w:val="nil"/>
              <w:left w:val="nil"/>
              <w:bottom w:val="single" w:sz="4" w:space="0" w:color="0070C0"/>
              <w:right w:val="single" w:sz="4" w:space="0" w:color="0070C0"/>
            </w:tcBorders>
            <w:shd w:val="clear" w:color="000000" w:fill="FFFFFF"/>
            <w:noWrap/>
            <w:vAlign w:val="center"/>
            <w:hideMark/>
          </w:tcPr>
          <w:p w:rsidR="00EC58CE" w:rsidRPr="00B02FD5" w:rsidRDefault="008F54CC" w:rsidP="00A9703B">
            <w:pPr>
              <w:spacing w:after="0" w:line="240" w:lineRule="auto"/>
              <w:jc w:val="center"/>
              <w:rPr>
                <w:rFonts w:ascii="Calibri" w:eastAsia="Times New Roman" w:hAnsi="Calibri" w:cs="Calibri"/>
                <w:b/>
                <w:bCs/>
                <w:color w:val="000000"/>
                <w:lang w:eastAsia="en-GB"/>
              </w:rPr>
            </w:pPr>
            <w:r w:rsidRPr="00B02FD5">
              <w:rPr>
                <w:rFonts w:ascii="Calibri" w:eastAsia="Times New Roman" w:hAnsi="Calibri" w:cs="Calibri"/>
                <w:b/>
                <w:bCs/>
                <w:color w:val="000000"/>
                <w:lang w:eastAsia="en-GB"/>
              </w:rPr>
              <w:t>(</w:t>
            </w:r>
            <w:r w:rsidR="00E20F25" w:rsidRPr="00B02FD5">
              <w:rPr>
                <w:rFonts w:ascii="Calibri" w:eastAsia="Times New Roman" w:hAnsi="Calibri" w:cs="Calibri"/>
                <w:b/>
                <w:bCs/>
                <w:color w:val="000000"/>
                <w:lang w:eastAsia="en-GB"/>
              </w:rPr>
              <w:t>£</w:t>
            </w:r>
            <w:r w:rsidR="00B02FD5" w:rsidRPr="00B02FD5">
              <w:rPr>
                <w:rFonts w:ascii="Calibri" w:eastAsia="Times New Roman" w:hAnsi="Calibri" w:cs="Calibri"/>
                <w:b/>
                <w:bCs/>
                <w:color w:val="000000"/>
                <w:lang w:eastAsia="en-GB"/>
              </w:rPr>
              <w:t>2</w:t>
            </w:r>
            <w:r w:rsidR="00A9703B">
              <w:rPr>
                <w:rFonts w:ascii="Calibri" w:eastAsia="Times New Roman" w:hAnsi="Calibri" w:cs="Calibri"/>
                <w:b/>
                <w:bCs/>
                <w:color w:val="000000"/>
                <w:lang w:eastAsia="en-GB"/>
              </w:rPr>
              <w:t>61</w:t>
            </w:r>
            <w:r w:rsidRPr="00B02FD5">
              <w:rPr>
                <w:rFonts w:ascii="Calibri" w:eastAsia="Times New Roman" w:hAnsi="Calibri" w:cs="Calibri"/>
                <w:b/>
                <w:bCs/>
                <w:color w:val="000000"/>
                <w:lang w:eastAsia="en-GB"/>
              </w:rPr>
              <w:t>k)</w:t>
            </w:r>
          </w:p>
        </w:tc>
        <w:tc>
          <w:tcPr>
            <w:tcW w:w="0" w:type="auto"/>
            <w:tcBorders>
              <w:top w:val="nil"/>
              <w:left w:val="nil"/>
              <w:bottom w:val="single" w:sz="4" w:space="0" w:color="0070C0"/>
              <w:right w:val="single" w:sz="4" w:space="0" w:color="0070C0"/>
            </w:tcBorders>
            <w:shd w:val="clear" w:color="000000" w:fill="A9D08E"/>
            <w:vAlign w:val="center"/>
            <w:hideMark/>
          </w:tcPr>
          <w:p w:rsidR="00EC58CE" w:rsidRPr="00B02FD5" w:rsidRDefault="00EC58CE" w:rsidP="00EC58CE">
            <w:pPr>
              <w:spacing w:after="0" w:line="240" w:lineRule="auto"/>
              <w:jc w:val="center"/>
              <w:rPr>
                <w:rFonts w:ascii="Calibri" w:eastAsia="Times New Roman" w:hAnsi="Calibri" w:cs="Calibri"/>
                <w:b/>
                <w:bCs/>
                <w:color w:val="000000"/>
                <w:lang w:eastAsia="en-GB"/>
              </w:rPr>
            </w:pPr>
            <w:r w:rsidRPr="00B02FD5">
              <w:rPr>
                <w:rFonts w:ascii="Calibri" w:eastAsia="Times New Roman" w:hAnsi="Calibri" w:cs="Calibri"/>
                <w:b/>
                <w:bCs/>
                <w:color w:val="000000"/>
                <w:lang w:eastAsia="en-GB"/>
              </w:rPr>
              <w:t>Breakeven</w:t>
            </w:r>
          </w:p>
        </w:tc>
      </w:tr>
      <w:tr w:rsidR="00EC58CE" w:rsidRPr="00626DA4" w:rsidTr="008F54CC">
        <w:trPr>
          <w:trHeight w:val="798"/>
        </w:trPr>
        <w:tc>
          <w:tcPr>
            <w:tcW w:w="0" w:type="auto"/>
            <w:tcBorders>
              <w:top w:val="nil"/>
              <w:left w:val="single" w:sz="4" w:space="0" w:color="0070C0"/>
              <w:bottom w:val="single" w:sz="4" w:space="0" w:color="0070C0"/>
              <w:right w:val="single" w:sz="4" w:space="0" w:color="0070C0"/>
            </w:tcBorders>
            <w:shd w:val="clear" w:color="000000" w:fill="FFFFFF"/>
            <w:noWrap/>
            <w:vAlign w:val="center"/>
            <w:hideMark/>
          </w:tcPr>
          <w:p w:rsidR="00EC58CE" w:rsidRPr="006F1958" w:rsidRDefault="00EC58CE" w:rsidP="00EC58CE">
            <w:pPr>
              <w:spacing w:after="0" w:line="240" w:lineRule="auto"/>
              <w:rPr>
                <w:rFonts w:ascii="Calibri" w:eastAsia="Times New Roman" w:hAnsi="Calibri" w:cs="Calibri"/>
                <w:b/>
                <w:bCs/>
                <w:color w:val="000000"/>
                <w:lang w:eastAsia="en-GB"/>
              </w:rPr>
            </w:pPr>
            <w:r w:rsidRPr="006F1958">
              <w:rPr>
                <w:rFonts w:ascii="Calibri" w:eastAsia="Times New Roman" w:hAnsi="Calibri" w:cs="Calibri"/>
                <w:b/>
                <w:bCs/>
                <w:color w:val="000000"/>
                <w:lang w:eastAsia="en-GB"/>
              </w:rPr>
              <w:t xml:space="preserve">Capital financial target                                  </w:t>
            </w:r>
          </w:p>
        </w:tc>
        <w:tc>
          <w:tcPr>
            <w:tcW w:w="0" w:type="auto"/>
            <w:tcBorders>
              <w:top w:val="nil"/>
              <w:left w:val="nil"/>
              <w:bottom w:val="single" w:sz="4" w:space="0" w:color="0070C0"/>
              <w:right w:val="single" w:sz="4" w:space="0" w:color="0070C0"/>
            </w:tcBorders>
            <w:shd w:val="clear" w:color="000000" w:fill="C6E0B4"/>
            <w:noWrap/>
            <w:vAlign w:val="center"/>
          </w:tcPr>
          <w:p w:rsidR="00EC58CE" w:rsidRPr="007A7A8B" w:rsidRDefault="007A7A8B" w:rsidP="00190872">
            <w:pPr>
              <w:spacing w:after="0" w:line="240" w:lineRule="auto"/>
              <w:jc w:val="center"/>
              <w:rPr>
                <w:rFonts w:ascii="Calibri" w:eastAsia="Times New Roman" w:hAnsi="Calibri" w:cs="Calibri"/>
                <w:b/>
                <w:bCs/>
                <w:color w:val="000000"/>
                <w:lang w:eastAsia="en-GB"/>
              </w:rPr>
            </w:pPr>
            <w:r w:rsidRPr="007A7A8B">
              <w:rPr>
                <w:rFonts w:ascii="Calibri" w:eastAsia="Times New Roman" w:hAnsi="Calibri" w:cs="Calibri"/>
                <w:b/>
                <w:bCs/>
                <w:color w:val="000000"/>
                <w:lang w:eastAsia="en-GB"/>
              </w:rPr>
              <w:t>£5.120</w:t>
            </w:r>
            <w:r w:rsidR="00190872" w:rsidRPr="007A7A8B">
              <w:rPr>
                <w:rFonts w:ascii="Calibri" w:eastAsia="Times New Roman" w:hAnsi="Calibri" w:cs="Calibri"/>
                <w:b/>
                <w:bCs/>
                <w:color w:val="000000"/>
                <w:lang w:eastAsia="en-GB"/>
              </w:rPr>
              <w:t>m</w:t>
            </w:r>
          </w:p>
        </w:tc>
        <w:tc>
          <w:tcPr>
            <w:tcW w:w="0" w:type="auto"/>
            <w:tcBorders>
              <w:top w:val="nil"/>
              <w:left w:val="nil"/>
              <w:bottom w:val="single" w:sz="4" w:space="0" w:color="0070C0"/>
              <w:right w:val="single" w:sz="4" w:space="0" w:color="0070C0"/>
            </w:tcBorders>
            <w:shd w:val="clear" w:color="000000" w:fill="FFFFFF"/>
            <w:vAlign w:val="center"/>
          </w:tcPr>
          <w:p w:rsidR="00624216" w:rsidRPr="007A7A8B" w:rsidRDefault="007A7A8B" w:rsidP="00624216">
            <w:pPr>
              <w:spacing w:after="0" w:line="240" w:lineRule="auto"/>
              <w:jc w:val="center"/>
              <w:rPr>
                <w:rFonts w:ascii="Calibri" w:eastAsia="Times New Roman" w:hAnsi="Calibri" w:cs="Calibri"/>
                <w:b/>
                <w:bCs/>
                <w:color w:val="000000"/>
                <w:lang w:eastAsia="en-GB"/>
              </w:rPr>
            </w:pPr>
            <w:r w:rsidRPr="007A7A8B">
              <w:rPr>
                <w:rFonts w:ascii="Calibri" w:eastAsia="Times New Roman" w:hAnsi="Calibri" w:cs="Calibri"/>
                <w:b/>
                <w:bCs/>
                <w:color w:val="000000"/>
                <w:lang w:eastAsia="en-GB"/>
              </w:rPr>
              <w:t>£3.222</w:t>
            </w:r>
            <w:r w:rsidR="00624216" w:rsidRPr="007A7A8B">
              <w:rPr>
                <w:rFonts w:ascii="Calibri" w:eastAsia="Times New Roman" w:hAnsi="Calibri" w:cs="Calibri"/>
                <w:b/>
                <w:bCs/>
                <w:color w:val="000000"/>
                <w:lang w:eastAsia="en-GB"/>
              </w:rPr>
              <w:t>m</w:t>
            </w:r>
          </w:p>
        </w:tc>
        <w:tc>
          <w:tcPr>
            <w:tcW w:w="0" w:type="auto"/>
            <w:tcBorders>
              <w:top w:val="nil"/>
              <w:left w:val="nil"/>
              <w:bottom w:val="single" w:sz="4" w:space="0" w:color="0070C0"/>
              <w:right w:val="single" w:sz="4" w:space="0" w:color="0070C0"/>
            </w:tcBorders>
            <w:shd w:val="clear" w:color="000000" w:fill="A9D08E"/>
            <w:vAlign w:val="center"/>
            <w:hideMark/>
          </w:tcPr>
          <w:p w:rsidR="00EC58CE" w:rsidRPr="006F1958" w:rsidRDefault="00EC58CE" w:rsidP="00EC58CE">
            <w:pPr>
              <w:spacing w:after="0" w:line="240" w:lineRule="auto"/>
              <w:jc w:val="center"/>
              <w:rPr>
                <w:rFonts w:ascii="Calibri" w:eastAsia="Times New Roman" w:hAnsi="Calibri" w:cs="Calibri"/>
                <w:b/>
                <w:bCs/>
                <w:color w:val="000000"/>
                <w:lang w:eastAsia="en-GB"/>
              </w:rPr>
            </w:pPr>
            <w:r w:rsidRPr="006F1958">
              <w:rPr>
                <w:rFonts w:ascii="Calibri" w:eastAsia="Times New Roman" w:hAnsi="Calibri" w:cs="Calibri"/>
                <w:b/>
                <w:bCs/>
                <w:color w:val="000000"/>
                <w:lang w:eastAsia="en-GB"/>
              </w:rPr>
              <w:t>Breakeven</w:t>
            </w:r>
          </w:p>
        </w:tc>
      </w:tr>
      <w:tr w:rsidR="00EC58CE" w:rsidRPr="00626DA4" w:rsidTr="00EC58CE">
        <w:trPr>
          <w:trHeight w:val="798"/>
        </w:trPr>
        <w:tc>
          <w:tcPr>
            <w:tcW w:w="0" w:type="auto"/>
            <w:tcBorders>
              <w:top w:val="nil"/>
              <w:left w:val="single" w:sz="4" w:space="0" w:color="0070C0"/>
              <w:bottom w:val="single" w:sz="4" w:space="0" w:color="0070C0"/>
              <w:right w:val="single" w:sz="4" w:space="0" w:color="0070C0"/>
            </w:tcBorders>
            <w:shd w:val="clear" w:color="000000" w:fill="FFFFFF"/>
            <w:noWrap/>
            <w:vAlign w:val="center"/>
            <w:hideMark/>
          </w:tcPr>
          <w:p w:rsidR="00EC58CE" w:rsidRPr="00626DA4" w:rsidRDefault="00EC58CE" w:rsidP="00EC58CE">
            <w:pPr>
              <w:spacing w:after="0" w:line="240" w:lineRule="auto"/>
              <w:rPr>
                <w:rFonts w:ascii="Calibri" w:eastAsia="Times New Roman" w:hAnsi="Calibri" w:cs="Calibri"/>
                <w:b/>
                <w:bCs/>
                <w:color w:val="000000"/>
                <w:highlight w:val="magenta"/>
                <w:lang w:eastAsia="en-GB"/>
              </w:rPr>
            </w:pPr>
            <w:r w:rsidRPr="005C006E">
              <w:rPr>
                <w:rFonts w:ascii="Calibri" w:eastAsia="Times New Roman" w:hAnsi="Calibri" w:cs="Calibri"/>
                <w:b/>
                <w:bCs/>
                <w:color w:val="000000"/>
                <w:lang w:eastAsia="en-GB"/>
              </w:rPr>
              <w:t xml:space="preserve">Public Sector Payment Policy                       </w:t>
            </w:r>
          </w:p>
        </w:tc>
        <w:tc>
          <w:tcPr>
            <w:tcW w:w="0" w:type="auto"/>
            <w:tcBorders>
              <w:top w:val="nil"/>
              <w:left w:val="nil"/>
              <w:bottom w:val="single" w:sz="4" w:space="0" w:color="0070C0"/>
              <w:right w:val="single" w:sz="4" w:space="0" w:color="0070C0"/>
            </w:tcBorders>
            <w:shd w:val="clear" w:color="000000" w:fill="C6E0B4"/>
            <w:noWrap/>
            <w:vAlign w:val="center"/>
            <w:hideMark/>
          </w:tcPr>
          <w:p w:rsidR="00EC58CE" w:rsidRPr="00626DA4" w:rsidRDefault="00630179" w:rsidP="00A9703B">
            <w:pPr>
              <w:spacing w:after="0" w:line="240" w:lineRule="auto"/>
              <w:jc w:val="center"/>
              <w:rPr>
                <w:rFonts w:ascii="Calibri" w:eastAsia="Times New Roman" w:hAnsi="Calibri" w:cs="Calibri"/>
                <w:b/>
                <w:bCs/>
                <w:highlight w:val="magenta"/>
                <w:lang w:eastAsia="en-GB"/>
              </w:rPr>
            </w:pPr>
            <w:r w:rsidRPr="005C006E">
              <w:rPr>
                <w:rFonts w:ascii="Calibri" w:eastAsia="Times New Roman" w:hAnsi="Calibri" w:cs="Calibri"/>
                <w:b/>
                <w:bCs/>
                <w:lang w:eastAsia="en-GB"/>
              </w:rPr>
              <w:t>9</w:t>
            </w:r>
            <w:r w:rsidR="00A9703B">
              <w:rPr>
                <w:rFonts w:ascii="Calibri" w:eastAsia="Times New Roman" w:hAnsi="Calibri" w:cs="Calibri"/>
                <w:b/>
                <w:bCs/>
                <w:lang w:eastAsia="en-GB"/>
              </w:rPr>
              <w:t>6</w:t>
            </w:r>
            <w:r w:rsidR="00BE79D1" w:rsidRPr="005C006E">
              <w:rPr>
                <w:rFonts w:ascii="Calibri" w:eastAsia="Times New Roman" w:hAnsi="Calibri" w:cs="Calibri"/>
                <w:b/>
                <w:bCs/>
                <w:lang w:eastAsia="en-GB"/>
              </w:rPr>
              <w:t>.</w:t>
            </w:r>
            <w:r w:rsidR="00A9703B">
              <w:rPr>
                <w:rFonts w:ascii="Calibri" w:eastAsia="Times New Roman" w:hAnsi="Calibri" w:cs="Calibri"/>
                <w:b/>
                <w:bCs/>
                <w:lang w:eastAsia="en-GB"/>
              </w:rPr>
              <w:t>13</w:t>
            </w:r>
            <w:r w:rsidR="00EC58CE" w:rsidRPr="005C006E">
              <w:rPr>
                <w:rFonts w:ascii="Calibri" w:eastAsia="Times New Roman" w:hAnsi="Calibri" w:cs="Calibri"/>
                <w:b/>
                <w:bCs/>
                <w:lang w:eastAsia="en-GB"/>
              </w:rPr>
              <w:t>%</w:t>
            </w:r>
          </w:p>
        </w:tc>
        <w:tc>
          <w:tcPr>
            <w:tcW w:w="0" w:type="auto"/>
            <w:tcBorders>
              <w:top w:val="nil"/>
              <w:left w:val="nil"/>
              <w:bottom w:val="single" w:sz="4" w:space="0" w:color="0070C0"/>
              <w:right w:val="single" w:sz="4" w:space="0" w:color="0070C0"/>
            </w:tcBorders>
            <w:shd w:val="clear" w:color="000000" w:fill="FFFFFF"/>
            <w:vAlign w:val="center"/>
            <w:hideMark/>
          </w:tcPr>
          <w:p w:rsidR="00EC58CE" w:rsidRPr="00626DA4" w:rsidRDefault="00AE0876" w:rsidP="00A9703B">
            <w:pPr>
              <w:spacing w:after="0" w:line="240" w:lineRule="auto"/>
              <w:jc w:val="center"/>
              <w:rPr>
                <w:rFonts w:ascii="Calibri" w:eastAsia="Times New Roman" w:hAnsi="Calibri" w:cs="Calibri"/>
                <w:b/>
                <w:bCs/>
                <w:highlight w:val="magenta"/>
                <w:lang w:eastAsia="en-GB"/>
              </w:rPr>
            </w:pPr>
            <w:r w:rsidRPr="005C006E">
              <w:rPr>
                <w:rFonts w:ascii="Calibri" w:eastAsia="Times New Roman" w:hAnsi="Calibri" w:cs="Calibri"/>
                <w:b/>
                <w:bCs/>
                <w:lang w:eastAsia="en-GB"/>
              </w:rPr>
              <w:t>9</w:t>
            </w:r>
            <w:r w:rsidR="005C006E" w:rsidRPr="005C006E">
              <w:rPr>
                <w:rFonts w:ascii="Calibri" w:eastAsia="Times New Roman" w:hAnsi="Calibri" w:cs="Calibri"/>
                <w:b/>
                <w:bCs/>
                <w:lang w:eastAsia="en-GB"/>
              </w:rPr>
              <w:t>6.3</w:t>
            </w:r>
            <w:r w:rsidR="00A9703B">
              <w:rPr>
                <w:rFonts w:ascii="Calibri" w:eastAsia="Times New Roman" w:hAnsi="Calibri" w:cs="Calibri"/>
                <w:b/>
                <w:bCs/>
                <w:lang w:eastAsia="en-GB"/>
              </w:rPr>
              <w:t>3</w:t>
            </w:r>
            <w:r w:rsidR="00EC58CE" w:rsidRPr="005C006E">
              <w:rPr>
                <w:rFonts w:ascii="Calibri" w:eastAsia="Times New Roman" w:hAnsi="Calibri" w:cs="Calibri"/>
                <w:b/>
                <w:bCs/>
                <w:lang w:eastAsia="en-GB"/>
              </w:rPr>
              <w:t>%</w:t>
            </w:r>
          </w:p>
        </w:tc>
        <w:tc>
          <w:tcPr>
            <w:tcW w:w="0" w:type="auto"/>
            <w:tcBorders>
              <w:top w:val="nil"/>
              <w:left w:val="nil"/>
              <w:bottom w:val="single" w:sz="4" w:space="0" w:color="0070C0"/>
              <w:right w:val="single" w:sz="4" w:space="0" w:color="0070C0"/>
            </w:tcBorders>
            <w:shd w:val="clear" w:color="000000" w:fill="A9D08E"/>
            <w:vAlign w:val="center"/>
            <w:hideMark/>
          </w:tcPr>
          <w:p w:rsidR="00EC58CE" w:rsidRPr="00626DA4" w:rsidRDefault="00EC58CE" w:rsidP="00EC58CE">
            <w:pPr>
              <w:spacing w:after="0" w:line="240" w:lineRule="auto"/>
              <w:jc w:val="center"/>
              <w:rPr>
                <w:rFonts w:ascii="Calibri" w:eastAsia="Times New Roman" w:hAnsi="Calibri" w:cs="Calibri"/>
                <w:b/>
                <w:bCs/>
                <w:color w:val="000000"/>
                <w:highlight w:val="magenta"/>
                <w:lang w:eastAsia="en-GB"/>
              </w:rPr>
            </w:pPr>
            <w:r w:rsidRPr="00B02FD5">
              <w:rPr>
                <w:rFonts w:ascii="Calibri" w:eastAsia="Times New Roman" w:hAnsi="Calibri" w:cs="Calibri"/>
                <w:b/>
                <w:bCs/>
                <w:color w:val="000000"/>
                <w:lang w:eastAsia="en-GB"/>
              </w:rPr>
              <w:t>&gt;95%</w:t>
            </w:r>
          </w:p>
        </w:tc>
      </w:tr>
    </w:tbl>
    <w:p w:rsidR="00E13962" w:rsidRDefault="00E13962" w:rsidP="0029747E">
      <w:pPr>
        <w:spacing w:before="120" w:after="120" w:line="240" w:lineRule="auto"/>
        <w:jc w:val="both"/>
        <w:rPr>
          <w:rFonts w:ascii="Verdana" w:eastAsia="Times New Roman" w:hAnsi="Verdana" w:cs="Times New Roman"/>
          <w:color w:val="000000" w:themeColor="text1"/>
          <w:kern w:val="24"/>
          <w:sz w:val="24"/>
          <w:szCs w:val="24"/>
          <w:lang w:eastAsia="en-GB"/>
        </w:rPr>
      </w:pPr>
    </w:p>
    <w:p w:rsidR="00DA25D9" w:rsidRPr="00E20F25" w:rsidRDefault="0029747E" w:rsidP="0029747E">
      <w:pPr>
        <w:spacing w:before="120" w:after="120" w:line="240" w:lineRule="auto"/>
        <w:jc w:val="both"/>
        <w:rPr>
          <w:rFonts w:ascii="Verdana" w:eastAsia="Times New Roman" w:hAnsi="Verdana" w:cs="Times New Roman"/>
          <w:color w:val="000000" w:themeColor="text1"/>
          <w:kern w:val="24"/>
          <w:sz w:val="24"/>
          <w:szCs w:val="24"/>
          <w:lang w:eastAsia="en-GB"/>
        </w:rPr>
      </w:pPr>
      <w:r w:rsidRPr="00B02FD5">
        <w:rPr>
          <w:rFonts w:ascii="Verdana" w:eastAsia="Times New Roman" w:hAnsi="Verdana" w:cs="Times New Roman"/>
          <w:color w:val="000000" w:themeColor="text1"/>
          <w:kern w:val="24"/>
          <w:sz w:val="24"/>
          <w:szCs w:val="24"/>
          <w:lang w:eastAsia="en-GB"/>
        </w:rPr>
        <w:t xml:space="preserve">The cumulative reported position for Public Health Wales is a net surplus of </w:t>
      </w:r>
      <w:r w:rsidR="00E20F25" w:rsidRPr="00B02FD5">
        <w:rPr>
          <w:rFonts w:ascii="Verdana" w:eastAsia="Times New Roman" w:hAnsi="Verdana" w:cs="Times New Roman"/>
          <w:color w:val="000000" w:themeColor="text1"/>
          <w:kern w:val="24"/>
          <w:sz w:val="24"/>
          <w:szCs w:val="24"/>
          <w:lang w:eastAsia="en-GB"/>
        </w:rPr>
        <w:t>£</w:t>
      </w:r>
      <w:r w:rsidR="00B02FD5" w:rsidRPr="00B02FD5">
        <w:rPr>
          <w:rFonts w:ascii="Verdana" w:eastAsia="Times New Roman" w:hAnsi="Verdana" w:cs="Times New Roman"/>
          <w:color w:val="000000" w:themeColor="text1"/>
          <w:kern w:val="24"/>
          <w:sz w:val="24"/>
          <w:szCs w:val="24"/>
          <w:lang w:eastAsia="en-GB"/>
        </w:rPr>
        <w:t>2</w:t>
      </w:r>
      <w:r w:rsidR="00A9703B">
        <w:rPr>
          <w:rFonts w:ascii="Verdana" w:eastAsia="Times New Roman" w:hAnsi="Verdana" w:cs="Times New Roman"/>
          <w:color w:val="000000" w:themeColor="text1"/>
          <w:kern w:val="24"/>
          <w:sz w:val="24"/>
          <w:szCs w:val="24"/>
          <w:lang w:eastAsia="en-GB"/>
        </w:rPr>
        <w:t>61</w:t>
      </w:r>
      <w:r w:rsidRPr="00B02FD5">
        <w:rPr>
          <w:rFonts w:ascii="Verdana" w:eastAsia="Times New Roman" w:hAnsi="Verdana" w:cs="Times New Roman"/>
          <w:color w:val="000000" w:themeColor="text1"/>
          <w:kern w:val="24"/>
          <w:sz w:val="24"/>
          <w:szCs w:val="24"/>
          <w:lang w:eastAsia="en-GB"/>
        </w:rPr>
        <w:t>k.</w:t>
      </w:r>
    </w:p>
    <w:p w:rsidR="00291A04" w:rsidRDefault="00291A04" w:rsidP="00794AC9">
      <w:pPr>
        <w:pStyle w:val="ListParagraph"/>
        <w:spacing w:before="120" w:after="120" w:line="256" w:lineRule="auto"/>
        <w:ind w:left="1530"/>
        <w:jc w:val="both"/>
        <w:rPr>
          <w:rFonts w:ascii="Verdana" w:hAnsi="Verdana"/>
          <w:highlight w:val="magenta"/>
        </w:rPr>
      </w:pPr>
    </w:p>
    <w:p w:rsidR="00E13962" w:rsidRPr="000411A5" w:rsidRDefault="00E13962" w:rsidP="00794AC9">
      <w:pPr>
        <w:pStyle w:val="ListParagraph"/>
        <w:spacing w:before="120" w:after="120" w:line="256" w:lineRule="auto"/>
        <w:ind w:left="1530"/>
        <w:jc w:val="both"/>
        <w:rPr>
          <w:rFonts w:ascii="Verdana" w:hAnsi="Verdana"/>
          <w:highlight w:val="magenta"/>
        </w:rPr>
      </w:pPr>
    </w:p>
    <w:p w:rsidR="00AA223C" w:rsidRPr="00E20F25" w:rsidRDefault="00B73677" w:rsidP="00E13962">
      <w:pPr>
        <w:pStyle w:val="ListParagraph"/>
        <w:numPr>
          <w:ilvl w:val="0"/>
          <w:numId w:val="2"/>
        </w:numPr>
        <w:ind w:hanging="720"/>
        <w:jc w:val="both"/>
        <w:rPr>
          <w:rFonts w:ascii="Verdana" w:eastAsia="Times New Roman" w:hAnsi="Verdana"/>
          <w:b/>
          <w:u w:val="single"/>
        </w:rPr>
      </w:pPr>
      <w:r w:rsidRPr="00E20F25">
        <w:rPr>
          <w:rFonts w:ascii="Verdana" w:eastAsia="Times New Roman" w:hAnsi="Verdana"/>
          <w:b/>
          <w:u w:val="single"/>
        </w:rPr>
        <w:t xml:space="preserve">Overview of </w:t>
      </w:r>
      <w:r w:rsidR="00794AC9" w:rsidRPr="00E20F25">
        <w:rPr>
          <w:rFonts w:ascii="Verdana" w:eastAsia="Times New Roman" w:hAnsi="Verdana"/>
          <w:b/>
          <w:u w:val="single"/>
        </w:rPr>
        <w:t>F</w:t>
      </w:r>
      <w:r w:rsidR="000B2D22" w:rsidRPr="00E20F25">
        <w:rPr>
          <w:rFonts w:ascii="Verdana" w:eastAsia="Times New Roman" w:hAnsi="Verdana"/>
          <w:b/>
          <w:u w:val="single"/>
        </w:rPr>
        <w:t xml:space="preserve">inancial Performance at Month </w:t>
      </w:r>
      <w:r w:rsidR="00A9703B">
        <w:rPr>
          <w:rFonts w:ascii="Verdana" w:eastAsia="Times New Roman" w:hAnsi="Verdana"/>
          <w:b/>
          <w:u w:val="single"/>
        </w:rPr>
        <w:t>9</w:t>
      </w:r>
    </w:p>
    <w:p w:rsidR="000B2D22" w:rsidRDefault="000B2D22" w:rsidP="000B2D22">
      <w:pPr>
        <w:pStyle w:val="ListParagraph"/>
        <w:jc w:val="both"/>
        <w:rPr>
          <w:rFonts w:ascii="Verdana" w:eastAsia="Times New Roman" w:hAnsi="Verdana"/>
          <w:b/>
          <w:u w:val="single"/>
        </w:rPr>
      </w:pPr>
    </w:p>
    <w:p w:rsidR="00E13962" w:rsidRPr="00E20F25" w:rsidRDefault="00E13962" w:rsidP="000B2D22">
      <w:pPr>
        <w:pStyle w:val="ListParagraph"/>
        <w:jc w:val="both"/>
        <w:rPr>
          <w:rFonts w:ascii="Verdana" w:eastAsia="Times New Roman" w:hAnsi="Verdana"/>
          <w:b/>
          <w:u w:val="single"/>
        </w:rPr>
      </w:pPr>
    </w:p>
    <w:p w:rsidR="002D34FE" w:rsidRPr="00E20F25" w:rsidRDefault="002D34FE" w:rsidP="002D34FE">
      <w:pPr>
        <w:jc w:val="both"/>
        <w:rPr>
          <w:rFonts w:ascii="Verdana" w:eastAsia="Times New Roman" w:hAnsi="Verdana"/>
          <w:b/>
          <w:sz w:val="24"/>
          <w:szCs w:val="24"/>
        </w:rPr>
      </w:pPr>
      <w:r w:rsidRPr="00E20F25">
        <w:rPr>
          <w:rFonts w:ascii="Verdana" w:eastAsia="Times New Roman" w:hAnsi="Verdana"/>
          <w:b/>
          <w:sz w:val="24"/>
          <w:szCs w:val="24"/>
        </w:rPr>
        <w:t>Financial Performance by Directorate</w:t>
      </w:r>
    </w:p>
    <w:p w:rsidR="00C54F63" w:rsidRDefault="00AA223C" w:rsidP="002D34FE">
      <w:pPr>
        <w:jc w:val="both"/>
        <w:rPr>
          <w:rFonts w:ascii="Verdana" w:eastAsia="Times New Roman" w:hAnsi="Verdana"/>
          <w:sz w:val="24"/>
          <w:szCs w:val="24"/>
        </w:rPr>
      </w:pPr>
      <w:r w:rsidRPr="00E20F25">
        <w:rPr>
          <w:rFonts w:ascii="Verdana" w:eastAsia="Times New Roman" w:hAnsi="Verdana"/>
          <w:sz w:val="24"/>
          <w:szCs w:val="24"/>
        </w:rPr>
        <w:t xml:space="preserve">Table </w:t>
      </w:r>
      <w:r w:rsidR="00E13962">
        <w:rPr>
          <w:rFonts w:ascii="Verdana" w:eastAsia="Times New Roman" w:hAnsi="Verdana"/>
          <w:sz w:val="24"/>
          <w:szCs w:val="24"/>
        </w:rPr>
        <w:t>B</w:t>
      </w:r>
      <w:r w:rsidRPr="00E20F25">
        <w:rPr>
          <w:rFonts w:ascii="Verdana" w:eastAsia="Times New Roman" w:hAnsi="Verdana"/>
          <w:sz w:val="24"/>
          <w:szCs w:val="24"/>
        </w:rPr>
        <w:t xml:space="preserve"> outlines the Financial Performance by Directorate</w:t>
      </w:r>
      <w:r w:rsidR="00F86D9E" w:rsidRPr="00E20F25">
        <w:rPr>
          <w:rFonts w:ascii="Verdana" w:eastAsia="Times New Roman" w:hAnsi="Verdana"/>
          <w:sz w:val="24"/>
          <w:szCs w:val="24"/>
        </w:rPr>
        <w:t>.</w:t>
      </w:r>
    </w:p>
    <w:p w:rsidR="00E13962" w:rsidRDefault="00E13962" w:rsidP="002D34FE">
      <w:pPr>
        <w:jc w:val="both"/>
        <w:rPr>
          <w:rFonts w:ascii="Verdana" w:eastAsia="Times New Roman" w:hAnsi="Verdana"/>
          <w:sz w:val="24"/>
          <w:szCs w:val="24"/>
        </w:rPr>
      </w:pPr>
    </w:p>
    <w:p w:rsidR="00E13962" w:rsidRDefault="00E13962" w:rsidP="002D34FE">
      <w:pPr>
        <w:jc w:val="both"/>
        <w:rPr>
          <w:rFonts w:ascii="Verdana" w:eastAsia="Times New Roman" w:hAnsi="Verdana"/>
          <w:sz w:val="24"/>
          <w:szCs w:val="24"/>
        </w:rPr>
      </w:pPr>
    </w:p>
    <w:p w:rsidR="00E13962" w:rsidRDefault="00E13962" w:rsidP="002D34FE">
      <w:pPr>
        <w:jc w:val="both"/>
        <w:rPr>
          <w:rFonts w:ascii="Verdana" w:eastAsia="Times New Roman" w:hAnsi="Verdana"/>
          <w:sz w:val="24"/>
          <w:szCs w:val="24"/>
        </w:rPr>
      </w:pPr>
    </w:p>
    <w:p w:rsidR="00E13962" w:rsidRPr="00E20F25" w:rsidRDefault="00E13962" w:rsidP="002D34FE">
      <w:pPr>
        <w:jc w:val="both"/>
        <w:rPr>
          <w:rFonts w:ascii="Verdana" w:eastAsia="Times New Roman" w:hAnsi="Verdana"/>
          <w:sz w:val="24"/>
          <w:szCs w:val="24"/>
        </w:rPr>
      </w:pPr>
    </w:p>
    <w:p w:rsidR="00493F87" w:rsidRDefault="00B6467E" w:rsidP="00DA25D9">
      <w:pPr>
        <w:tabs>
          <w:tab w:val="num" w:pos="1008"/>
          <w:tab w:val="left" w:pos="8222"/>
        </w:tabs>
        <w:spacing w:before="240" w:line="240" w:lineRule="auto"/>
        <w:ind w:right="-284" w:hanging="17"/>
        <w:jc w:val="both"/>
        <w:rPr>
          <w:rFonts w:ascii="Verdana" w:hAnsi="Verdana"/>
          <w:b/>
          <w:sz w:val="24"/>
          <w:szCs w:val="24"/>
        </w:rPr>
      </w:pPr>
      <w:r w:rsidRPr="00E20F25">
        <w:rPr>
          <w:rFonts w:ascii="Verdana" w:hAnsi="Verdana"/>
          <w:b/>
          <w:sz w:val="24"/>
          <w:szCs w:val="24"/>
        </w:rPr>
        <w:t xml:space="preserve">Table </w:t>
      </w:r>
      <w:r w:rsidR="00E13962">
        <w:rPr>
          <w:rFonts w:ascii="Verdana" w:hAnsi="Verdana"/>
          <w:b/>
          <w:sz w:val="24"/>
          <w:szCs w:val="24"/>
        </w:rPr>
        <w:t>B</w:t>
      </w:r>
      <w:r w:rsidR="00FE66BE" w:rsidRPr="00E20F25">
        <w:rPr>
          <w:rFonts w:ascii="Verdana" w:hAnsi="Verdana"/>
          <w:b/>
          <w:sz w:val="24"/>
          <w:szCs w:val="24"/>
        </w:rPr>
        <w:t xml:space="preserve"> – Overview of Financial Performance by Directorate</w:t>
      </w:r>
      <w:r w:rsidR="00C54F63" w:rsidRPr="00E20F25">
        <w:rPr>
          <w:rFonts w:ascii="Verdana" w:hAnsi="Verdana"/>
          <w:b/>
          <w:sz w:val="24"/>
          <w:szCs w:val="24"/>
        </w:rPr>
        <w:t xml:space="preserve"> </w:t>
      </w:r>
    </w:p>
    <w:tbl>
      <w:tblPr>
        <w:tblW w:w="9008" w:type="dxa"/>
        <w:tblLook w:val="04A0" w:firstRow="1" w:lastRow="0" w:firstColumn="1" w:lastColumn="0" w:noHBand="0" w:noVBand="1"/>
      </w:tblPr>
      <w:tblGrid>
        <w:gridCol w:w="4280"/>
        <w:gridCol w:w="1256"/>
        <w:gridCol w:w="1256"/>
        <w:gridCol w:w="1256"/>
        <w:gridCol w:w="960"/>
      </w:tblGrid>
      <w:tr w:rsidR="00BE79D1" w:rsidRPr="00BE79D1" w:rsidTr="00905A60">
        <w:trPr>
          <w:trHeight w:val="1200"/>
        </w:trPr>
        <w:tc>
          <w:tcPr>
            <w:tcW w:w="4280" w:type="dxa"/>
            <w:tcBorders>
              <w:top w:val="single" w:sz="4" w:space="0" w:color="F2F2F2"/>
              <w:left w:val="single" w:sz="4" w:space="0" w:color="F2F2F2"/>
              <w:bottom w:val="nil"/>
              <w:right w:val="nil"/>
            </w:tcBorders>
            <w:shd w:val="clear" w:color="DDEBF7" w:fill="2F75B5"/>
            <w:hideMark/>
          </w:tcPr>
          <w:p w:rsidR="00BE79D1" w:rsidRPr="00BE79D1" w:rsidRDefault="00BE79D1" w:rsidP="00BE79D1">
            <w:pPr>
              <w:spacing w:after="0" w:line="240" w:lineRule="auto"/>
              <w:jc w:val="center"/>
              <w:rPr>
                <w:rFonts w:ascii="Calibri" w:eastAsia="Times New Roman" w:hAnsi="Calibri" w:cs="Calibri"/>
                <w:b/>
                <w:bCs/>
                <w:color w:val="FFFFFF"/>
                <w:lang w:eastAsia="en-GB"/>
              </w:rPr>
            </w:pPr>
            <w:r w:rsidRPr="00BE79D1">
              <w:rPr>
                <w:rFonts w:ascii="Calibri" w:eastAsia="Times New Roman" w:hAnsi="Calibri" w:cs="Calibri"/>
                <w:b/>
                <w:bCs/>
                <w:color w:val="FFFFFF"/>
                <w:lang w:eastAsia="en-GB"/>
              </w:rPr>
              <w:t>Directorate</w:t>
            </w:r>
          </w:p>
        </w:tc>
        <w:tc>
          <w:tcPr>
            <w:tcW w:w="1256" w:type="dxa"/>
            <w:tcBorders>
              <w:top w:val="single" w:sz="4" w:space="0" w:color="F2F2F2"/>
              <w:left w:val="nil"/>
              <w:bottom w:val="nil"/>
              <w:right w:val="nil"/>
            </w:tcBorders>
            <w:shd w:val="clear" w:color="DDEBF7" w:fill="2F75B5"/>
            <w:hideMark/>
          </w:tcPr>
          <w:p w:rsidR="00BE79D1" w:rsidRPr="00BE79D1" w:rsidRDefault="00BE79D1" w:rsidP="00BE79D1">
            <w:pPr>
              <w:spacing w:after="0" w:line="240" w:lineRule="auto"/>
              <w:jc w:val="center"/>
              <w:rPr>
                <w:rFonts w:ascii="Calibri" w:eastAsia="Times New Roman" w:hAnsi="Calibri" w:cs="Calibri"/>
                <w:b/>
                <w:bCs/>
                <w:color w:val="FFFFFF"/>
                <w:lang w:eastAsia="en-GB"/>
              </w:rPr>
            </w:pPr>
            <w:r w:rsidRPr="00BE79D1">
              <w:rPr>
                <w:rFonts w:ascii="Calibri" w:eastAsia="Times New Roman" w:hAnsi="Calibri" w:cs="Calibri"/>
                <w:b/>
                <w:bCs/>
                <w:color w:val="FFFFFF"/>
                <w:lang w:eastAsia="en-GB"/>
              </w:rPr>
              <w:t>Income Cumulative Variance £000s</w:t>
            </w:r>
          </w:p>
        </w:tc>
        <w:tc>
          <w:tcPr>
            <w:tcW w:w="1256" w:type="dxa"/>
            <w:tcBorders>
              <w:top w:val="single" w:sz="4" w:space="0" w:color="F2F2F2"/>
              <w:left w:val="nil"/>
              <w:bottom w:val="nil"/>
              <w:right w:val="nil"/>
            </w:tcBorders>
            <w:shd w:val="clear" w:color="DDEBF7" w:fill="2F75B5"/>
            <w:hideMark/>
          </w:tcPr>
          <w:p w:rsidR="00BE79D1" w:rsidRPr="00BE79D1" w:rsidRDefault="00BE79D1" w:rsidP="00BE79D1">
            <w:pPr>
              <w:spacing w:after="0" w:line="240" w:lineRule="auto"/>
              <w:jc w:val="center"/>
              <w:rPr>
                <w:rFonts w:ascii="Calibri" w:eastAsia="Times New Roman" w:hAnsi="Calibri" w:cs="Calibri"/>
                <w:b/>
                <w:bCs/>
                <w:color w:val="FFFFFF"/>
                <w:lang w:eastAsia="en-GB"/>
              </w:rPr>
            </w:pPr>
            <w:r w:rsidRPr="00BE79D1">
              <w:rPr>
                <w:rFonts w:ascii="Calibri" w:eastAsia="Times New Roman" w:hAnsi="Calibri" w:cs="Calibri"/>
                <w:b/>
                <w:bCs/>
                <w:color w:val="FFFFFF"/>
                <w:lang w:eastAsia="en-GB"/>
              </w:rPr>
              <w:t>Pay Cumulative Variance £000s</w:t>
            </w:r>
          </w:p>
        </w:tc>
        <w:tc>
          <w:tcPr>
            <w:tcW w:w="1256" w:type="dxa"/>
            <w:tcBorders>
              <w:top w:val="single" w:sz="4" w:space="0" w:color="F2F2F2"/>
              <w:left w:val="nil"/>
              <w:bottom w:val="nil"/>
              <w:right w:val="single" w:sz="4" w:space="0" w:color="F2F2F2"/>
            </w:tcBorders>
            <w:shd w:val="clear" w:color="DDEBF7" w:fill="2F75B5"/>
            <w:hideMark/>
          </w:tcPr>
          <w:p w:rsidR="00BE79D1" w:rsidRPr="00BE79D1" w:rsidRDefault="00BE79D1" w:rsidP="00BE79D1">
            <w:pPr>
              <w:spacing w:after="0" w:line="240" w:lineRule="auto"/>
              <w:jc w:val="center"/>
              <w:rPr>
                <w:rFonts w:ascii="Calibri" w:eastAsia="Times New Roman" w:hAnsi="Calibri" w:cs="Calibri"/>
                <w:b/>
                <w:bCs/>
                <w:color w:val="FFFFFF"/>
                <w:lang w:eastAsia="en-GB"/>
              </w:rPr>
            </w:pPr>
            <w:r w:rsidRPr="00BE79D1">
              <w:rPr>
                <w:rFonts w:ascii="Calibri" w:eastAsia="Times New Roman" w:hAnsi="Calibri" w:cs="Calibri"/>
                <w:b/>
                <w:bCs/>
                <w:color w:val="FFFFFF"/>
                <w:lang w:eastAsia="en-GB"/>
              </w:rPr>
              <w:t>Non</w:t>
            </w:r>
            <w:r>
              <w:rPr>
                <w:rFonts w:ascii="Calibri" w:eastAsia="Times New Roman" w:hAnsi="Calibri" w:cs="Calibri"/>
                <w:b/>
                <w:bCs/>
                <w:color w:val="FFFFFF"/>
                <w:lang w:eastAsia="en-GB"/>
              </w:rPr>
              <w:t xml:space="preserve"> </w:t>
            </w:r>
            <w:r w:rsidRPr="00BE79D1">
              <w:rPr>
                <w:rFonts w:ascii="Calibri" w:eastAsia="Times New Roman" w:hAnsi="Calibri" w:cs="Calibri"/>
                <w:b/>
                <w:bCs/>
                <w:color w:val="FFFFFF"/>
                <w:lang w:eastAsia="en-GB"/>
              </w:rPr>
              <w:t>Pay Cumulative Variance £000s</w:t>
            </w:r>
          </w:p>
        </w:tc>
        <w:tc>
          <w:tcPr>
            <w:tcW w:w="960" w:type="dxa"/>
            <w:tcBorders>
              <w:top w:val="single" w:sz="4" w:space="0" w:color="F2F2F2"/>
              <w:left w:val="nil"/>
              <w:bottom w:val="nil"/>
              <w:right w:val="nil"/>
            </w:tcBorders>
            <w:shd w:val="clear" w:color="DDEBF7" w:fill="2F75B5"/>
            <w:hideMark/>
          </w:tcPr>
          <w:p w:rsidR="00BE79D1" w:rsidRPr="00BE79D1" w:rsidRDefault="00BE79D1" w:rsidP="00BE79D1">
            <w:pPr>
              <w:spacing w:after="0" w:line="240" w:lineRule="auto"/>
              <w:jc w:val="center"/>
              <w:rPr>
                <w:rFonts w:ascii="Calibri" w:eastAsia="Times New Roman" w:hAnsi="Calibri" w:cs="Calibri"/>
                <w:b/>
                <w:bCs/>
                <w:color w:val="FFFFFF"/>
                <w:lang w:eastAsia="en-GB"/>
              </w:rPr>
            </w:pPr>
            <w:r w:rsidRPr="00BE79D1">
              <w:rPr>
                <w:rFonts w:ascii="Calibri" w:eastAsia="Times New Roman" w:hAnsi="Calibri" w:cs="Calibri"/>
                <w:b/>
                <w:bCs/>
                <w:color w:val="FFFFFF"/>
                <w:lang w:eastAsia="en-GB"/>
              </w:rPr>
              <w:t>Grand Total £000s</w:t>
            </w:r>
          </w:p>
        </w:tc>
      </w:tr>
      <w:tr w:rsidR="005524EE" w:rsidRPr="00905A60" w:rsidTr="00905A60">
        <w:trPr>
          <w:trHeight w:val="300"/>
        </w:trPr>
        <w:tc>
          <w:tcPr>
            <w:tcW w:w="4280" w:type="dxa"/>
            <w:tcBorders>
              <w:top w:val="nil"/>
              <w:left w:val="nil"/>
              <w:bottom w:val="nil"/>
              <w:right w:val="nil"/>
            </w:tcBorders>
            <w:shd w:val="clear" w:color="000000" w:fill="FFFFFF"/>
            <w:noWrap/>
            <w:vAlign w:val="bottom"/>
            <w:hideMark/>
          </w:tcPr>
          <w:p w:rsidR="005524EE" w:rsidRPr="00BE79D1" w:rsidRDefault="005524EE" w:rsidP="005524EE">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Central Budgets Directorate</w:t>
            </w:r>
          </w:p>
        </w:tc>
        <w:tc>
          <w:tcPr>
            <w:tcW w:w="1256" w:type="dxa"/>
            <w:tcBorders>
              <w:top w:val="nil"/>
              <w:left w:val="nil"/>
              <w:bottom w:val="nil"/>
              <w:right w:val="nil"/>
            </w:tcBorders>
            <w:shd w:val="clear" w:color="000000" w:fill="FFFFFF"/>
            <w:noWrap/>
            <w:vAlign w:val="bottom"/>
            <w:hideMark/>
          </w:tcPr>
          <w:p w:rsidR="005524EE" w:rsidRPr="00905A60" w:rsidRDefault="005524EE"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-1</w:t>
            </w:r>
            <w:r w:rsidR="00642491">
              <w:rPr>
                <w:rFonts w:ascii="Calibri" w:hAnsi="Calibri" w:cs="Calibri"/>
                <w:color w:val="FF0000"/>
              </w:rPr>
              <w:t>74</w:t>
            </w:r>
          </w:p>
        </w:tc>
        <w:tc>
          <w:tcPr>
            <w:tcW w:w="1256" w:type="dxa"/>
            <w:tcBorders>
              <w:top w:val="nil"/>
              <w:left w:val="nil"/>
              <w:bottom w:val="nil"/>
              <w:right w:val="nil"/>
            </w:tcBorders>
            <w:shd w:val="clear" w:color="000000" w:fill="FFFFFF"/>
            <w:noWrap/>
            <w:vAlign w:val="bottom"/>
            <w:hideMark/>
          </w:tcPr>
          <w:p w:rsidR="005524EE" w:rsidRPr="00905A60" w:rsidRDefault="00642491" w:rsidP="00642491">
            <w:pPr>
              <w:spacing w:after="0" w:line="240" w:lineRule="auto"/>
              <w:jc w:val="right"/>
              <w:rPr>
                <w:rFonts w:ascii="Calibri" w:eastAsia="Times New Roman" w:hAnsi="Calibri" w:cs="Calibri"/>
                <w:color w:val="000000"/>
                <w:lang w:eastAsia="en-GB"/>
              </w:rPr>
            </w:pPr>
            <w:r>
              <w:rPr>
                <w:rFonts w:ascii="Calibri" w:hAnsi="Calibri" w:cs="Calibri"/>
                <w:color w:val="000000"/>
              </w:rPr>
              <w:t>22</w:t>
            </w:r>
          </w:p>
        </w:tc>
        <w:tc>
          <w:tcPr>
            <w:tcW w:w="1256" w:type="dxa"/>
            <w:tcBorders>
              <w:top w:val="nil"/>
              <w:left w:val="nil"/>
              <w:bottom w:val="nil"/>
              <w:right w:val="nil"/>
            </w:tcBorders>
            <w:shd w:val="clear" w:color="000000" w:fill="FFFFFF"/>
            <w:noWrap/>
            <w:vAlign w:val="bottom"/>
            <w:hideMark/>
          </w:tcPr>
          <w:p w:rsidR="005524EE" w:rsidRPr="00905A60" w:rsidRDefault="00642491" w:rsidP="00642491">
            <w:pPr>
              <w:spacing w:after="0" w:line="240" w:lineRule="auto"/>
              <w:jc w:val="right"/>
              <w:rPr>
                <w:rFonts w:ascii="Calibri" w:eastAsia="Times New Roman" w:hAnsi="Calibri" w:cs="Calibri"/>
                <w:color w:val="000000"/>
                <w:lang w:eastAsia="en-GB"/>
              </w:rPr>
            </w:pPr>
            <w:r w:rsidRPr="00642491">
              <w:rPr>
                <w:rFonts w:ascii="Calibri" w:hAnsi="Calibri" w:cs="Calibri"/>
                <w:color w:val="FF0000"/>
              </w:rPr>
              <w:t>-5</w:t>
            </w:r>
          </w:p>
        </w:tc>
        <w:tc>
          <w:tcPr>
            <w:tcW w:w="960" w:type="dxa"/>
            <w:tcBorders>
              <w:top w:val="nil"/>
              <w:left w:val="nil"/>
              <w:bottom w:val="nil"/>
              <w:right w:val="nil"/>
            </w:tcBorders>
            <w:shd w:val="clear" w:color="000000" w:fill="FFFFFF"/>
            <w:noWrap/>
            <w:vAlign w:val="bottom"/>
            <w:hideMark/>
          </w:tcPr>
          <w:p w:rsidR="005524EE" w:rsidRPr="00905A60" w:rsidRDefault="00642491"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-157</w:t>
            </w:r>
          </w:p>
        </w:tc>
      </w:tr>
      <w:tr w:rsidR="005524EE" w:rsidRPr="00905A60" w:rsidTr="00905A60">
        <w:trPr>
          <w:trHeight w:val="300"/>
        </w:trPr>
        <w:tc>
          <w:tcPr>
            <w:tcW w:w="4280" w:type="dxa"/>
            <w:tcBorders>
              <w:top w:val="nil"/>
              <w:left w:val="nil"/>
              <w:bottom w:val="nil"/>
              <w:right w:val="nil"/>
            </w:tcBorders>
            <w:shd w:val="clear" w:color="000000" w:fill="FFFFFF"/>
            <w:noWrap/>
            <w:vAlign w:val="bottom"/>
            <w:hideMark/>
          </w:tcPr>
          <w:p w:rsidR="005524EE" w:rsidRPr="00BE79D1" w:rsidRDefault="005524EE" w:rsidP="005524EE">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Board and Corporate</w:t>
            </w:r>
          </w:p>
        </w:tc>
        <w:tc>
          <w:tcPr>
            <w:tcW w:w="1256" w:type="dxa"/>
            <w:tcBorders>
              <w:top w:val="nil"/>
              <w:left w:val="nil"/>
              <w:bottom w:val="nil"/>
              <w:right w:val="nil"/>
            </w:tcBorders>
            <w:shd w:val="clear" w:color="000000" w:fill="FFFFFF"/>
            <w:noWrap/>
            <w:vAlign w:val="bottom"/>
            <w:hideMark/>
          </w:tcPr>
          <w:p w:rsidR="005524EE" w:rsidRPr="00642491" w:rsidRDefault="005524EE" w:rsidP="005524EE">
            <w:pPr>
              <w:spacing w:after="0" w:line="240" w:lineRule="auto"/>
              <w:jc w:val="right"/>
              <w:rPr>
                <w:rFonts w:ascii="Calibri" w:eastAsia="Times New Roman" w:hAnsi="Calibri" w:cs="Calibri"/>
                <w:lang w:eastAsia="en-GB"/>
              </w:rPr>
            </w:pPr>
            <w:r w:rsidRPr="00642491">
              <w:rPr>
                <w:rFonts w:ascii="Calibri" w:hAnsi="Calibri" w:cs="Calibri"/>
              </w:rPr>
              <w:t>0</w:t>
            </w:r>
          </w:p>
        </w:tc>
        <w:tc>
          <w:tcPr>
            <w:tcW w:w="1256" w:type="dxa"/>
            <w:tcBorders>
              <w:top w:val="nil"/>
              <w:left w:val="nil"/>
              <w:bottom w:val="nil"/>
              <w:right w:val="nil"/>
            </w:tcBorders>
            <w:shd w:val="clear" w:color="000000" w:fill="FFFFFF"/>
            <w:noWrap/>
            <w:vAlign w:val="bottom"/>
            <w:hideMark/>
          </w:tcPr>
          <w:p w:rsidR="005524EE" w:rsidRPr="00642491" w:rsidRDefault="00642491" w:rsidP="00642491">
            <w:pPr>
              <w:spacing w:after="0" w:line="240" w:lineRule="auto"/>
              <w:jc w:val="right"/>
              <w:rPr>
                <w:rFonts w:ascii="Calibri" w:eastAsia="Times New Roman" w:hAnsi="Calibri" w:cs="Calibri"/>
                <w:lang w:eastAsia="en-GB"/>
              </w:rPr>
            </w:pPr>
            <w:r w:rsidRPr="00642491">
              <w:rPr>
                <w:rFonts w:ascii="Calibri" w:hAnsi="Calibri" w:cs="Calibri"/>
              </w:rPr>
              <w:t>20</w:t>
            </w:r>
          </w:p>
        </w:tc>
        <w:tc>
          <w:tcPr>
            <w:tcW w:w="1256" w:type="dxa"/>
            <w:tcBorders>
              <w:top w:val="nil"/>
              <w:left w:val="nil"/>
              <w:bottom w:val="nil"/>
              <w:right w:val="nil"/>
            </w:tcBorders>
            <w:shd w:val="clear" w:color="000000" w:fill="FFFFFF"/>
            <w:noWrap/>
            <w:vAlign w:val="bottom"/>
            <w:hideMark/>
          </w:tcPr>
          <w:p w:rsidR="005524EE" w:rsidRPr="00642491" w:rsidRDefault="00642491" w:rsidP="00642491">
            <w:pPr>
              <w:spacing w:after="0" w:line="240" w:lineRule="auto"/>
              <w:jc w:val="right"/>
              <w:rPr>
                <w:rFonts w:ascii="Calibri" w:eastAsia="Times New Roman" w:hAnsi="Calibri" w:cs="Calibri"/>
                <w:lang w:eastAsia="en-GB"/>
              </w:rPr>
            </w:pPr>
            <w:r w:rsidRPr="00642491">
              <w:rPr>
                <w:rFonts w:ascii="Calibri" w:hAnsi="Calibri" w:cs="Calibri"/>
              </w:rPr>
              <w:t>17</w:t>
            </w:r>
          </w:p>
        </w:tc>
        <w:tc>
          <w:tcPr>
            <w:tcW w:w="960" w:type="dxa"/>
            <w:tcBorders>
              <w:top w:val="nil"/>
              <w:left w:val="nil"/>
              <w:bottom w:val="nil"/>
              <w:right w:val="nil"/>
            </w:tcBorders>
            <w:shd w:val="clear" w:color="000000" w:fill="FFFFFF"/>
            <w:noWrap/>
            <w:vAlign w:val="bottom"/>
            <w:hideMark/>
          </w:tcPr>
          <w:p w:rsidR="005524EE" w:rsidRPr="00642491" w:rsidRDefault="00642491" w:rsidP="00642491">
            <w:pPr>
              <w:spacing w:after="0" w:line="240" w:lineRule="auto"/>
              <w:jc w:val="right"/>
              <w:rPr>
                <w:rFonts w:ascii="Calibri" w:eastAsia="Times New Roman" w:hAnsi="Calibri" w:cs="Calibri"/>
                <w:lang w:eastAsia="en-GB"/>
              </w:rPr>
            </w:pPr>
            <w:r w:rsidRPr="00642491">
              <w:rPr>
                <w:rFonts w:ascii="Calibri" w:hAnsi="Calibri" w:cs="Calibri"/>
              </w:rPr>
              <w:t>37</w:t>
            </w:r>
          </w:p>
        </w:tc>
      </w:tr>
      <w:tr w:rsidR="005524EE" w:rsidRPr="00905A60" w:rsidTr="00905A60">
        <w:trPr>
          <w:trHeight w:val="300"/>
        </w:trPr>
        <w:tc>
          <w:tcPr>
            <w:tcW w:w="4280" w:type="dxa"/>
            <w:tcBorders>
              <w:top w:val="nil"/>
              <w:left w:val="nil"/>
              <w:bottom w:val="nil"/>
              <w:right w:val="nil"/>
            </w:tcBorders>
            <w:shd w:val="clear" w:color="000000" w:fill="FFFFFF"/>
            <w:noWrap/>
            <w:vAlign w:val="bottom"/>
            <w:hideMark/>
          </w:tcPr>
          <w:p w:rsidR="005524EE" w:rsidRPr="00BE79D1" w:rsidRDefault="005524EE" w:rsidP="005524EE">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Data, Knowledge and Research Directorate</w:t>
            </w:r>
          </w:p>
        </w:tc>
        <w:tc>
          <w:tcPr>
            <w:tcW w:w="1256" w:type="dxa"/>
            <w:tcBorders>
              <w:top w:val="nil"/>
              <w:left w:val="nil"/>
              <w:bottom w:val="nil"/>
              <w:right w:val="nil"/>
            </w:tcBorders>
            <w:shd w:val="clear" w:color="000000" w:fill="FFFFFF"/>
            <w:noWrap/>
            <w:vAlign w:val="bottom"/>
            <w:hideMark/>
          </w:tcPr>
          <w:p w:rsidR="005524EE" w:rsidRPr="00905A60" w:rsidRDefault="00642491" w:rsidP="00642491">
            <w:pPr>
              <w:spacing w:after="0" w:line="240" w:lineRule="auto"/>
              <w:jc w:val="right"/>
              <w:rPr>
                <w:rFonts w:ascii="Calibri" w:eastAsia="Times New Roman" w:hAnsi="Calibri" w:cs="Calibri"/>
                <w:color w:val="000000"/>
                <w:lang w:eastAsia="en-GB"/>
              </w:rPr>
            </w:pPr>
            <w:r w:rsidRPr="00642491">
              <w:rPr>
                <w:rFonts w:ascii="Calibri" w:hAnsi="Calibri" w:cs="Calibri"/>
                <w:color w:val="FF0000"/>
              </w:rPr>
              <w:t>-2</w:t>
            </w:r>
          </w:p>
        </w:tc>
        <w:tc>
          <w:tcPr>
            <w:tcW w:w="1256" w:type="dxa"/>
            <w:tcBorders>
              <w:top w:val="nil"/>
              <w:left w:val="nil"/>
              <w:bottom w:val="nil"/>
              <w:right w:val="nil"/>
            </w:tcBorders>
            <w:shd w:val="clear" w:color="000000" w:fill="FFFFFF"/>
            <w:noWrap/>
            <w:vAlign w:val="bottom"/>
            <w:hideMark/>
          </w:tcPr>
          <w:p w:rsidR="005524EE" w:rsidRPr="00905A60" w:rsidRDefault="005524EE" w:rsidP="00642491">
            <w:pPr>
              <w:spacing w:after="0" w:line="240" w:lineRule="auto"/>
              <w:jc w:val="right"/>
              <w:rPr>
                <w:rFonts w:ascii="Calibri" w:eastAsia="Times New Roman" w:hAnsi="Calibri" w:cs="Calibri"/>
                <w:color w:val="000000"/>
                <w:lang w:eastAsia="en-GB"/>
              </w:rPr>
            </w:pPr>
            <w:r w:rsidRPr="00642491">
              <w:rPr>
                <w:rFonts w:ascii="Calibri" w:hAnsi="Calibri" w:cs="Calibri"/>
              </w:rPr>
              <w:t>1</w:t>
            </w:r>
          </w:p>
        </w:tc>
        <w:tc>
          <w:tcPr>
            <w:tcW w:w="1256" w:type="dxa"/>
            <w:tcBorders>
              <w:top w:val="nil"/>
              <w:left w:val="nil"/>
              <w:bottom w:val="nil"/>
              <w:right w:val="nil"/>
            </w:tcBorders>
            <w:shd w:val="clear" w:color="000000" w:fill="FFFFFF"/>
            <w:noWrap/>
            <w:vAlign w:val="bottom"/>
            <w:hideMark/>
          </w:tcPr>
          <w:p w:rsidR="005524EE" w:rsidRPr="00905A60" w:rsidRDefault="005524EE"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-1</w:t>
            </w:r>
            <w:r w:rsidR="00642491">
              <w:rPr>
                <w:rFonts w:ascii="Calibri" w:hAnsi="Calibri" w:cs="Calibri"/>
                <w:color w:val="FF0000"/>
              </w:rPr>
              <w:t>5</w:t>
            </w:r>
          </w:p>
        </w:tc>
        <w:tc>
          <w:tcPr>
            <w:tcW w:w="960" w:type="dxa"/>
            <w:tcBorders>
              <w:top w:val="nil"/>
              <w:left w:val="nil"/>
              <w:bottom w:val="nil"/>
              <w:right w:val="nil"/>
            </w:tcBorders>
            <w:shd w:val="clear" w:color="000000" w:fill="FFFFFF"/>
            <w:noWrap/>
            <w:vAlign w:val="bottom"/>
            <w:hideMark/>
          </w:tcPr>
          <w:p w:rsidR="005524EE" w:rsidRPr="00905A60" w:rsidRDefault="005524EE"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642491">
              <w:rPr>
                <w:rFonts w:ascii="Calibri" w:hAnsi="Calibri" w:cs="Calibri"/>
                <w:color w:val="FF0000"/>
              </w:rPr>
              <w:t>16</w:t>
            </w:r>
          </w:p>
        </w:tc>
      </w:tr>
      <w:tr w:rsidR="00905A60" w:rsidRPr="00905A60" w:rsidTr="00905A60">
        <w:trPr>
          <w:trHeight w:val="300"/>
        </w:trPr>
        <w:tc>
          <w:tcPr>
            <w:tcW w:w="4280" w:type="dxa"/>
            <w:tcBorders>
              <w:top w:val="nil"/>
              <w:left w:val="nil"/>
              <w:bottom w:val="nil"/>
              <w:right w:val="nil"/>
            </w:tcBorders>
            <w:shd w:val="clear" w:color="000000" w:fill="FFFFFF"/>
            <w:noWrap/>
            <w:vAlign w:val="bottom"/>
            <w:hideMark/>
          </w:tcPr>
          <w:p w:rsidR="00905A60" w:rsidRPr="00BE79D1" w:rsidRDefault="00905A60" w:rsidP="00905A60">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WHO Collaborating Centre</w:t>
            </w:r>
          </w:p>
        </w:tc>
        <w:tc>
          <w:tcPr>
            <w:tcW w:w="1256" w:type="dxa"/>
            <w:tcBorders>
              <w:top w:val="nil"/>
              <w:left w:val="nil"/>
              <w:bottom w:val="nil"/>
              <w:right w:val="nil"/>
            </w:tcBorders>
            <w:shd w:val="clear" w:color="000000" w:fill="FFFFFF"/>
            <w:noWrap/>
            <w:vAlign w:val="bottom"/>
            <w:hideMark/>
          </w:tcPr>
          <w:p w:rsidR="00905A60" w:rsidRPr="00905A60" w:rsidRDefault="005524EE" w:rsidP="005524EE">
            <w:pPr>
              <w:spacing w:after="0" w:line="240" w:lineRule="auto"/>
              <w:jc w:val="right"/>
              <w:rPr>
                <w:rFonts w:ascii="Calibri" w:eastAsia="Times New Roman" w:hAnsi="Calibri" w:cs="Calibri"/>
                <w:color w:val="000000"/>
                <w:lang w:eastAsia="en-GB"/>
              </w:rPr>
            </w:pPr>
            <w:r w:rsidRPr="005524EE">
              <w:rPr>
                <w:rFonts w:ascii="Calibri" w:hAnsi="Calibri" w:cs="Calibri"/>
              </w:rPr>
              <w:t>0</w:t>
            </w:r>
          </w:p>
        </w:tc>
        <w:tc>
          <w:tcPr>
            <w:tcW w:w="1256"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642491">
              <w:rPr>
                <w:rFonts w:ascii="Calibri" w:hAnsi="Calibri" w:cs="Calibri"/>
                <w:color w:val="FF0000"/>
              </w:rPr>
              <w:t>22</w:t>
            </w:r>
          </w:p>
        </w:tc>
        <w:tc>
          <w:tcPr>
            <w:tcW w:w="1256" w:type="dxa"/>
            <w:tcBorders>
              <w:top w:val="nil"/>
              <w:left w:val="nil"/>
              <w:bottom w:val="nil"/>
              <w:right w:val="nil"/>
            </w:tcBorders>
            <w:shd w:val="clear" w:color="000000" w:fill="FFFFFF"/>
            <w:noWrap/>
            <w:vAlign w:val="bottom"/>
            <w:hideMark/>
          </w:tcPr>
          <w:p w:rsidR="00905A60" w:rsidRPr="00905A60" w:rsidRDefault="00642491" w:rsidP="00642491">
            <w:pPr>
              <w:spacing w:after="0" w:line="240" w:lineRule="auto"/>
              <w:jc w:val="right"/>
              <w:rPr>
                <w:rFonts w:ascii="Calibri" w:eastAsia="Times New Roman" w:hAnsi="Calibri" w:cs="Calibri"/>
                <w:color w:val="000000"/>
                <w:lang w:eastAsia="en-GB"/>
              </w:rPr>
            </w:pPr>
            <w:r>
              <w:rPr>
                <w:rFonts w:ascii="Calibri" w:hAnsi="Calibri" w:cs="Calibri"/>
                <w:color w:val="000000"/>
              </w:rPr>
              <w:t>20</w:t>
            </w:r>
          </w:p>
        </w:tc>
        <w:tc>
          <w:tcPr>
            <w:tcW w:w="960" w:type="dxa"/>
            <w:tcBorders>
              <w:top w:val="nil"/>
              <w:left w:val="nil"/>
              <w:bottom w:val="nil"/>
              <w:right w:val="nil"/>
            </w:tcBorders>
            <w:shd w:val="clear" w:color="000000" w:fill="FFFFFF"/>
            <w:noWrap/>
            <w:vAlign w:val="bottom"/>
            <w:hideMark/>
          </w:tcPr>
          <w:p w:rsidR="00905A60" w:rsidRPr="00905A60" w:rsidRDefault="00905A60" w:rsidP="00905A60">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642491">
              <w:rPr>
                <w:rFonts w:ascii="Calibri" w:hAnsi="Calibri" w:cs="Calibri"/>
                <w:color w:val="FF0000"/>
              </w:rPr>
              <w:t>2</w:t>
            </w:r>
          </w:p>
        </w:tc>
      </w:tr>
      <w:tr w:rsidR="00905A60" w:rsidRPr="00905A60" w:rsidTr="00905A60">
        <w:trPr>
          <w:trHeight w:val="300"/>
        </w:trPr>
        <w:tc>
          <w:tcPr>
            <w:tcW w:w="4280" w:type="dxa"/>
            <w:tcBorders>
              <w:top w:val="nil"/>
              <w:left w:val="nil"/>
              <w:bottom w:val="nil"/>
              <w:right w:val="nil"/>
            </w:tcBorders>
            <w:shd w:val="clear" w:color="000000" w:fill="FFFFFF"/>
            <w:noWrap/>
            <w:vAlign w:val="bottom"/>
            <w:hideMark/>
          </w:tcPr>
          <w:p w:rsidR="00905A60" w:rsidRPr="00BE79D1" w:rsidRDefault="00905A60" w:rsidP="00905A60">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Hosted Directorate</w:t>
            </w:r>
          </w:p>
        </w:tc>
        <w:tc>
          <w:tcPr>
            <w:tcW w:w="1256" w:type="dxa"/>
            <w:tcBorders>
              <w:top w:val="nil"/>
              <w:left w:val="nil"/>
              <w:bottom w:val="nil"/>
              <w:right w:val="nil"/>
            </w:tcBorders>
            <w:shd w:val="clear" w:color="000000" w:fill="FFFFFF"/>
            <w:noWrap/>
            <w:vAlign w:val="bottom"/>
            <w:hideMark/>
          </w:tcPr>
          <w:p w:rsidR="00905A60" w:rsidRPr="00905A60" w:rsidRDefault="00905A60" w:rsidP="00905A60">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c>
          <w:tcPr>
            <w:tcW w:w="1256" w:type="dxa"/>
            <w:tcBorders>
              <w:top w:val="nil"/>
              <w:left w:val="nil"/>
              <w:bottom w:val="nil"/>
              <w:right w:val="nil"/>
            </w:tcBorders>
            <w:shd w:val="clear" w:color="000000" w:fill="FFFFFF"/>
            <w:noWrap/>
            <w:vAlign w:val="bottom"/>
            <w:hideMark/>
          </w:tcPr>
          <w:p w:rsidR="00905A60" w:rsidRPr="00905A60" w:rsidRDefault="005524EE" w:rsidP="00905A60">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256" w:type="dxa"/>
            <w:tcBorders>
              <w:top w:val="nil"/>
              <w:left w:val="nil"/>
              <w:bottom w:val="nil"/>
              <w:right w:val="nil"/>
            </w:tcBorders>
            <w:shd w:val="clear" w:color="000000" w:fill="FFFFFF"/>
            <w:noWrap/>
            <w:vAlign w:val="bottom"/>
            <w:hideMark/>
          </w:tcPr>
          <w:p w:rsidR="00905A60" w:rsidRPr="00905A60" w:rsidRDefault="00905A60" w:rsidP="00905A60">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nil"/>
              <w:right w:val="nil"/>
            </w:tcBorders>
            <w:shd w:val="clear" w:color="000000" w:fill="FFFFFF"/>
            <w:noWrap/>
            <w:vAlign w:val="bottom"/>
            <w:hideMark/>
          </w:tcPr>
          <w:p w:rsidR="00905A60" w:rsidRPr="00905A60" w:rsidRDefault="00905A60" w:rsidP="00905A60">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905A60" w:rsidRPr="00905A60" w:rsidTr="00905A60">
        <w:trPr>
          <w:trHeight w:val="300"/>
        </w:trPr>
        <w:tc>
          <w:tcPr>
            <w:tcW w:w="4280" w:type="dxa"/>
            <w:tcBorders>
              <w:top w:val="nil"/>
              <w:left w:val="nil"/>
              <w:bottom w:val="nil"/>
              <w:right w:val="nil"/>
            </w:tcBorders>
            <w:shd w:val="clear" w:color="000000" w:fill="FFFFFF"/>
            <w:noWrap/>
            <w:vAlign w:val="bottom"/>
            <w:hideMark/>
          </w:tcPr>
          <w:p w:rsidR="00905A60" w:rsidRPr="00BE79D1" w:rsidRDefault="00905A60" w:rsidP="00905A60">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Operations and Finance Directorate</w:t>
            </w:r>
          </w:p>
        </w:tc>
        <w:tc>
          <w:tcPr>
            <w:tcW w:w="1256" w:type="dxa"/>
            <w:tcBorders>
              <w:top w:val="nil"/>
              <w:left w:val="nil"/>
              <w:bottom w:val="nil"/>
              <w:right w:val="nil"/>
            </w:tcBorders>
            <w:shd w:val="clear" w:color="000000" w:fill="FFFFFF"/>
            <w:noWrap/>
            <w:vAlign w:val="bottom"/>
            <w:hideMark/>
          </w:tcPr>
          <w:p w:rsidR="00905A60" w:rsidRPr="00905A60" w:rsidRDefault="00642491" w:rsidP="00642491">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c>
          <w:tcPr>
            <w:tcW w:w="1256"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642491">
              <w:rPr>
                <w:rFonts w:ascii="Calibri" w:hAnsi="Calibri" w:cs="Calibri"/>
                <w:color w:val="FF0000"/>
              </w:rPr>
              <w:t>1</w:t>
            </w:r>
          </w:p>
        </w:tc>
        <w:tc>
          <w:tcPr>
            <w:tcW w:w="1256"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642491">
              <w:rPr>
                <w:rFonts w:ascii="Calibri" w:hAnsi="Calibri" w:cs="Calibri"/>
                <w:color w:val="FF0000"/>
              </w:rPr>
              <w:t>1</w:t>
            </w:r>
          </w:p>
        </w:tc>
        <w:tc>
          <w:tcPr>
            <w:tcW w:w="960"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A74115">
              <w:rPr>
                <w:rFonts w:ascii="Calibri" w:hAnsi="Calibri" w:cs="Calibri"/>
                <w:color w:val="FF0000"/>
              </w:rPr>
              <w:t>2</w:t>
            </w:r>
          </w:p>
        </w:tc>
      </w:tr>
      <w:tr w:rsidR="00905A60" w:rsidRPr="00905A60" w:rsidTr="00905A60">
        <w:trPr>
          <w:trHeight w:val="300"/>
        </w:trPr>
        <w:tc>
          <w:tcPr>
            <w:tcW w:w="4280" w:type="dxa"/>
            <w:tcBorders>
              <w:top w:val="nil"/>
              <w:left w:val="nil"/>
              <w:bottom w:val="nil"/>
              <w:right w:val="nil"/>
            </w:tcBorders>
            <w:shd w:val="clear" w:color="000000" w:fill="FFFFFF"/>
            <w:noWrap/>
            <w:vAlign w:val="bottom"/>
            <w:hideMark/>
          </w:tcPr>
          <w:p w:rsidR="00905A60" w:rsidRPr="00BE79D1" w:rsidRDefault="00905A60" w:rsidP="00905A60">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People &amp; Organisational Development</w:t>
            </w:r>
          </w:p>
        </w:tc>
        <w:tc>
          <w:tcPr>
            <w:tcW w:w="1256" w:type="dxa"/>
            <w:tcBorders>
              <w:top w:val="nil"/>
              <w:left w:val="nil"/>
              <w:bottom w:val="nil"/>
              <w:right w:val="nil"/>
            </w:tcBorders>
            <w:shd w:val="clear" w:color="000000" w:fill="FFFFFF"/>
            <w:noWrap/>
            <w:vAlign w:val="bottom"/>
            <w:hideMark/>
          </w:tcPr>
          <w:p w:rsidR="00905A60" w:rsidRPr="00905A60" w:rsidRDefault="005524EE" w:rsidP="00905A60">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c>
          <w:tcPr>
            <w:tcW w:w="1256"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642491">
              <w:rPr>
                <w:rFonts w:ascii="Calibri" w:hAnsi="Calibri" w:cs="Calibri"/>
                <w:color w:val="FF0000"/>
              </w:rPr>
              <w:t>13</w:t>
            </w:r>
          </w:p>
        </w:tc>
        <w:tc>
          <w:tcPr>
            <w:tcW w:w="1256" w:type="dxa"/>
            <w:tcBorders>
              <w:top w:val="nil"/>
              <w:left w:val="nil"/>
              <w:bottom w:val="nil"/>
              <w:right w:val="nil"/>
            </w:tcBorders>
            <w:shd w:val="clear" w:color="000000" w:fill="FFFFFF"/>
            <w:noWrap/>
            <w:vAlign w:val="bottom"/>
            <w:hideMark/>
          </w:tcPr>
          <w:p w:rsidR="00905A60" w:rsidRPr="00905A60" w:rsidRDefault="00642491" w:rsidP="00642491">
            <w:pPr>
              <w:spacing w:after="0" w:line="240" w:lineRule="auto"/>
              <w:jc w:val="right"/>
              <w:rPr>
                <w:rFonts w:ascii="Calibri" w:eastAsia="Times New Roman" w:hAnsi="Calibri" w:cs="Calibri"/>
                <w:color w:val="000000"/>
                <w:lang w:eastAsia="en-GB"/>
              </w:rPr>
            </w:pPr>
            <w:r>
              <w:rPr>
                <w:rFonts w:ascii="Calibri" w:hAnsi="Calibri" w:cs="Calibri"/>
                <w:color w:val="000000"/>
              </w:rPr>
              <w:t>12</w:t>
            </w:r>
          </w:p>
        </w:tc>
        <w:tc>
          <w:tcPr>
            <w:tcW w:w="960" w:type="dxa"/>
            <w:tcBorders>
              <w:top w:val="nil"/>
              <w:left w:val="nil"/>
              <w:bottom w:val="nil"/>
              <w:right w:val="nil"/>
            </w:tcBorders>
            <w:shd w:val="clear" w:color="000000" w:fill="FFFFFF"/>
            <w:noWrap/>
            <w:vAlign w:val="bottom"/>
            <w:hideMark/>
          </w:tcPr>
          <w:p w:rsidR="00905A60" w:rsidRPr="00905A60" w:rsidRDefault="00642491" w:rsidP="00642491">
            <w:pPr>
              <w:spacing w:after="0" w:line="240" w:lineRule="auto"/>
              <w:jc w:val="right"/>
              <w:rPr>
                <w:rFonts w:ascii="Calibri" w:eastAsia="Times New Roman" w:hAnsi="Calibri" w:cs="Calibri"/>
                <w:color w:val="000000"/>
                <w:lang w:eastAsia="en-GB"/>
              </w:rPr>
            </w:pPr>
            <w:r w:rsidRPr="00642491">
              <w:rPr>
                <w:rFonts w:ascii="Calibri" w:hAnsi="Calibri" w:cs="Calibri"/>
                <w:color w:val="FF0000"/>
              </w:rPr>
              <w:t>-1</w:t>
            </w:r>
          </w:p>
        </w:tc>
      </w:tr>
      <w:tr w:rsidR="00905A60" w:rsidRPr="00905A60" w:rsidTr="00905A60">
        <w:trPr>
          <w:trHeight w:val="300"/>
        </w:trPr>
        <w:tc>
          <w:tcPr>
            <w:tcW w:w="4280" w:type="dxa"/>
            <w:tcBorders>
              <w:top w:val="nil"/>
              <w:left w:val="nil"/>
              <w:bottom w:val="nil"/>
              <w:right w:val="nil"/>
            </w:tcBorders>
            <w:shd w:val="clear" w:color="000000" w:fill="FFFFFF"/>
            <w:noWrap/>
            <w:vAlign w:val="bottom"/>
            <w:hideMark/>
          </w:tcPr>
          <w:p w:rsidR="00905A60" w:rsidRPr="00BE79D1" w:rsidRDefault="00905A60" w:rsidP="00905A60">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Quality Nursing &amp; Allied Health Professionals</w:t>
            </w:r>
          </w:p>
        </w:tc>
        <w:tc>
          <w:tcPr>
            <w:tcW w:w="1256" w:type="dxa"/>
            <w:tcBorders>
              <w:top w:val="nil"/>
              <w:left w:val="nil"/>
              <w:bottom w:val="nil"/>
              <w:right w:val="nil"/>
            </w:tcBorders>
            <w:shd w:val="clear" w:color="000000" w:fill="FFFFFF"/>
            <w:noWrap/>
            <w:vAlign w:val="bottom"/>
            <w:hideMark/>
          </w:tcPr>
          <w:p w:rsidR="00905A60" w:rsidRPr="00905A60" w:rsidRDefault="00905A60" w:rsidP="00905A60">
            <w:pPr>
              <w:spacing w:after="0" w:line="240" w:lineRule="auto"/>
              <w:jc w:val="right"/>
              <w:rPr>
                <w:rFonts w:ascii="Calibri" w:eastAsia="Times New Roman" w:hAnsi="Calibri" w:cs="Calibri"/>
                <w:color w:val="000000"/>
                <w:lang w:eastAsia="en-GB"/>
              </w:rPr>
            </w:pPr>
            <w:r>
              <w:rPr>
                <w:rFonts w:ascii="Calibri" w:hAnsi="Calibri" w:cs="Calibri"/>
                <w:color w:val="FF0000"/>
              </w:rPr>
              <w:t>-1</w:t>
            </w:r>
          </w:p>
        </w:tc>
        <w:tc>
          <w:tcPr>
            <w:tcW w:w="1256"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000000"/>
              </w:rPr>
              <w:t>1</w:t>
            </w:r>
            <w:r w:rsidR="00642491">
              <w:rPr>
                <w:rFonts w:ascii="Calibri" w:hAnsi="Calibri" w:cs="Calibri"/>
                <w:color w:val="000000"/>
              </w:rPr>
              <w:t>2</w:t>
            </w:r>
          </w:p>
        </w:tc>
        <w:tc>
          <w:tcPr>
            <w:tcW w:w="1256" w:type="dxa"/>
            <w:tcBorders>
              <w:top w:val="nil"/>
              <w:left w:val="nil"/>
              <w:bottom w:val="nil"/>
              <w:right w:val="nil"/>
            </w:tcBorders>
            <w:shd w:val="clear" w:color="000000" w:fill="FFFFFF"/>
            <w:noWrap/>
            <w:vAlign w:val="bottom"/>
            <w:hideMark/>
          </w:tcPr>
          <w:p w:rsidR="00905A60" w:rsidRPr="00905A60" w:rsidRDefault="00642491" w:rsidP="00642491">
            <w:pPr>
              <w:spacing w:after="0" w:line="240" w:lineRule="auto"/>
              <w:jc w:val="right"/>
              <w:rPr>
                <w:rFonts w:ascii="Calibri" w:eastAsia="Times New Roman" w:hAnsi="Calibri" w:cs="Calibri"/>
                <w:color w:val="000000"/>
                <w:lang w:eastAsia="en-GB"/>
              </w:rPr>
            </w:pPr>
            <w:r w:rsidRPr="00642491">
              <w:rPr>
                <w:rFonts w:ascii="Calibri" w:hAnsi="Calibri" w:cs="Calibri"/>
              </w:rPr>
              <w:t>7</w:t>
            </w:r>
          </w:p>
        </w:tc>
        <w:tc>
          <w:tcPr>
            <w:tcW w:w="960" w:type="dxa"/>
            <w:tcBorders>
              <w:top w:val="nil"/>
              <w:left w:val="nil"/>
              <w:bottom w:val="nil"/>
              <w:right w:val="nil"/>
            </w:tcBorders>
            <w:shd w:val="clear" w:color="000000" w:fill="FFFFFF"/>
            <w:noWrap/>
            <w:vAlign w:val="bottom"/>
            <w:hideMark/>
          </w:tcPr>
          <w:p w:rsidR="00905A60" w:rsidRPr="00905A60" w:rsidRDefault="00A74115" w:rsidP="00642491">
            <w:pPr>
              <w:spacing w:after="0" w:line="240" w:lineRule="auto"/>
              <w:jc w:val="right"/>
              <w:rPr>
                <w:rFonts w:ascii="Calibri" w:eastAsia="Times New Roman" w:hAnsi="Calibri" w:cs="Calibri"/>
                <w:color w:val="000000"/>
                <w:lang w:eastAsia="en-GB"/>
              </w:rPr>
            </w:pPr>
            <w:r>
              <w:rPr>
                <w:rFonts w:ascii="Calibri" w:hAnsi="Calibri" w:cs="Calibri"/>
                <w:color w:val="000000"/>
              </w:rPr>
              <w:t>1</w:t>
            </w:r>
            <w:r w:rsidR="00642491">
              <w:rPr>
                <w:rFonts w:ascii="Calibri" w:hAnsi="Calibri" w:cs="Calibri"/>
                <w:color w:val="000000"/>
              </w:rPr>
              <w:t>8</w:t>
            </w:r>
          </w:p>
        </w:tc>
      </w:tr>
      <w:tr w:rsidR="00905A60" w:rsidRPr="00905A60" w:rsidTr="00905A60">
        <w:trPr>
          <w:trHeight w:val="300"/>
        </w:trPr>
        <w:tc>
          <w:tcPr>
            <w:tcW w:w="4280" w:type="dxa"/>
            <w:tcBorders>
              <w:top w:val="nil"/>
              <w:left w:val="nil"/>
              <w:bottom w:val="nil"/>
              <w:right w:val="nil"/>
            </w:tcBorders>
            <w:shd w:val="clear" w:color="000000" w:fill="FFFFFF"/>
            <w:noWrap/>
            <w:vAlign w:val="bottom"/>
            <w:hideMark/>
          </w:tcPr>
          <w:p w:rsidR="00905A60" w:rsidRPr="00BE79D1" w:rsidRDefault="00905A60" w:rsidP="00905A60">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Health &amp; Wellbeing Directorate</w:t>
            </w:r>
          </w:p>
        </w:tc>
        <w:tc>
          <w:tcPr>
            <w:tcW w:w="1256" w:type="dxa"/>
            <w:tcBorders>
              <w:top w:val="nil"/>
              <w:left w:val="nil"/>
              <w:bottom w:val="nil"/>
              <w:right w:val="nil"/>
            </w:tcBorders>
            <w:shd w:val="clear" w:color="000000" w:fill="FFFFFF"/>
            <w:noWrap/>
            <w:vAlign w:val="bottom"/>
            <w:hideMark/>
          </w:tcPr>
          <w:p w:rsidR="00905A60" w:rsidRPr="00905A60" w:rsidRDefault="00642491" w:rsidP="00642491">
            <w:pPr>
              <w:spacing w:after="0" w:line="240" w:lineRule="auto"/>
              <w:jc w:val="right"/>
              <w:rPr>
                <w:rFonts w:ascii="Calibri" w:eastAsia="Times New Roman" w:hAnsi="Calibri" w:cs="Calibri"/>
                <w:color w:val="000000"/>
                <w:lang w:eastAsia="en-GB"/>
              </w:rPr>
            </w:pPr>
            <w:r>
              <w:rPr>
                <w:rFonts w:ascii="Calibri" w:hAnsi="Calibri" w:cs="Calibri"/>
                <w:color w:val="000000"/>
              </w:rPr>
              <w:t>1</w:t>
            </w:r>
          </w:p>
        </w:tc>
        <w:tc>
          <w:tcPr>
            <w:tcW w:w="1256"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642491">
              <w:rPr>
                <w:rFonts w:ascii="Calibri" w:hAnsi="Calibri" w:cs="Calibri"/>
                <w:color w:val="FF0000"/>
              </w:rPr>
              <w:t>23</w:t>
            </w:r>
          </w:p>
        </w:tc>
        <w:tc>
          <w:tcPr>
            <w:tcW w:w="1256"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-1</w:t>
            </w:r>
          </w:p>
        </w:tc>
        <w:tc>
          <w:tcPr>
            <w:tcW w:w="960"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642491">
              <w:rPr>
                <w:rFonts w:ascii="Calibri" w:hAnsi="Calibri" w:cs="Calibri"/>
                <w:color w:val="FF0000"/>
              </w:rPr>
              <w:t>2</w:t>
            </w:r>
            <w:r>
              <w:rPr>
                <w:rFonts w:ascii="Calibri" w:hAnsi="Calibri" w:cs="Calibri"/>
                <w:color w:val="FF0000"/>
              </w:rPr>
              <w:t>3</w:t>
            </w:r>
          </w:p>
        </w:tc>
      </w:tr>
      <w:tr w:rsidR="00905A60" w:rsidRPr="00905A60" w:rsidTr="00905A60">
        <w:trPr>
          <w:trHeight w:val="300"/>
        </w:trPr>
        <w:tc>
          <w:tcPr>
            <w:tcW w:w="4280" w:type="dxa"/>
            <w:tcBorders>
              <w:top w:val="nil"/>
              <w:left w:val="nil"/>
              <w:bottom w:val="nil"/>
              <w:right w:val="nil"/>
            </w:tcBorders>
            <w:shd w:val="clear" w:color="000000" w:fill="FFFFFF"/>
            <w:noWrap/>
            <w:vAlign w:val="bottom"/>
            <w:hideMark/>
          </w:tcPr>
          <w:p w:rsidR="00905A60" w:rsidRPr="00BE79D1" w:rsidRDefault="00905A60" w:rsidP="00905A60">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Improvement Cymru</w:t>
            </w:r>
          </w:p>
        </w:tc>
        <w:tc>
          <w:tcPr>
            <w:tcW w:w="1256" w:type="dxa"/>
            <w:tcBorders>
              <w:top w:val="nil"/>
              <w:left w:val="nil"/>
              <w:bottom w:val="nil"/>
              <w:right w:val="nil"/>
            </w:tcBorders>
            <w:shd w:val="clear" w:color="000000" w:fill="FFFFFF"/>
            <w:noWrap/>
            <w:vAlign w:val="bottom"/>
            <w:hideMark/>
          </w:tcPr>
          <w:p w:rsidR="00905A60" w:rsidRPr="00905A60" w:rsidRDefault="00905A60" w:rsidP="00905A60">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c>
          <w:tcPr>
            <w:tcW w:w="1256"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642491">
              <w:rPr>
                <w:rFonts w:ascii="Calibri" w:hAnsi="Calibri" w:cs="Calibri"/>
                <w:color w:val="FF0000"/>
              </w:rPr>
              <w:t>30</w:t>
            </w:r>
          </w:p>
        </w:tc>
        <w:tc>
          <w:tcPr>
            <w:tcW w:w="1256"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642491">
              <w:rPr>
                <w:rFonts w:ascii="Calibri" w:hAnsi="Calibri" w:cs="Calibri"/>
                <w:color w:val="FF0000"/>
              </w:rPr>
              <w:t>52</w:t>
            </w:r>
          </w:p>
        </w:tc>
        <w:tc>
          <w:tcPr>
            <w:tcW w:w="960"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-8</w:t>
            </w:r>
            <w:r w:rsidR="00642491">
              <w:rPr>
                <w:rFonts w:ascii="Calibri" w:hAnsi="Calibri" w:cs="Calibri"/>
                <w:color w:val="FF0000"/>
              </w:rPr>
              <w:t>2</w:t>
            </w:r>
          </w:p>
        </w:tc>
      </w:tr>
      <w:tr w:rsidR="00905A60" w:rsidRPr="00905A60" w:rsidTr="00905A60">
        <w:trPr>
          <w:trHeight w:val="300"/>
        </w:trPr>
        <w:tc>
          <w:tcPr>
            <w:tcW w:w="4280" w:type="dxa"/>
            <w:tcBorders>
              <w:top w:val="nil"/>
              <w:left w:val="nil"/>
              <w:bottom w:val="nil"/>
              <w:right w:val="nil"/>
            </w:tcBorders>
            <w:shd w:val="clear" w:color="000000" w:fill="FFFFFF"/>
            <w:noWrap/>
            <w:vAlign w:val="bottom"/>
            <w:hideMark/>
          </w:tcPr>
          <w:p w:rsidR="00905A60" w:rsidRPr="00BE79D1" w:rsidRDefault="00905A60" w:rsidP="00905A60">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Health Protection and Screening Services</w:t>
            </w:r>
          </w:p>
        </w:tc>
        <w:tc>
          <w:tcPr>
            <w:tcW w:w="1256"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642491">
              <w:rPr>
                <w:rFonts w:ascii="Calibri" w:hAnsi="Calibri" w:cs="Calibri"/>
                <w:color w:val="FF0000"/>
              </w:rPr>
              <w:t>689</w:t>
            </w:r>
          </w:p>
        </w:tc>
        <w:tc>
          <w:tcPr>
            <w:tcW w:w="1256"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642491">
              <w:rPr>
                <w:rFonts w:ascii="Calibri" w:hAnsi="Calibri" w:cs="Calibri"/>
                <w:color w:val="FF0000"/>
              </w:rPr>
              <w:t>662</w:t>
            </w:r>
          </w:p>
        </w:tc>
        <w:tc>
          <w:tcPr>
            <w:tcW w:w="1256" w:type="dxa"/>
            <w:tcBorders>
              <w:top w:val="nil"/>
              <w:left w:val="nil"/>
              <w:bottom w:val="nil"/>
              <w:right w:val="nil"/>
            </w:tcBorders>
            <w:shd w:val="clear" w:color="000000" w:fill="FFFFFF"/>
            <w:noWrap/>
            <w:vAlign w:val="bottom"/>
            <w:hideMark/>
          </w:tcPr>
          <w:p w:rsidR="00905A60" w:rsidRPr="00905A60" w:rsidRDefault="00642491" w:rsidP="00642491">
            <w:pPr>
              <w:spacing w:after="0" w:line="240" w:lineRule="auto"/>
              <w:jc w:val="right"/>
              <w:rPr>
                <w:rFonts w:ascii="Calibri" w:eastAsia="Times New Roman" w:hAnsi="Calibri" w:cs="Calibri"/>
                <w:color w:val="000000"/>
                <w:lang w:eastAsia="en-GB"/>
              </w:rPr>
            </w:pPr>
            <w:r>
              <w:rPr>
                <w:rFonts w:ascii="Calibri" w:hAnsi="Calibri" w:cs="Calibri"/>
                <w:color w:val="000000"/>
              </w:rPr>
              <w:t>1,318</w:t>
            </w:r>
          </w:p>
        </w:tc>
        <w:tc>
          <w:tcPr>
            <w:tcW w:w="960" w:type="dxa"/>
            <w:tcBorders>
              <w:top w:val="nil"/>
              <w:left w:val="nil"/>
              <w:bottom w:val="nil"/>
              <w:right w:val="nil"/>
            </w:tcBorders>
            <w:shd w:val="clear" w:color="000000" w:fill="FFFFFF"/>
            <w:noWrap/>
            <w:vAlign w:val="bottom"/>
            <w:hideMark/>
          </w:tcPr>
          <w:p w:rsidR="00905A60" w:rsidRPr="00905A60" w:rsidRDefault="00905A60" w:rsidP="00642491">
            <w:pPr>
              <w:spacing w:after="0" w:line="240" w:lineRule="auto"/>
              <w:jc w:val="right"/>
              <w:rPr>
                <w:rFonts w:ascii="Calibri" w:eastAsia="Times New Roman" w:hAnsi="Calibri" w:cs="Calibri"/>
                <w:color w:val="000000"/>
                <w:lang w:eastAsia="en-GB"/>
              </w:rPr>
            </w:pPr>
            <w:r>
              <w:rPr>
                <w:rFonts w:ascii="Calibri" w:hAnsi="Calibri" w:cs="Calibri"/>
                <w:color w:val="FF0000"/>
              </w:rPr>
              <w:t>-</w:t>
            </w:r>
            <w:r w:rsidR="00642491">
              <w:rPr>
                <w:rFonts w:ascii="Calibri" w:hAnsi="Calibri" w:cs="Calibri"/>
                <w:color w:val="FF0000"/>
              </w:rPr>
              <w:t>33</w:t>
            </w:r>
          </w:p>
        </w:tc>
      </w:tr>
      <w:tr w:rsidR="00BE79D1" w:rsidRPr="00905A60" w:rsidTr="00905A60">
        <w:trPr>
          <w:trHeight w:val="300"/>
        </w:trPr>
        <w:tc>
          <w:tcPr>
            <w:tcW w:w="4280" w:type="dxa"/>
            <w:tcBorders>
              <w:top w:val="nil"/>
              <w:left w:val="nil"/>
              <w:bottom w:val="nil"/>
              <w:right w:val="nil"/>
            </w:tcBorders>
            <w:shd w:val="clear" w:color="000000" w:fill="DDEBF7"/>
            <w:noWrap/>
            <w:vAlign w:val="bottom"/>
            <w:hideMark/>
          </w:tcPr>
          <w:p w:rsidR="00BE79D1" w:rsidRPr="00BE79D1" w:rsidRDefault="00BE79D1" w:rsidP="00BE79D1">
            <w:pPr>
              <w:spacing w:after="0" w:line="240" w:lineRule="auto"/>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Directorate Total</w:t>
            </w:r>
          </w:p>
        </w:tc>
        <w:tc>
          <w:tcPr>
            <w:tcW w:w="1256" w:type="dxa"/>
            <w:tcBorders>
              <w:top w:val="nil"/>
              <w:left w:val="nil"/>
              <w:bottom w:val="nil"/>
              <w:right w:val="nil"/>
            </w:tcBorders>
            <w:shd w:val="clear" w:color="000000" w:fill="DDEBF7"/>
            <w:noWrap/>
            <w:vAlign w:val="bottom"/>
            <w:hideMark/>
          </w:tcPr>
          <w:p w:rsidR="00BE79D1" w:rsidRPr="00905A60" w:rsidRDefault="00BE79D1" w:rsidP="00642491">
            <w:pPr>
              <w:spacing w:after="0" w:line="240" w:lineRule="auto"/>
              <w:jc w:val="right"/>
              <w:rPr>
                <w:rFonts w:ascii="Calibri" w:eastAsia="Times New Roman" w:hAnsi="Calibri" w:cs="Calibri"/>
                <w:b/>
                <w:bCs/>
                <w:color w:val="000000"/>
                <w:lang w:eastAsia="en-GB"/>
              </w:rPr>
            </w:pPr>
            <w:r w:rsidRPr="00905A60">
              <w:rPr>
                <w:rFonts w:ascii="Calibri" w:eastAsia="Times New Roman" w:hAnsi="Calibri" w:cs="Calibri"/>
                <w:b/>
                <w:bCs/>
                <w:color w:val="FF0000"/>
                <w:lang w:eastAsia="en-GB"/>
              </w:rPr>
              <w:t>-</w:t>
            </w:r>
            <w:r w:rsidR="00642491">
              <w:rPr>
                <w:rFonts w:ascii="Calibri" w:eastAsia="Times New Roman" w:hAnsi="Calibri" w:cs="Calibri"/>
                <w:b/>
                <w:bCs/>
                <w:color w:val="FF0000"/>
                <w:lang w:eastAsia="en-GB"/>
              </w:rPr>
              <w:t>865</w:t>
            </w:r>
          </w:p>
        </w:tc>
        <w:tc>
          <w:tcPr>
            <w:tcW w:w="1256" w:type="dxa"/>
            <w:tcBorders>
              <w:top w:val="nil"/>
              <w:left w:val="nil"/>
              <w:bottom w:val="nil"/>
              <w:right w:val="nil"/>
            </w:tcBorders>
            <w:shd w:val="clear" w:color="000000" w:fill="DDEBF7"/>
            <w:noWrap/>
            <w:vAlign w:val="bottom"/>
            <w:hideMark/>
          </w:tcPr>
          <w:p w:rsidR="00BE79D1" w:rsidRPr="00905A60" w:rsidRDefault="00BE79D1" w:rsidP="00642491">
            <w:pPr>
              <w:spacing w:after="0" w:line="240" w:lineRule="auto"/>
              <w:jc w:val="right"/>
              <w:rPr>
                <w:rFonts w:ascii="Calibri" w:eastAsia="Times New Roman" w:hAnsi="Calibri" w:cs="Calibri"/>
                <w:b/>
                <w:bCs/>
                <w:color w:val="000000"/>
                <w:lang w:eastAsia="en-GB"/>
              </w:rPr>
            </w:pPr>
            <w:r w:rsidRPr="00905A60">
              <w:rPr>
                <w:rFonts w:ascii="Calibri" w:eastAsia="Times New Roman" w:hAnsi="Calibri" w:cs="Calibri"/>
                <w:b/>
                <w:bCs/>
                <w:color w:val="FF0000"/>
                <w:lang w:eastAsia="en-GB"/>
              </w:rPr>
              <w:t>-</w:t>
            </w:r>
            <w:r w:rsidR="00642491">
              <w:rPr>
                <w:rFonts w:ascii="Calibri" w:eastAsia="Times New Roman" w:hAnsi="Calibri" w:cs="Calibri"/>
                <w:b/>
                <w:bCs/>
                <w:color w:val="FF0000"/>
                <w:lang w:eastAsia="en-GB"/>
              </w:rPr>
              <w:t>696</w:t>
            </w:r>
          </w:p>
        </w:tc>
        <w:tc>
          <w:tcPr>
            <w:tcW w:w="1256" w:type="dxa"/>
            <w:tcBorders>
              <w:top w:val="nil"/>
              <w:left w:val="nil"/>
              <w:bottom w:val="nil"/>
              <w:right w:val="nil"/>
            </w:tcBorders>
            <w:shd w:val="clear" w:color="000000" w:fill="DDEBF7"/>
            <w:noWrap/>
            <w:vAlign w:val="bottom"/>
            <w:hideMark/>
          </w:tcPr>
          <w:p w:rsidR="00BE79D1" w:rsidRPr="00905A60" w:rsidRDefault="00642491" w:rsidP="00642491">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1,300</w:t>
            </w:r>
          </w:p>
        </w:tc>
        <w:tc>
          <w:tcPr>
            <w:tcW w:w="960" w:type="dxa"/>
            <w:tcBorders>
              <w:top w:val="nil"/>
              <w:left w:val="nil"/>
              <w:bottom w:val="nil"/>
              <w:right w:val="nil"/>
            </w:tcBorders>
            <w:shd w:val="clear" w:color="000000" w:fill="DDEBF7"/>
            <w:noWrap/>
            <w:vAlign w:val="bottom"/>
            <w:hideMark/>
          </w:tcPr>
          <w:p w:rsidR="00BE79D1" w:rsidRPr="00905A60" w:rsidRDefault="00BE79D1" w:rsidP="00642491">
            <w:pPr>
              <w:spacing w:after="0" w:line="240" w:lineRule="auto"/>
              <w:jc w:val="right"/>
              <w:rPr>
                <w:rFonts w:ascii="Calibri" w:eastAsia="Times New Roman" w:hAnsi="Calibri" w:cs="Calibri"/>
                <w:b/>
                <w:bCs/>
                <w:color w:val="000000"/>
                <w:lang w:eastAsia="en-GB"/>
              </w:rPr>
            </w:pPr>
            <w:r w:rsidRPr="00905A60">
              <w:rPr>
                <w:rFonts w:ascii="Calibri" w:eastAsia="Times New Roman" w:hAnsi="Calibri" w:cs="Calibri"/>
                <w:b/>
                <w:bCs/>
                <w:color w:val="FF0000"/>
                <w:lang w:eastAsia="en-GB"/>
              </w:rPr>
              <w:t>-</w:t>
            </w:r>
            <w:r w:rsidR="00905A60">
              <w:rPr>
                <w:rFonts w:ascii="Calibri" w:eastAsia="Times New Roman" w:hAnsi="Calibri" w:cs="Calibri"/>
                <w:b/>
                <w:bCs/>
                <w:color w:val="FF0000"/>
                <w:lang w:eastAsia="en-GB"/>
              </w:rPr>
              <w:t>2</w:t>
            </w:r>
            <w:r w:rsidR="00642491">
              <w:rPr>
                <w:rFonts w:ascii="Calibri" w:eastAsia="Times New Roman" w:hAnsi="Calibri" w:cs="Calibri"/>
                <w:b/>
                <w:bCs/>
                <w:color w:val="FF0000"/>
                <w:lang w:eastAsia="en-GB"/>
              </w:rPr>
              <w:t>61</w:t>
            </w:r>
          </w:p>
        </w:tc>
      </w:tr>
      <w:tr w:rsidR="00BE79D1" w:rsidRPr="00905A60" w:rsidTr="00905A60">
        <w:trPr>
          <w:trHeight w:val="300"/>
        </w:trPr>
        <w:tc>
          <w:tcPr>
            <w:tcW w:w="4280" w:type="dxa"/>
            <w:tcBorders>
              <w:top w:val="nil"/>
              <w:left w:val="nil"/>
              <w:bottom w:val="nil"/>
              <w:right w:val="nil"/>
            </w:tcBorders>
            <w:shd w:val="clear" w:color="000000" w:fill="FFFFFF"/>
            <w:noWrap/>
            <w:vAlign w:val="bottom"/>
            <w:hideMark/>
          </w:tcPr>
          <w:p w:rsidR="00BE79D1" w:rsidRPr="00BE79D1" w:rsidRDefault="00BE79D1" w:rsidP="00BE79D1">
            <w:pPr>
              <w:spacing w:after="0" w:line="240" w:lineRule="auto"/>
              <w:rPr>
                <w:rFonts w:ascii="Calibri" w:eastAsia="Times New Roman" w:hAnsi="Calibri" w:cs="Calibri"/>
                <w:color w:val="000000"/>
                <w:lang w:eastAsia="en-GB"/>
              </w:rPr>
            </w:pPr>
            <w:r w:rsidRPr="00BE79D1">
              <w:rPr>
                <w:rFonts w:ascii="Calibri" w:eastAsia="Times New Roman" w:hAnsi="Calibri" w:cs="Calibri"/>
                <w:color w:val="000000"/>
                <w:lang w:eastAsia="en-GB"/>
              </w:rPr>
              <w:t>Covid 19 Directorate</w:t>
            </w:r>
          </w:p>
        </w:tc>
        <w:tc>
          <w:tcPr>
            <w:tcW w:w="1256" w:type="dxa"/>
            <w:tcBorders>
              <w:top w:val="nil"/>
              <w:left w:val="nil"/>
              <w:bottom w:val="nil"/>
              <w:right w:val="nil"/>
            </w:tcBorders>
            <w:shd w:val="clear" w:color="000000" w:fill="FFFFFF"/>
            <w:noWrap/>
            <w:vAlign w:val="bottom"/>
            <w:hideMark/>
          </w:tcPr>
          <w:p w:rsidR="00BE79D1" w:rsidRPr="00905A60" w:rsidRDefault="00BE79D1" w:rsidP="00BE79D1">
            <w:pPr>
              <w:spacing w:after="0" w:line="240" w:lineRule="auto"/>
              <w:jc w:val="right"/>
              <w:rPr>
                <w:rFonts w:ascii="Calibri" w:eastAsia="Times New Roman" w:hAnsi="Calibri" w:cs="Calibri"/>
                <w:color w:val="000000"/>
                <w:lang w:eastAsia="en-GB"/>
              </w:rPr>
            </w:pPr>
            <w:r w:rsidRPr="00905A60">
              <w:rPr>
                <w:rFonts w:ascii="Calibri" w:eastAsia="Times New Roman" w:hAnsi="Calibri" w:cs="Calibri"/>
                <w:color w:val="000000"/>
                <w:lang w:eastAsia="en-GB"/>
              </w:rPr>
              <w:t>0</w:t>
            </w:r>
          </w:p>
        </w:tc>
        <w:tc>
          <w:tcPr>
            <w:tcW w:w="1256" w:type="dxa"/>
            <w:tcBorders>
              <w:top w:val="nil"/>
              <w:left w:val="nil"/>
              <w:bottom w:val="nil"/>
              <w:right w:val="nil"/>
            </w:tcBorders>
            <w:shd w:val="clear" w:color="000000" w:fill="FFFFFF"/>
            <w:noWrap/>
            <w:vAlign w:val="bottom"/>
            <w:hideMark/>
          </w:tcPr>
          <w:p w:rsidR="00BE79D1" w:rsidRPr="005524EE" w:rsidRDefault="005524EE" w:rsidP="005524EE">
            <w:pPr>
              <w:spacing w:after="0" w:line="240" w:lineRule="auto"/>
              <w:jc w:val="right"/>
              <w:rPr>
                <w:rFonts w:ascii="Calibri" w:eastAsia="Times New Roman" w:hAnsi="Calibri" w:cs="Calibri"/>
                <w:lang w:eastAsia="en-GB"/>
              </w:rPr>
            </w:pPr>
            <w:r w:rsidRPr="005524EE">
              <w:rPr>
                <w:rFonts w:ascii="Calibri" w:eastAsia="Times New Roman" w:hAnsi="Calibri" w:cs="Calibri"/>
                <w:lang w:eastAsia="en-GB"/>
              </w:rPr>
              <w:t>0</w:t>
            </w:r>
          </w:p>
        </w:tc>
        <w:tc>
          <w:tcPr>
            <w:tcW w:w="1256" w:type="dxa"/>
            <w:tcBorders>
              <w:top w:val="nil"/>
              <w:left w:val="nil"/>
              <w:bottom w:val="nil"/>
              <w:right w:val="nil"/>
            </w:tcBorders>
            <w:shd w:val="clear" w:color="000000" w:fill="FFFFFF"/>
            <w:noWrap/>
            <w:vAlign w:val="bottom"/>
            <w:hideMark/>
          </w:tcPr>
          <w:p w:rsidR="00BE79D1" w:rsidRPr="00905A60" w:rsidRDefault="00BE79D1" w:rsidP="00BE79D1">
            <w:pPr>
              <w:spacing w:after="0" w:line="240" w:lineRule="auto"/>
              <w:jc w:val="right"/>
              <w:rPr>
                <w:rFonts w:ascii="Calibri" w:eastAsia="Times New Roman" w:hAnsi="Calibri" w:cs="Calibri"/>
                <w:color w:val="000000"/>
                <w:lang w:eastAsia="en-GB"/>
              </w:rPr>
            </w:pPr>
            <w:r w:rsidRPr="00905A60">
              <w:rPr>
                <w:rFonts w:ascii="Calibri" w:eastAsia="Times New Roman" w:hAnsi="Calibri" w:cs="Calibri"/>
                <w:color w:val="000000"/>
                <w:lang w:eastAsia="en-GB"/>
              </w:rPr>
              <w:t>0</w:t>
            </w:r>
          </w:p>
        </w:tc>
        <w:tc>
          <w:tcPr>
            <w:tcW w:w="960" w:type="dxa"/>
            <w:tcBorders>
              <w:top w:val="nil"/>
              <w:left w:val="nil"/>
              <w:bottom w:val="nil"/>
              <w:right w:val="nil"/>
            </w:tcBorders>
            <w:shd w:val="clear" w:color="000000" w:fill="FFFFFF"/>
            <w:noWrap/>
            <w:vAlign w:val="bottom"/>
            <w:hideMark/>
          </w:tcPr>
          <w:p w:rsidR="00BE79D1" w:rsidRPr="00905A60" w:rsidRDefault="00BE79D1" w:rsidP="00BE79D1">
            <w:pPr>
              <w:spacing w:after="0" w:line="240" w:lineRule="auto"/>
              <w:jc w:val="right"/>
              <w:rPr>
                <w:rFonts w:ascii="Calibri" w:eastAsia="Times New Roman" w:hAnsi="Calibri" w:cs="Calibri"/>
                <w:color w:val="000000"/>
                <w:lang w:eastAsia="en-GB"/>
              </w:rPr>
            </w:pPr>
            <w:r w:rsidRPr="00905A60">
              <w:rPr>
                <w:rFonts w:ascii="Calibri" w:eastAsia="Times New Roman" w:hAnsi="Calibri" w:cs="Calibri"/>
                <w:color w:val="000000"/>
                <w:lang w:eastAsia="en-GB"/>
              </w:rPr>
              <w:t>0</w:t>
            </w:r>
          </w:p>
        </w:tc>
      </w:tr>
      <w:tr w:rsidR="00BE79D1" w:rsidRPr="00905A60" w:rsidTr="00905A60">
        <w:trPr>
          <w:trHeight w:val="300"/>
        </w:trPr>
        <w:tc>
          <w:tcPr>
            <w:tcW w:w="4280" w:type="dxa"/>
            <w:tcBorders>
              <w:top w:val="nil"/>
              <w:left w:val="nil"/>
              <w:bottom w:val="nil"/>
              <w:right w:val="nil"/>
            </w:tcBorders>
            <w:shd w:val="clear" w:color="000000" w:fill="DDEBF7"/>
            <w:noWrap/>
            <w:vAlign w:val="bottom"/>
            <w:hideMark/>
          </w:tcPr>
          <w:p w:rsidR="00BE79D1" w:rsidRPr="00BE79D1" w:rsidRDefault="00BE79D1" w:rsidP="00BE79D1">
            <w:pPr>
              <w:spacing w:after="0" w:line="240" w:lineRule="auto"/>
              <w:rPr>
                <w:rFonts w:ascii="Calibri" w:eastAsia="Times New Roman" w:hAnsi="Calibri" w:cs="Calibri"/>
                <w:b/>
                <w:bCs/>
                <w:color w:val="000000"/>
                <w:lang w:eastAsia="en-GB"/>
              </w:rPr>
            </w:pPr>
            <w:r w:rsidRPr="00BE79D1">
              <w:rPr>
                <w:rFonts w:ascii="Calibri" w:eastAsia="Times New Roman" w:hAnsi="Calibri" w:cs="Calibri"/>
                <w:b/>
                <w:bCs/>
                <w:color w:val="000000"/>
                <w:lang w:eastAsia="en-GB"/>
              </w:rPr>
              <w:t>COVID19 Total</w:t>
            </w:r>
          </w:p>
        </w:tc>
        <w:tc>
          <w:tcPr>
            <w:tcW w:w="1256" w:type="dxa"/>
            <w:tcBorders>
              <w:top w:val="nil"/>
              <w:left w:val="nil"/>
              <w:bottom w:val="nil"/>
              <w:right w:val="nil"/>
            </w:tcBorders>
            <w:shd w:val="clear" w:color="000000" w:fill="DDEBF7"/>
            <w:noWrap/>
            <w:vAlign w:val="bottom"/>
            <w:hideMark/>
          </w:tcPr>
          <w:p w:rsidR="00BE79D1" w:rsidRPr="00905A60" w:rsidRDefault="00BE79D1" w:rsidP="00BE79D1">
            <w:pPr>
              <w:spacing w:after="0" w:line="240" w:lineRule="auto"/>
              <w:jc w:val="right"/>
              <w:rPr>
                <w:rFonts w:ascii="Calibri" w:eastAsia="Times New Roman" w:hAnsi="Calibri" w:cs="Calibri"/>
                <w:b/>
                <w:bCs/>
                <w:color w:val="000000"/>
                <w:lang w:eastAsia="en-GB"/>
              </w:rPr>
            </w:pPr>
            <w:r w:rsidRPr="00905A60">
              <w:rPr>
                <w:rFonts w:ascii="Calibri" w:eastAsia="Times New Roman" w:hAnsi="Calibri" w:cs="Calibri"/>
                <w:b/>
                <w:bCs/>
                <w:color w:val="000000"/>
                <w:lang w:eastAsia="en-GB"/>
              </w:rPr>
              <w:t>0</w:t>
            </w:r>
          </w:p>
        </w:tc>
        <w:tc>
          <w:tcPr>
            <w:tcW w:w="1256" w:type="dxa"/>
            <w:tcBorders>
              <w:top w:val="nil"/>
              <w:left w:val="nil"/>
              <w:bottom w:val="nil"/>
              <w:right w:val="nil"/>
            </w:tcBorders>
            <w:shd w:val="clear" w:color="000000" w:fill="DDEBF7"/>
            <w:noWrap/>
            <w:vAlign w:val="bottom"/>
            <w:hideMark/>
          </w:tcPr>
          <w:p w:rsidR="00BE79D1" w:rsidRPr="005524EE" w:rsidRDefault="00BE79D1" w:rsidP="00BE79D1">
            <w:pPr>
              <w:spacing w:after="0" w:line="240" w:lineRule="auto"/>
              <w:jc w:val="right"/>
              <w:rPr>
                <w:rFonts w:ascii="Calibri" w:eastAsia="Times New Roman" w:hAnsi="Calibri" w:cs="Calibri"/>
                <w:b/>
                <w:bCs/>
                <w:lang w:eastAsia="en-GB"/>
              </w:rPr>
            </w:pPr>
            <w:r w:rsidRPr="005524EE">
              <w:rPr>
                <w:rFonts w:ascii="Calibri" w:eastAsia="Times New Roman" w:hAnsi="Calibri" w:cs="Calibri"/>
                <w:b/>
                <w:bCs/>
                <w:lang w:eastAsia="en-GB"/>
              </w:rPr>
              <w:t>0</w:t>
            </w:r>
          </w:p>
        </w:tc>
        <w:tc>
          <w:tcPr>
            <w:tcW w:w="1256" w:type="dxa"/>
            <w:tcBorders>
              <w:top w:val="nil"/>
              <w:left w:val="nil"/>
              <w:bottom w:val="nil"/>
              <w:right w:val="nil"/>
            </w:tcBorders>
            <w:shd w:val="clear" w:color="000000" w:fill="DDEBF7"/>
            <w:noWrap/>
            <w:vAlign w:val="bottom"/>
            <w:hideMark/>
          </w:tcPr>
          <w:p w:rsidR="00BE79D1" w:rsidRPr="00905A60" w:rsidRDefault="00BE79D1" w:rsidP="00BE79D1">
            <w:pPr>
              <w:spacing w:after="0" w:line="240" w:lineRule="auto"/>
              <w:jc w:val="right"/>
              <w:rPr>
                <w:rFonts w:ascii="Calibri" w:eastAsia="Times New Roman" w:hAnsi="Calibri" w:cs="Calibri"/>
                <w:b/>
                <w:bCs/>
                <w:color w:val="000000"/>
                <w:lang w:eastAsia="en-GB"/>
              </w:rPr>
            </w:pPr>
            <w:r w:rsidRPr="00905A60">
              <w:rPr>
                <w:rFonts w:ascii="Calibri" w:eastAsia="Times New Roman" w:hAnsi="Calibri" w:cs="Calibri"/>
                <w:b/>
                <w:bCs/>
                <w:color w:val="000000"/>
                <w:lang w:eastAsia="en-GB"/>
              </w:rPr>
              <w:t>0</w:t>
            </w:r>
          </w:p>
        </w:tc>
        <w:tc>
          <w:tcPr>
            <w:tcW w:w="960" w:type="dxa"/>
            <w:tcBorders>
              <w:top w:val="nil"/>
              <w:left w:val="nil"/>
              <w:bottom w:val="nil"/>
              <w:right w:val="nil"/>
            </w:tcBorders>
            <w:shd w:val="clear" w:color="000000" w:fill="DDEBF7"/>
            <w:noWrap/>
            <w:vAlign w:val="bottom"/>
            <w:hideMark/>
          </w:tcPr>
          <w:p w:rsidR="00BE79D1" w:rsidRPr="00905A60" w:rsidRDefault="00BE79D1" w:rsidP="00BE79D1">
            <w:pPr>
              <w:spacing w:after="0" w:line="240" w:lineRule="auto"/>
              <w:jc w:val="right"/>
              <w:rPr>
                <w:rFonts w:ascii="Calibri" w:eastAsia="Times New Roman" w:hAnsi="Calibri" w:cs="Calibri"/>
                <w:b/>
                <w:bCs/>
                <w:color w:val="000000"/>
                <w:lang w:eastAsia="en-GB"/>
              </w:rPr>
            </w:pPr>
            <w:r w:rsidRPr="00905A60">
              <w:rPr>
                <w:rFonts w:ascii="Calibri" w:eastAsia="Times New Roman" w:hAnsi="Calibri" w:cs="Calibri"/>
                <w:b/>
                <w:bCs/>
                <w:color w:val="000000"/>
                <w:lang w:eastAsia="en-GB"/>
              </w:rPr>
              <w:t>0</w:t>
            </w:r>
          </w:p>
        </w:tc>
      </w:tr>
      <w:tr w:rsidR="005524EE" w:rsidRPr="00905A60" w:rsidTr="00905A60">
        <w:trPr>
          <w:trHeight w:val="300"/>
        </w:trPr>
        <w:tc>
          <w:tcPr>
            <w:tcW w:w="4280" w:type="dxa"/>
            <w:tcBorders>
              <w:top w:val="nil"/>
              <w:left w:val="nil"/>
              <w:bottom w:val="nil"/>
              <w:right w:val="nil"/>
            </w:tcBorders>
            <w:shd w:val="clear" w:color="DDEBF7" w:fill="BDD7EE"/>
            <w:noWrap/>
            <w:vAlign w:val="bottom"/>
            <w:hideMark/>
          </w:tcPr>
          <w:p w:rsidR="005524EE" w:rsidRPr="00BE79D1" w:rsidRDefault="005524EE" w:rsidP="005524EE">
            <w:pPr>
              <w:spacing w:after="0" w:line="240" w:lineRule="auto"/>
              <w:rPr>
                <w:rFonts w:ascii="Calibri" w:eastAsia="Times New Roman" w:hAnsi="Calibri" w:cs="Calibri"/>
                <w:b/>
                <w:bCs/>
                <w:lang w:eastAsia="en-GB"/>
              </w:rPr>
            </w:pPr>
            <w:r w:rsidRPr="00BE79D1">
              <w:rPr>
                <w:rFonts w:ascii="Calibri" w:eastAsia="Times New Roman" w:hAnsi="Calibri" w:cs="Calibri"/>
                <w:b/>
                <w:bCs/>
                <w:lang w:eastAsia="en-GB"/>
              </w:rPr>
              <w:t>Grand Total</w:t>
            </w:r>
          </w:p>
        </w:tc>
        <w:tc>
          <w:tcPr>
            <w:tcW w:w="1256" w:type="dxa"/>
            <w:tcBorders>
              <w:top w:val="nil"/>
              <w:left w:val="nil"/>
              <w:bottom w:val="nil"/>
              <w:right w:val="nil"/>
            </w:tcBorders>
            <w:shd w:val="clear" w:color="DDEBF7" w:fill="BDD7EE"/>
            <w:noWrap/>
            <w:vAlign w:val="bottom"/>
            <w:hideMark/>
          </w:tcPr>
          <w:p w:rsidR="005524EE" w:rsidRPr="00905A60" w:rsidRDefault="005524EE" w:rsidP="00642491">
            <w:pPr>
              <w:spacing w:after="0" w:line="240" w:lineRule="auto"/>
              <w:jc w:val="right"/>
              <w:rPr>
                <w:rFonts w:ascii="Calibri" w:eastAsia="Times New Roman" w:hAnsi="Calibri" w:cs="Calibri"/>
                <w:b/>
                <w:bCs/>
                <w:lang w:eastAsia="en-GB"/>
              </w:rPr>
            </w:pPr>
            <w:r w:rsidRPr="00905A60">
              <w:rPr>
                <w:rFonts w:ascii="Calibri" w:eastAsia="Times New Roman" w:hAnsi="Calibri" w:cs="Calibri"/>
                <w:b/>
                <w:bCs/>
                <w:color w:val="FF0000"/>
                <w:lang w:eastAsia="en-GB"/>
              </w:rPr>
              <w:t>-</w:t>
            </w:r>
            <w:r w:rsidR="00642491">
              <w:rPr>
                <w:rFonts w:ascii="Calibri" w:eastAsia="Times New Roman" w:hAnsi="Calibri" w:cs="Calibri"/>
                <w:b/>
                <w:bCs/>
                <w:color w:val="FF0000"/>
                <w:lang w:eastAsia="en-GB"/>
              </w:rPr>
              <w:t>865</w:t>
            </w:r>
          </w:p>
        </w:tc>
        <w:tc>
          <w:tcPr>
            <w:tcW w:w="1256" w:type="dxa"/>
            <w:tcBorders>
              <w:top w:val="nil"/>
              <w:left w:val="nil"/>
              <w:bottom w:val="nil"/>
              <w:right w:val="nil"/>
            </w:tcBorders>
            <w:shd w:val="clear" w:color="DDEBF7" w:fill="BDD7EE"/>
            <w:noWrap/>
            <w:vAlign w:val="bottom"/>
            <w:hideMark/>
          </w:tcPr>
          <w:p w:rsidR="005524EE" w:rsidRPr="00905A60" w:rsidRDefault="005524EE" w:rsidP="00642491">
            <w:pPr>
              <w:spacing w:after="0" w:line="240" w:lineRule="auto"/>
              <w:jc w:val="right"/>
              <w:rPr>
                <w:rFonts w:ascii="Calibri" w:eastAsia="Times New Roman" w:hAnsi="Calibri" w:cs="Calibri"/>
                <w:b/>
                <w:bCs/>
                <w:lang w:eastAsia="en-GB"/>
              </w:rPr>
            </w:pPr>
            <w:r w:rsidRPr="00905A60">
              <w:rPr>
                <w:rFonts w:ascii="Calibri" w:eastAsia="Times New Roman" w:hAnsi="Calibri" w:cs="Calibri"/>
                <w:b/>
                <w:bCs/>
                <w:color w:val="FF0000"/>
                <w:lang w:eastAsia="en-GB"/>
              </w:rPr>
              <w:t>-</w:t>
            </w:r>
            <w:r w:rsidR="00642491">
              <w:rPr>
                <w:rFonts w:ascii="Calibri" w:eastAsia="Times New Roman" w:hAnsi="Calibri" w:cs="Calibri"/>
                <w:b/>
                <w:bCs/>
                <w:color w:val="FF0000"/>
                <w:lang w:eastAsia="en-GB"/>
              </w:rPr>
              <w:t>696</w:t>
            </w:r>
          </w:p>
        </w:tc>
        <w:tc>
          <w:tcPr>
            <w:tcW w:w="1256" w:type="dxa"/>
            <w:tcBorders>
              <w:top w:val="nil"/>
              <w:left w:val="nil"/>
              <w:bottom w:val="nil"/>
              <w:right w:val="nil"/>
            </w:tcBorders>
            <w:shd w:val="clear" w:color="DDEBF7" w:fill="BDD7EE"/>
            <w:noWrap/>
            <w:vAlign w:val="bottom"/>
            <w:hideMark/>
          </w:tcPr>
          <w:p w:rsidR="005524EE" w:rsidRPr="00905A60" w:rsidRDefault="00642491" w:rsidP="00642491">
            <w:pPr>
              <w:spacing w:after="0" w:line="240" w:lineRule="auto"/>
              <w:jc w:val="right"/>
              <w:rPr>
                <w:rFonts w:ascii="Calibri" w:eastAsia="Times New Roman" w:hAnsi="Calibri" w:cs="Calibri"/>
                <w:b/>
                <w:bCs/>
                <w:lang w:eastAsia="en-GB"/>
              </w:rPr>
            </w:pPr>
            <w:r>
              <w:rPr>
                <w:rFonts w:ascii="Calibri" w:eastAsia="Times New Roman" w:hAnsi="Calibri" w:cs="Calibri"/>
                <w:b/>
                <w:bCs/>
                <w:color w:val="000000"/>
                <w:lang w:eastAsia="en-GB"/>
              </w:rPr>
              <w:t>1,300</w:t>
            </w:r>
          </w:p>
        </w:tc>
        <w:tc>
          <w:tcPr>
            <w:tcW w:w="960" w:type="dxa"/>
            <w:tcBorders>
              <w:top w:val="nil"/>
              <w:left w:val="nil"/>
              <w:bottom w:val="nil"/>
              <w:right w:val="nil"/>
            </w:tcBorders>
            <w:shd w:val="clear" w:color="DDEBF7" w:fill="BDD7EE"/>
            <w:noWrap/>
            <w:vAlign w:val="bottom"/>
            <w:hideMark/>
          </w:tcPr>
          <w:p w:rsidR="005524EE" w:rsidRPr="00905A60" w:rsidRDefault="005524EE" w:rsidP="00642491">
            <w:pPr>
              <w:spacing w:after="0" w:line="240" w:lineRule="auto"/>
              <w:jc w:val="right"/>
              <w:rPr>
                <w:rFonts w:ascii="Calibri" w:eastAsia="Times New Roman" w:hAnsi="Calibri" w:cs="Calibri"/>
                <w:b/>
                <w:bCs/>
                <w:lang w:eastAsia="en-GB"/>
              </w:rPr>
            </w:pPr>
            <w:r w:rsidRPr="00905A60">
              <w:rPr>
                <w:rFonts w:ascii="Calibri" w:eastAsia="Times New Roman" w:hAnsi="Calibri" w:cs="Calibri"/>
                <w:b/>
                <w:bCs/>
                <w:color w:val="FF0000"/>
                <w:lang w:eastAsia="en-GB"/>
              </w:rPr>
              <w:t>-</w:t>
            </w:r>
            <w:r>
              <w:rPr>
                <w:rFonts w:ascii="Calibri" w:eastAsia="Times New Roman" w:hAnsi="Calibri" w:cs="Calibri"/>
                <w:b/>
                <w:bCs/>
                <w:color w:val="FF0000"/>
                <w:lang w:eastAsia="en-GB"/>
              </w:rPr>
              <w:t>2</w:t>
            </w:r>
            <w:r w:rsidR="00642491">
              <w:rPr>
                <w:rFonts w:ascii="Calibri" w:eastAsia="Times New Roman" w:hAnsi="Calibri" w:cs="Calibri"/>
                <w:b/>
                <w:bCs/>
                <w:color w:val="FF0000"/>
                <w:lang w:eastAsia="en-GB"/>
              </w:rPr>
              <w:t>61</w:t>
            </w:r>
          </w:p>
        </w:tc>
      </w:tr>
    </w:tbl>
    <w:p w:rsidR="00526F03" w:rsidRPr="009201F5" w:rsidRDefault="00E13962" w:rsidP="005A6CD7">
      <w:pPr>
        <w:tabs>
          <w:tab w:val="num" w:pos="1008"/>
          <w:tab w:val="left" w:pos="8222"/>
        </w:tabs>
        <w:spacing w:before="240" w:line="240" w:lineRule="auto"/>
        <w:ind w:right="-284"/>
        <w:jc w:val="both"/>
        <w:rPr>
          <w:rFonts w:ascii="Verdana" w:hAnsi="Verdana"/>
          <w:sz w:val="24"/>
          <w:szCs w:val="24"/>
        </w:rPr>
      </w:pPr>
      <w:r>
        <w:rPr>
          <w:rFonts w:ascii="Verdana" w:hAnsi="Verdana"/>
          <w:sz w:val="24"/>
          <w:szCs w:val="24"/>
        </w:rPr>
        <w:t>T</w:t>
      </w:r>
      <w:r w:rsidR="008741E3" w:rsidRPr="00BE79D1">
        <w:rPr>
          <w:rFonts w:ascii="Verdana" w:hAnsi="Verdana"/>
          <w:sz w:val="24"/>
          <w:szCs w:val="24"/>
        </w:rPr>
        <w:t>he surplus at</w:t>
      </w:r>
      <w:r w:rsidR="00B72CFD" w:rsidRPr="00BE79D1">
        <w:rPr>
          <w:rFonts w:ascii="Verdana" w:hAnsi="Verdana"/>
          <w:sz w:val="24"/>
          <w:szCs w:val="24"/>
        </w:rPr>
        <w:t xml:space="preserve"> M</w:t>
      </w:r>
      <w:r w:rsidR="000F1B97" w:rsidRPr="00BE79D1">
        <w:rPr>
          <w:rFonts w:ascii="Verdana" w:hAnsi="Verdana"/>
          <w:sz w:val="24"/>
          <w:szCs w:val="24"/>
        </w:rPr>
        <w:t xml:space="preserve">onth </w:t>
      </w:r>
      <w:r w:rsidR="00642491">
        <w:rPr>
          <w:rFonts w:ascii="Verdana" w:hAnsi="Verdana"/>
          <w:sz w:val="24"/>
          <w:szCs w:val="24"/>
        </w:rPr>
        <w:t>9</w:t>
      </w:r>
      <w:r w:rsidR="008741E3" w:rsidRPr="00BE79D1">
        <w:rPr>
          <w:rFonts w:ascii="Verdana" w:hAnsi="Verdana"/>
          <w:sz w:val="24"/>
          <w:szCs w:val="24"/>
        </w:rPr>
        <w:t xml:space="preserve"> is </w:t>
      </w:r>
      <w:r w:rsidR="00F21980" w:rsidRPr="00BE79D1">
        <w:rPr>
          <w:rFonts w:ascii="Verdana" w:hAnsi="Verdana"/>
          <w:sz w:val="24"/>
          <w:szCs w:val="24"/>
        </w:rPr>
        <w:t>a combination</w:t>
      </w:r>
      <w:r w:rsidR="00A91199">
        <w:rPr>
          <w:rFonts w:ascii="Verdana" w:hAnsi="Verdana"/>
          <w:sz w:val="24"/>
          <w:szCs w:val="24"/>
        </w:rPr>
        <w:t xml:space="preserve"> of </w:t>
      </w:r>
      <w:r w:rsidR="00BE79D1">
        <w:rPr>
          <w:rFonts w:ascii="Verdana" w:hAnsi="Verdana"/>
          <w:sz w:val="24"/>
          <w:szCs w:val="24"/>
        </w:rPr>
        <w:t>variances</w:t>
      </w:r>
      <w:r w:rsidR="008741E3" w:rsidRPr="00BE79D1">
        <w:rPr>
          <w:rFonts w:ascii="Verdana" w:hAnsi="Verdana"/>
          <w:sz w:val="24"/>
          <w:szCs w:val="24"/>
        </w:rPr>
        <w:t xml:space="preserve"> across a number of Directorates</w:t>
      </w:r>
      <w:r w:rsidR="00A91199">
        <w:rPr>
          <w:rFonts w:ascii="Verdana" w:hAnsi="Verdana"/>
          <w:sz w:val="24"/>
          <w:szCs w:val="24"/>
        </w:rPr>
        <w:t xml:space="preserve"> associated with movement against spending plans. </w:t>
      </w:r>
      <w:r w:rsidR="00BE79D1" w:rsidRPr="00BE79D1">
        <w:rPr>
          <w:rFonts w:ascii="Verdana" w:hAnsi="Verdana"/>
          <w:sz w:val="24"/>
          <w:szCs w:val="24"/>
        </w:rPr>
        <w:t xml:space="preserve">Month </w:t>
      </w:r>
      <w:r w:rsidR="00642491">
        <w:rPr>
          <w:rFonts w:ascii="Verdana" w:hAnsi="Verdana"/>
          <w:sz w:val="24"/>
          <w:szCs w:val="24"/>
        </w:rPr>
        <w:t>9</w:t>
      </w:r>
      <w:r w:rsidR="00BE79D1">
        <w:rPr>
          <w:rFonts w:ascii="Verdana" w:hAnsi="Verdana"/>
          <w:sz w:val="24"/>
          <w:szCs w:val="24"/>
        </w:rPr>
        <w:t xml:space="preserve"> </w:t>
      </w:r>
      <w:r w:rsidR="00BE79D1" w:rsidRPr="00DB2A38">
        <w:rPr>
          <w:rFonts w:ascii="Verdana" w:hAnsi="Verdana"/>
          <w:sz w:val="24"/>
          <w:szCs w:val="24"/>
        </w:rPr>
        <w:t xml:space="preserve">includes </w:t>
      </w:r>
      <w:r w:rsidR="00DB2A38" w:rsidRPr="00DB2A38">
        <w:rPr>
          <w:rFonts w:ascii="Verdana" w:hAnsi="Verdana"/>
          <w:sz w:val="24"/>
          <w:szCs w:val="24"/>
        </w:rPr>
        <w:t>£213</w:t>
      </w:r>
      <w:r w:rsidR="00DB53F6" w:rsidRPr="00DB2A38">
        <w:rPr>
          <w:rFonts w:ascii="Verdana" w:hAnsi="Verdana"/>
          <w:sz w:val="24"/>
          <w:szCs w:val="24"/>
        </w:rPr>
        <w:t>k of bank interest income</w:t>
      </w:r>
      <w:r w:rsidR="00DB53F6" w:rsidRPr="009201F5">
        <w:rPr>
          <w:rFonts w:ascii="Verdana" w:hAnsi="Verdana"/>
          <w:sz w:val="24"/>
          <w:szCs w:val="24"/>
        </w:rPr>
        <w:t xml:space="preserve"> over and above our forecast for bank interest.  The overall forecast outturn remains breakeven for 2022-23</w:t>
      </w:r>
      <w:r w:rsidR="00F771DF" w:rsidRPr="009201F5">
        <w:rPr>
          <w:rFonts w:ascii="Verdana" w:hAnsi="Verdana"/>
          <w:sz w:val="24"/>
          <w:szCs w:val="24"/>
        </w:rPr>
        <w:t>.</w:t>
      </w:r>
      <w:r w:rsidR="00DB53F6" w:rsidRPr="009201F5">
        <w:rPr>
          <w:rFonts w:ascii="Verdana" w:hAnsi="Verdana"/>
          <w:sz w:val="24"/>
          <w:szCs w:val="24"/>
        </w:rPr>
        <w:t xml:space="preserve">  </w:t>
      </w:r>
    </w:p>
    <w:p w:rsidR="00B72D3C" w:rsidRDefault="00B72D3C" w:rsidP="007947FB">
      <w:pPr>
        <w:spacing w:after="0" w:line="240" w:lineRule="auto"/>
        <w:jc w:val="both"/>
        <w:rPr>
          <w:rFonts w:ascii="Verdana" w:hAnsi="Verdana"/>
          <w:sz w:val="24"/>
          <w:szCs w:val="24"/>
        </w:rPr>
      </w:pPr>
    </w:p>
    <w:p w:rsidR="00B72D3C" w:rsidRPr="006E6A4F" w:rsidRDefault="00B72D3C" w:rsidP="00B72D3C">
      <w:pPr>
        <w:spacing w:after="160" w:line="256" w:lineRule="auto"/>
        <w:jc w:val="both"/>
        <w:rPr>
          <w:rFonts w:ascii="Verdana" w:eastAsia="Times New Roman" w:hAnsi="Verdana" w:cs="Times New Roman"/>
          <w:b/>
          <w:color w:val="000000" w:themeColor="text1"/>
          <w:kern w:val="24"/>
          <w:sz w:val="24"/>
          <w:szCs w:val="24"/>
          <w:lang w:eastAsia="en-GB"/>
        </w:rPr>
      </w:pPr>
      <w:r w:rsidRPr="006E6A4F">
        <w:rPr>
          <w:rFonts w:ascii="Verdana" w:hAnsi="Verdana"/>
          <w:b/>
          <w:sz w:val="24"/>
          <w:szCs w:val="24"/>
        </w:rPr>
        <w:t>Local Public Health Team T</w:t>
      </w:r>
      <w:r w:rsidRPr="006E6A4F">
        <w:rPr>
          <w:rFonts w:ascii="Verdana" w:eastAsia="Times New Roman" w:hAnsi="Verdana" w:cs="Times New Roman"/>
          <w:b/>
          <w:color w:val="000000" w:themeColor="text1"/>
          <w:kern w:val="24"/>
          <w:sz w:val="24"/>
          <w:szCs w:val="24"/>
          <w:lang w:eastAsia="en-GB"/>
        </w:rPr>
        <w:t>ransfer</w:t>
      </w:r>
    </w:p>
    <w:p w:rsidR="00B72D3C" w:rsidRPr="000429B1" w:rsidRDefault="00B72D3C" w:rsidP="007947FB">
      <w:pPr>
        <w:spacing w:after="0" w:line="240" w:lineRule="auto"/>
        <w:jc w:val="both"/>
        <w:rPr>
          <w:rFonts w:ascii="Verdana" w:eastAsia="Times New Roman" w:hAnsi="Verdana" w:cs="Times New Roman"/>
          <w:color w:val="000000" w:themeColor="text1"/>
          <w:kern w:val="24"/>
          <w:sz w:val="24"/>
          <w:szCs w:val="24"/>
          <w:lang w:eastAsia="en-GB"/>
        </w:rPr>
      </w:pPr>
      <w:r w:rsidRPr="00730F6A">
        <w:rPr>
          <w:rFonts w:ascii="Verdana" w:eastAsia="Times New Roman" w:hAnsi="Verdana" w:cs="Times New Roman"/>
          <w:color w:val="000000" w:themeColor="text1"/>
          <w:kern w:val="24"/>
          <w:sz w:val="24"/>
          <w:szCs w:val="24"/>
          <w:lang w:eastAsia="en-GB"/>
        </w:rPr>
        <w:t>Local Public Healt</w:t>
      </w:r>
      <w:r w:rsidR="00C83443" w:rsidRPr="00730F6A">
        <w:rPr>
          <w:rFonts w:ascii="Verdana" w:eastAsia="Times New Roman" w:hAnsi="Verdana" w:cs="Times New Roman"/>
          <w:color w:val="000000" w:themeColor="text1"/>
          <w:kern w:val="24"/>
          <w:sz w:val="24"/>
          <w:szCs w:val="24"/>
          <w:lang w:eastAsia="en-GB"/>
        </w:rPr>
        <w:t xml:space="preserve">h Team transfer </w:t>
      </w:r>
      <w:r w:rsidR="005857E6" w:rsidRPr="00730F6A">
        <w:rPr>
          <w:rFonts w:ascii="Verdana" w:eastAsia="Times New Roman" w:hAnsi="Verdana" w:cs="Times New Roman"/>
          <w:color w:val="000000" w:themeColor="text1"/>
          <w:kern w:val="24"/>
          <w:sz w:val="24"/>
          <w:szCs w:val="24"/>
          <w:lang w:eastAsia="en-GB"/>
        </w:rPr>
        <w:t>amendments to allocation have now been confirmed and finalised.</w:t>
      </w:r>
      <w:r w:rsidRPr="00730F6A">
        <w:rPr>
          <w:rFonts w:ascii="Verdana" w:eastAsia="Times New Roman" w:hAnsi="Verdana" w:cs="Times New Roman"/>
          <w:color w:val="000000" w:themeColor="text1"/>
          <w:kern w:val="24"/>
          <w:sz w:val="24"/>
          <w:szCs w:val="24"/>
          <w:lang w:eastAsia="en-GB"/>
        </w:rPr>
        <w:t xml:space="preserve"> </w:t>
      </w:r>
      <w:r w:rsidR="00062BFE" w:rsidRPr="00730F6A">
        <w:rPr>
          <w:rFonts w:ascii="Verdana" w:eastAsia="Times New Roman" w:hAnsi="Verdana" w:cs="Times New Roman"/>
          <w:color w:val="000000" w:themeColor="text1"/>
          <w:kern w:val="24"/>
          <w:sz w:val="24"/>
          <w:szCs w:val="24"/>
          <w:lang w:eastAsia="en-GB"/>
        </w:rPr>
        <w:t>For 2022/23 we will be r</w:t>
      </w:r>
      <w:r w:rsidR="005857E6" w:rsidRPr="00730F6A">
        <w:rPr>
          <w:rFonts w:ascii="Verdana" w:eastAsia="Times New Roman" w:hAnsi="Verdana" w:cs="Times New Roman"/>
          <w:color w:val="000000" w:themeColor="text1"/>
          <w:kern w:val="24"/>
          <w:sz w:val="24"/>
          <w:szCs w:val="24"/>
          <w:lang w:eastAsia="en-GB"/>
        </w:rPr>
        <w:t>educing</w:t>
      </w:r>
      <w:r w:rsidR="00062BFE" w:rsidRPr="00730F6A">
        <w:rPr>
          <w:rFonts w:ascii="Verdana" w:eastAsia="Times New Roman" w:hAnsi="Verdana" w:cs="Times New Roman"/>
          <w:color w:val="000000" w:themeColor="text1"/>
          <w:kern w:val="24"/>
          <w:sz w:val="24"/>
          <w:szCs w:val="24"/>
          <w:lang w:eastAsia="en-GB"/>
        </w:rPr>
        <w:t xml:space="preserve"> our</w:t>
      </w:r>
      <w:r w:rsidR="005857E6" w:rsidRPr="00730F6A">
        <w:rPr>
          <w:rFonts w:ascii="Verdana" w:eastAsia="Times New Roman" w:hAnsi="Verdana" w:cs="Times New Roman"/>
          <w:color w:val="000000" w:themeColor="text1"/>
          <w:kern w:val="24"/>
          <w:sz w:val="24"/>
          <w:szCs w:val="24"/>
          <w:lang w:eastAsia="en-GB"/>
        </w:rPr>
        <w:t xml:space="preserve"> core allocation through invoicing</w:t>
      </w:r>
      <w:r w:rsidR="009F164D" w:rsidRPr="00730F6A">
        <w:rPr>
          <w:rFonts w:ascii="Verdana" w:eastAsia="Times New Roman" w:hAnsi="Verdana" w:cs="Times New Roman"/>
          <w:color w:val="000000" w:themeColor="text1"/>
          <w:kern w:val="24"/>
          <w:sz w:val="24"/>
          <w:szCs w:val="24"/>
          <w:lang w:eastAsia="en-GB"/>
        </w:rPr>
        <w:t xml:space="preserve">, and then </w:t>
      </w:r>
      <w:r w:rsidR="00E74823" w:rsidRPr="00730F6A">
        <w:rPr>
          <w:rFonts w:ascii="Verdana" w:eastAsia="Times New Roman" w:hAnsi="Verdana" w:cs="Times New Roman"/>
          <w:color w:val="000000" w:themeColor="text1"/>
          <w:kern w:val="24"/>
          <w:sz w:val="24"/>
          <w:szCs w:val="24"/>
          <w:lang w:eastAsia="en-GB"/>
        </w:rPr>
        <w:t xml:space="preserve">seeking a Welsh Government </w:t>
      </w:r>
      <w:r w:rsidR="009F164D" w:rsidRPr="00730F6A">
        <w:rPr>
          <w:rFonts w:ascii="Verdana" w:eastAsia="Times New Roman" w:hAnsi="Verdana" w:cs="Times New Roman"/>
          <w:color w:val="000000" w:themeColor="text1"/>
          <w:kern w:val="24"/>
          <w:sz w:val="24"/>
          <w:szCs w:val="24"/>
          <w:lang w:eastAsia="en-GB"/>
        </w:rPr>
        <w:t>adjust</w:t>
      </w:r>
      <w:r w:rsidR="00E74823" w:rsidRPr="00730F6A">
        <w:rPr>
          <w:rFonts w:ascii="Verdana" w:eastAsia="Times New Roman" w:hAnsi="Verdana" w:cs="Times New Roman"/>
          <w:color w:val="000000" w:themeColor="text1"/>
          <w:kern w:val="24"/>
          <w:sz w:val="24"/>
          <w:szCs w:val="24"/>
          <w:lang w:eastAsia="en-GB"/>
        </w:rPr>
        <w:t xml:space="preserve">ment of our </w:t>
      </w:r>
      <w:r w:rsidR="009F164D" w:rsidRPr="00730F6A">
        <w:rPr>
          <w:rFonts w:ascii="Verdana" w:eastAsia="Times New Roman" w:hAnsi="Verdana" w:cs="Times New Roman"/>
          <w:color w:val="000000" w:themeColor="text1"/>
          <w:kern w:val="24"/>
          <w:sz w:val="24"/>
          <w:szCs w:val="24"/>
          <w:lang w:eastAsia="en-GB"/>
        </w:rPr>
        <w:t xml:space="preserve">baseline </w:t>
      </w:r>
      <w:r w:rsidR="00E74823" w:rsidRPr="00730F6A">
        <w:rPr>
          <w:rFonts w:ascii="Verdana" w:eastAsia="Times New Roman" w:hAnsi="Verdana" w:cs="Times New Roman"/>
          <w:color w:val="000000" w:themeColor="text1"/>
          <w:kern w:val="24"/>
          <w:sz w:val="24"/>
          <w:szCs w:val="24"/>
          <w:lang w:eastAsia="en-GB"/>
        </w:rPr>
        <w:t>allocation on a recurrent basis.</w:t>
      </w:r>
      <w:r w:rsidR="00E74823">
        <w:rPr>
          <w:rFonts w:ascii="Verdana" w:eastAsia="Times New Roman" w:hAnsi="Verdana" w:cs="Times New Roman"/>
          <w:color w:val="000000" w:themeColor="text1"/>
          <w:kern w:val="24"/>
          <w:sz w:val="24"/>
          <w:szCs w:val="24"/>
          <w:lang w:eastAsia="en-GB"/>
        </w:rPr>
        <w:t xml:space="preserve"> </w:t>
      </w:r>
    </w:p>
    <w:p w:rsidR="007947FB" w:rsidRDefault="007947FB" w:rsidP="00190872">
      <w:pPr>
        <w:spacing w:after="160" w:line="256" w:lineRule="auto"/>
        <w:jc w:val="both"/>
        <w:rPr>
          <w:rFonts w:ascii="Verdana" w:eastAsia="Times New Roman" w:hAnsi="Verdana" w:cs="Times New Roman"/>
          <w:color w:val="000000" w:themeColor="text1"/>
          <w:kern w:val="24"/>
          <w:sz w:val="24"/>
          <w:szCs w:val="24"/>
          <w:highlight w:val="magenta"/>
          <w:lang w:eastAsia="en-GB"/>
        </w:rPr>
      </w:pPr>
    </w:p>
    <w:p w:rsidR="00BD6AED" w:rsidRPr="00E313A5" w:rsidRDefault="00BD6AED" w:rsidP="00190872">
      <w:pPr>
        <w:spacing w:after="160" w:line="256" w:lineRule="auto"/>
        <w:jc w:val="both"/>
        <w:rPr>
          <w:rFonts w:ascii="Verdana" w:eastAsia="Times New Roman" w:hAnsi="Verdana" w:cs="Times New Roman"/>
          <w:b/>
          <w:color w:val="000000" w:themeColor="text1"/>
          <w:kern w:val="24"/>
          <w:sz w:val="24"/>
          <w:szCs w:val="24"/>
          <w:lang w:eastAsia="en-GB"/>
        </w:rPr>
      </w:pPr>
      <w:r w:rsidRPr="00E313A5">
        <w:rPr>
          <w:rFonts w:ascii="Verdana" w:eastAsia="Times New Roman" w:hAnsi="Verdana" w:cs="Times New Roman"/>
          <w:b/>
          <w:color w:val="000000" w:themeColor="text1"/>
          <w:kern w:val="24"/>
          <w:sz w:val="24"/>
          <w:szCs w:val="24"/>
          <w:lang w:eastAsia="en-GB"/>
        </w:rPr>
        <w:t>Financial Flexibility contribution from PHW</w:t>
      </w:r>
    </w:p>
    <w:p w:rsidR="00730F6A" w:rsidRDefault="007603F5" w:rsidP="00730F6A">
      <w:pPr>
        <w:spacing w:after="160" w:line="256" w:lineRule="auto"/>
        <w:jc w:val="both"/>
        <w:rPr>
          <w:rFonts w:ascii="Verdana" w:eastAsia="Times New Roman" w:hAnsi="Verdana" w:cs="Times New Roman"/>
          <w:color w:val="000000" w:themeColor="text1"/>
          <w:kern w:val="24"/>
          <w:sz w:val="24"/>
          <w:szCs w:val="24"/>
          <w:highlight w:val="cyan"/>
          <w:lang w:eastAsia="en-GB"/>
        </w:rPr>
      </w:pPr>
      <w:r w:rsidRPr="00730F6A">
        <w:rPr>
          <w:rFonts w:ascii="Verdana" w:eastAsia="Times New Roman" w:hAnsi="Verdana" w:cs="Times New Roman"/>
          <w:color w:val="000000" w:themeColor="text1"/>
          <w:kern w:val="24"/>
          <w:sz w:val="24"/>
          <w:szCs w:val="24"/>
          <w:lang w:eastAsia="en-GB"/>
        </w:rPr>
        <w:t xml:space="preserve">As reported in </w:t>
      </w:r>
      <w:r w:rsidR="008858DD" w:rsidRPr="00730F6A">
        <w:rPr>
          <w:rFonts w:ascii="Verdana" w:eastAsia="Times New Roman" w:hAnsi="Verdana" w:cs="Times New Roman"/>
          <w:color w:val="000000" w:themeColor="text1"/>
          <w:kern w:val="24"/>
          <w:sz w:val="24"/>
          <w:szCs w:val="24"/>
          <w:lang w:eastAsia="en-GB"/>
        </w:rPr>
        <w:t>previous months,</w:t>
      </w:r>
      <w:r w:rsidRPr="00730F6A">
        <w:rPr>
          <w:rFonts w:ascii="Verdana" w:eastAsia="Times New Roman" w:hAnsi="Verdana" w:cs="Times New Roman"/>
          <w:color w:val="000000" w:themeColor="text1"/>
          <w:kern w:val="24"/>
          <w:sz w:val="24"/>
          <w:szCs w:val="24"/>
          <w:lang w:eastAsia="en-GB"/>
        </w:rPr>
        <w:t xml:space="preserve"> i</w:t>
      </w:r>
      <w:r w:rsidR="007F080E" w:rsidRPr="00730F6A">
        <w:rPr>
          <w:rFonts w:ascii="Verdana" w:eastAsia="Times New Roman" w:hAnsi="Verdana" w:cs="Times New Roman"/>
          <w:color w:val="000000" w:themeColor="text1"/>
          <w:kern w:val="24"/>
          <w:sz w:val="24"/>
          <w:szCs w:val="24"/>
          <w:lang w:eastAsia="en-GB"/>
        </w:rPr>
        <w:t>n response t</w:t>
      </w:r>
      <w:r w:rsidR="00BD6AED" w:rsidRPr="00730F6A">
        <w:rPr>
          <w:rFonts w:ascii="Verdana" w:eastAsia="Times New Roman" w:hAnsi="Verdana" w:cs="Times New Roman"/>
          <w:color w:val="000000" w:themeColor="text1"/>
          <w:kern w:val="24"/>
          <w:sz w:val="24"/>
          <w:szCs w:val="24"/>
          <w:lang w:eastAsia="en-GB"/>
        </w:rPr>
        <w:t xml:space="preserve">o the NHS Wales </w:t>
      </w:r>
      <w:r w:rsidR="007F080E" w:rsidRPr="00730F6A">
        <w:rPr>
          <w:rFonts w:ascii="Verdana" w:eastAsia="Times New Roman" w:hAnsi="Verdana" w:cs="Times New Roman"/>
          <w:color w:val="000000" w:themeColor="text1"/>
          <w:kern w:val="24"/>
          <w:sz w:val="24"/>
          <w:szCs w:val="24"/>
          <w:lang w:eastAsia="en-GB"/>
        </w:rPr>
        <w:t>Financial position and following the extensive review of all plans, we have identified non-recurring bene</w:t>
      </w:r>
      <w:r w:rsidR="00195291" w:rsidRPr="00730F6A">
        <w:rPr>
          <w:rFonts w:ascii="Verdana" w:eastAsia="Times New Roman" w:hAnsi="Verdana" w:cs="Times New Roman"/>
          <w:color w:val="000000" w:themeColor="text1"/>
          <w:kern w:val="24"/>
          <w:sz w:val="24"/>
          <w:szCs w:val="24"/>
          <w:lang w:eastAsia="en-GB"/>
        </w:rPr>
        <w:t xml:space="preserve">fits </w:t>
      </w:r>
      <w:r w:rsidR="00E74823" w:rsidRPr="00730F6A">
        <w:rPr>
          <w:rFonts w:ascii="Verdana" w:eastAsia="Times New Roman" w:hAnsi="Verdana" w:cs="Times New Roman"/>
          <w:color w:val="000000" w:themeColor="text1"/>
          <w:kern w:val="24"/>
          <w:sz w:val="24"/>
          <w:szCs w:val="24"/>
          <w:lang w:eastAsia="en-GB"/>
        </w:rPr>
        <w:t xml:space="preserve">to be returned to Welsh Government </w:t>
      </w:r>
      <w:r w:rsidR="00195291" w:rsidRPr="00730F6A">
        <w:rPr>
          <w:rFonts w:ascii="Verdana" w:eastAsia="Times New Roman" w:hAnsi="Verdana" w:cs="Times New Roman"/>
          <w:color w:val="000000" w:themeColor="text1"/>
          <w:kern w:val="24"/>
          <w:sz w:val="24"/>
          <w:szCs w:val="24"/>
          <w:lang w:eastAsia="en-GB"/>
        </w:rPr>
        <w:t>this</w:t>
      </w:r>
      <w:r w:rsidR="003A7948" w:rsidRPr="00730F6A">
        <w:rPr>
          <w:rFonts w:ascii="Verdana" w:eastAsia="Times New Roman" w:hAnsi="Verdana" w:cs="Times New Roman"/>
          <w:color w:val="000000" w:themeColor="text1"/>
          <w:kern w:val="24"/>
          <w:sz w:val="24"/>
          <w:szCs w:val="24"/>
          <w:lang w:eastAsia="en-GB"/>
        </w:rPr>
        <w:t xml:space="preserve"> financial</w:t>
      </w:r>
      <w:r w:rsidR="00195291" w:rsidRPr="00730F6A">
        <w:rPr>
          <w:rFonts w:ascii="Verdana" w:eastAsia="Times New Roman" w:hAnsi="Verdana" w:cs="Times New Roman"/>
          <w:color w:val="000000" w:themeColor="text1"/>
          <w:kern w:val="24"/>
          <w:sz w:val="24"/>
          <w:szCs w:val="24"/>
          <w:lang w:eastAsia="en-GB"/>
        </w:rPr>
        <w:t xml:space="preserve"> year</w:t>
      </w:r>
      <w:r w:rsidR="00E74823" w:rsidRPr="00730F6A">
        <w:rPr>
          <w:rFonts w:ascii="Verdana" w:eastAsia="Times New Roman" w:hAnsi="Verdana" w:cs="Times New Roman"/>
          <w:color w:val="000000" w:themeColor="text1"/>
          <w:kern w:val="24"/>
          <w:sz w:val="24"/>
          <w:szCs w:val="24"/>
          <w:lang w:eastAsia="en-GB"/>
        </w:rPr>
        <w:t xml:space="preserve">.  </w:t>
      </w:r>
      <w:r w:rsidR="00195291" w:rsidRPr="00B66BF4">
        <w:rPr>
          <w:rFonts w:ascii="Verdana" w:eastAsia="Times New Roman" w:hAnsi="Verdana" w:cs="Times New Roman"/>
          <w:color w:val="000000" w:themeColor="text1"/>
          <w:kern w:val="24"/>
          <w:sz w:val="24"/>
          <w:szCs w:val="24"/>
          <w:lang w:eastAsia="en-GB"/>
        </w:rPr>
        <w:t>We have</w:t>
      </w:r>
      <w:r w:rsidR="00062BFE" w:rsidRPr="00B66BF4">
        <w:rPr>
          <w:rFonts w:ascii="Verdana" w:eastAsia="Times New Roman" w:hAnsi="Verdana" w:cs="Times New Roman"/>
          <w:color w:val="000000" w:themeColor="text1"/>
          <w:kern w:val="24"/>
          <w:sz w:val="24"/>
          <w:szCs w:val="24"/>
          <w:lang w:eastAsia="en-GB"/>
        </w:rPr>
        <w:t xml:space="preserve"> </w:t>
      </w:r>
      <w:r w:rsidR="00E74823" w:rsidRPr="00B66BF4">
        <w:rPr>
          <w:rFonts w:ascii="Verdana" w:eastAsia="Times New Roman" w:hAnsi="Verdana" w:cs="Times New Roman"/>
          <w:color w:val="000000" w:themeColor="text1"/>
          <w:kern w:val="24"/>
          <w:sz w:val="24"/>
          <w:szCs w:val="24"/>
          <w:lang w:eastAsia="en-GB"/>
        </w:rPr>
        <w:t xml:space="preserve">now </w:t>
      </w:r>
      <w:r w:rsidR="00062BFE" w:rsidRPr="00B66BF4">
        <w:rPr>
          <w:rFonts w:ascii="Verdana" w:eastAsia="Times New Roman" w:hAnsi="Verdana" w:cs="Times New Roman"/>
          <w:color w:val="000000" w:themeColor="text1"/>
          <w:kern w:val="24"/>
          <w:sz w:val="24"/>
          <w:szCs w:val="24"/>
          <w:lang w:eastAsia="en-GB"/>
        </w:rPr>
        <w:t xml:space="preserve">received </w:t>
      </w:r>
      <w:r w:rsidR="008858DD" w:rsidRPr="00B66BF4">
        <w:rPr>
          <w:rFonts w:ascii="Verdana" w:eastAsia="Times New Roman" w:hAnsi="Verdana" w:cs="Times New Roman"/>
          <w:color w:val="000000" w:themeColor="text1"/>
          <w:kern w:val="24"/>
          <w:sz w:val="24"/>
          <w:szCs w:val="24"/>
          <w:lang w:eastAsia="en-GB"/>
        </w:rPr>
        <w:t>invoices</w:t>
      </w:r>
      <w:r w:rsidR="00062BFE" w:rsidRPr="00B66BF4">
        <w:rPr>
          <w:rFonts w:ascii="Verdana" w:eastAsia="Times New Roman" w:hAnsi="Verdana" w:cs="Times New Roman"/>
          <w:color w:val="000000" w:themeColor="text1"/>
          <w:kern w:val="24"/>
          <w:sz w:val="24"/>
          <w:szCs w:val="24"/>
          <w:lang w:eastAsia="en-GB"/>
        </w:rPr>
        <w:t xml:space="preserve"> from Welsh Government for </w:t>
      </w:r>
      <w:r w:rsidR="00FF7842">
        <w:rPr>
          <w:rFonts w:ascii="Verdana" w:eastAsia="Times New Roman" w:hAnsi="Verdana" w:cs="Times New Roman"/>
          <w:color w:val="000000" w:themeColor="text1"/>
          <w:kern w:val="24"/>
          <w:sz w:val="24"/>
          <w:szCs w:val="24"/>
          <w:lang w:eastAsia="en-GB"/>
        </w:rPr>
        <w:t xml:space="preserve">benefits notified to Board totalling £1.487m.  An invoice of </w:t>
      </w:r>
      <w:r w:rsidR="00062BFE" w:rsidRPr="00B66BF4">
        <w:rPr>
          <w:rFonts w:ascii="Verdana" w:eastAsia="Times New Roman" w:hAnsi="Verdana" w:cs="Times New Roman"/>
          <w:color w:val="000000" w:themeColor="text1"/>
          <w:kern w:val="24"/>
          <w:sz w:val="24"/>
          <w:szCs w:val="24"/>
          <w:lang w:eastAsia="en-GB"/>
        </w:rPr>
        <w:t>£500k</w:t>
      </w:r>
      <w:r w:rsidR="00FF7842">
        <w:rPr>
          <w:rFonts w:ascii="Verdana" w:eastAsia="Times New Roman" w:hAnsi="Verdana" w:cs="Times New Roman"/>
          <w:color w:val="000000" w:themeColor="text1"/>
          <w:kern w:val="24"/>
          <w:sz w:val="24"/>
          <w:szCs w:val="24"/>
          <w:lang w:eastAsia="en-GB"/>
        </w:rPr>
        <w:t xml:space="preserve"> has been received an</w:t>
      </w:r>
      <w:r w:rsidR="0035359B">
        <w:rPr>
          <w:rFonts w:ascii="Verdana" w:eastAsia="Times New Roman" w:hAnsi="Verdana" w:cs="Times New Roman"/>
          <w:color w:val="000000" w:themeColor="text1"/>
          <w:kern w:val="24"/>
          <w:sz w:val="24"/>
          <w:szCs w:val="24"/>
          <w:lang w:eastAsia="en-GB"/>
        </w:rPr>
        <w:t>d</w:t>
      </w:r>
      <w:r w:rsidR="00FF7842">
        <w:rPr>
          <w:rFonts w:ascii="Verdana" w:eastAsia="Times New Roman" w:hAnsi="Verdana" w:cs="Times New Roman"/>
          <w:color w:val="000000" w:themeColor="text1"/>
          <w:kern w:val="24"/>
          <w:sz w:val="24"/>
          <w:szCs w:val="24"/>
          <w:lang w:eastAsia="en-GB"/>
        </w:rPr>
        <w:t xml:space="preserve"> authorised and will be paid in month 10. Two further invoices have been received totalling £987k that will also now go through the authorisation process in month 10.</w:t>
      </w:r>
      <w:r w:rsidR="00730F6A">
        <w:rPr>
          <w:rFonts w:ascii="Verdana" w:eastAsia="Times New Roman" w:hAnsi="Verdana" w:cs="Times New Roman"/>
          <w:color w:val="000000" w:themeColor="text1"/>
          <w:kern w:val="24"/>
          <w:sz w:val="24"/>
          <w:szCs w:val="24"/>
          <w:highlight w:val="cyan"/>
          <w:lang w:eastAsia="en-GB"/>
        </w:rPr>
        <w:t xml:space="preserve">  </w:t>
      </w:r>
    </w:p>
    <w:p w:rsidR="00E74823" w:rsidRDefault="008749EA" w:rsidP="00E74823">
      <w:pPr>
        <w:spacing w:after="160" w:line="256" w:lineRule="auto"/>
        <w:jc w:val="both"/>
        <w:rPr>
          <w:rFonts w:ascii="Verdana" w:eastAsia="Times New Roman" w:hAnsi="Verdana" w:cs="Times New Roman"/>
          <w:color w:val="000000" w:themeColor="text1"/>
          <w:kern w:val="24"/>
          <w:sz w:val="24"/>
          <w:szCs w:val="24"/>
          <w:lang w:eastAsia="en-GB"/>
        </w:rPr>
      </w:pPr>
      <w:r w:rsidRPr="00730F6A">
        <w:rPr>
          <w:rFonts w:ascii="Verdana" w:eastAsia="Times New Roman" w:hAnsi="Verdana" w:cs="Times New Roman"/>
          <w:color w:val="000000" w:themeColor="text1"/>
          <w:kern w:val="24"/>
          <w:sz w:val="24"/>
          <w:szCs w:val="24"/>
          <w:lang w:eastAsia="en-GB"/>
        </w:rPr>
        <w:t>We continue to actively seek opportunities to help support the NHS Wales Financial position</w:t>
      </w:r>
      <w:r w:rsidR="00730F6A" w:rsidRPr="00730F6A">
        <w:rPr>
          <w:rFonts w:ascii="Verdana" w:eastAsia="Times New Roman" w:hAnsi="Verdana" w:cs="Times New Roman"/>
          <w:color w:val="000000" w:themeColor="text1"/>
          <w:kern w:val="24"/>
          <w:sz w:val="24"/>
          <w:szCs w:val="24"/>
          <w:lang w:eastAsia="en-GB"/>
        </w:rPr>
        <w:t xml:space="preserve"> and have included 2 more potential benefits in our monitoring return</w:t>
      </w:r>
      <w:r w:rsidR="00675ED6" w:rsidRPr="00730F6A">
        <w:rPr>
          <w:rFonts w:ascii="Verdana" w:eastAsia="Times New Roman" w:hAnsi="Verdana" w:cs="Times New Roman"/>
          <w:color w:val="000000" w:themeColor="text1"/>
          <w:kern w:val="24"/>
          <w:sz w:val="24"/>
          <w:szCs w:val="24"/>
          <w:lang w:eastAsia="en-GB"/>
        </w:rPr>
        <w:t>.</w:t>
      </w:r>
    </w:p>
    <w:p w:rsidR="00E74823" w:rsidRDefault="00E74823" w:rsidP="00E74823">
      <w:pPr>
        <w:spacing w:after="160" w:line="256" w:lineRule="auto"/>
        <w:jc w:val="both"/>
        <w:rPr>
          <w:rFonts w:ascii="Verdana" w:eastAsia="Times New Roman" w:hAnsi="Verdana" w:cs="Times New Roman"/>
          <w:color w:val="000000" w:themeColor="text1"/>
          <w:kern w:val="24"/>
          <w:sz w:val="24"/>
          <w:szCs w:val="24"/>
          <w:lang w:eastAsia="en-GB"/>
        </w:rPr>
      </w:pPr>
    </w:p>
    <w:p w:rsidR="008E0EE4" w:rsidRPr="005C006E" w:rsidRDefault="008E0EE4" w:rsidP="00E74823">
      <w:pPr>
        <w:spacing w:after="160" w:line="256" w:lineRule="auto"/>
        <w:jc w:val="both"/>
        <w:rPr>
          <w:rFonts w:ascii="Verdana" w:eastAsia="Times New Roman" w:hAnsi="Verdana" w:cs="Times New Roman"/>
          <w:b/>
          <w:color w:val="000000" w:themeColor="text1"/>
          <w:kern w:val="24"/>
          <w:sz w:val="24"/>
          <w:szCs w:val="24"/>
          <w:lang w:eastAsia="en-GB"/>
        </w:rPr>
      </w:pPr>
      <w:r w:rsidRPr="005C006E">
        <w:rPr>
          <w:rFonts w:ascii="Verdana" w:eastAsia="Times New Roman" w:hAnsi="Verdana" w:cs="Times New Roman"/>
          <w:b/>
          <w:color w:val="000000" w:themeColor="text1"/>
          <w:kern w:val="24"/>
          <w:sz w:val="24"/>
          <w:szCs w:val="24"/>
          <w:lang w:eastAsia="en-GB"/>
        </w:rPr>
        <w:t>Energy</w:t>
      </w:r>
      <w:r w:rsidR="002931F5" w:rsidRPr="005C006E">
        <w:rPr>
          <w:rFonts w:ascii="Verdana" w:eastAsia="Times New Roman" w:hAnsi="Verdana" w:cs="Times New Roman"/>
          <w:b/>
          <w:color w:val="000000" w:themeColor="text1"/>
          <w:kern w:val="24"/>
          <w:sz w:val="24"/>
          <w:szCs w:val="24"/>
          <w:lang w:eastAsia="en-GB"/>
        </w:rPr>
        <w:t xml:space="preserve"> Forecast</w:t>
      </w:r>
    </w:p>
    <w:p w:rsidR="002931F5" w:rsidRPr="006855AD" w:rsidRDefault="002931F5" w:rsidP="002931F5">
      <w:pPr>
        <w:jc w:val="both"/>
        <w:rPr>
          <w:rFonts w:ascii="Verdana" w:hAnsi="Verdana"/>
          <w:sz w:val="24"/>
          <w:szCs w:val="24"/>
        </w:rPr>
      </w:pPr>
      <w:r w:rsidRPr="006855AD">
        <w:rPr>
          <w:rFonts w:ascii="Verdana" w:hAnsi="Verdana"/>
          <w:sz w:val="24"/>
          <w:szCs w:val="24"/>
        </w:rPr>
        <w:t xml:space="preserve">The energy forecast used at the start of 2022/23 indicated a cost pressure at that stage of ~£250k, </w:t>
      </w:r>
      <w:r w:rsidR="0008142D" w:rsidRPr="006855AD">
        <w:rPr>
          <w:rFonts w:ascii="Verdana" w:hAnsi="Verdana"/>
          <w:sz w:val="24"/>
          <w:szCs w:val="24"/>
        </w:rPr>
        <w:t xml:space="preserve">for </w:t>
      </w:r>
      <w:r w:rsidRPr="006855AD">
        <w:rPr>
          <w:rFonts w:ascii="Verdana" w:hAnsi="Verdana"/>
          <w:sz w:val="24"/>
          <w:szCs w:val="24"/>
        </w:rPr>
        <w:t xml:space="preserve">which funding was identified </w:t>
      </w:r>
      <w:r w:rsidR="0008142D" w:rsidRPr="006855AD">
        <w:rPr>
          <w:rFonts w:ascii="Verdana" w:hAnsi="Verdana"/>
          <w:sz w:val="24"/>
          <w:szCs w:val="24"/>
        </w:rPr>
        <w:t>in</w:t>
      </w:r>
      <w:r w:rsidRPr="006855AD">
        <w:rPr>
          <w:rFonts w:ascii="Verdana" w:hAnsi="Verdana"/>
          <w:sz w:val="24"/>
          <w:szCs w:val="24"/>
        </w:rPr>
        <w:t xml:space="preserve"> the financial plan for 2022/23.  A number of updated forecasts have been received throughout the year, as market forces have changed and prices fluctuated</w:t>
      </w:r>
      <w:r w:rsidR="0008142D" w:rsidRPr="006855AD">
        <w:rPr>
          <w:rFonts w:ascii="Verdana" w:hAnsi="Verdana"/>
          <w:sz w:val="24"/>
          <w:szCs w:val="24"/>
        </w:rPr>
        <w:t>.</w:t>
      </w:r>
      <w:r w:rsidRPr="006855AD">
        <w:rPr>
          <w:rFonts w:ascii="Verdana" w:hAnsi="Verdana"/>
          <w:sz w:val="24"/>
          <w:szCs w:val="24"/>
        </w:rPr>
        <w:t xml:space="preserve"> </w:t>
      </w:r>
    </w:p>
    <w:p w:rsidR="002931F5" w:rsidRPr="006855AD" w:rsidRDefault="002931F5" w:rsidP="002931F5">
      <w:pPr>
        <w:spacing w:after="160" w:line="256" w:lineRule="auto"/>
        <w:jc w:val="both"/>
        <w:rPr>
          <w:rFonts w:ascii="Verdana" w:hAnsi="Verdana"/>
          <w:sz w:val="24"/>
          <w:szCs w:val="24"/>
        </w:rPr>
      </w:pPr>
      <w:r w:rsidRPr="006855AD">
        <w:rPr>
          <w:rFonts w:ascii="Verdana" w:hAnsi="Verdana"/>
          <w:sz w:val="24"/>
          <w:szCs w:val="24"/>
        </w:rPr>
        <w:t>The most recent</w:t>
      </w:r>
      <w:r w:rsidR="0008142D" w:rsidRPr="006855AD">
        <w:rPr>
          <w:rFonts w:ascii="Verdana" w:hAnsi="Verdana"/>
          <w:sz w:val="24"/>
          <w:szCs w:val="24"/>
        </w:rPr>
        <w:t xml:space="preserve"> update from NHS Wales Shared Services Partnership</w:t>
      </w:r>
      <w:r w:rsidRPr="006855AD">
        <w:rPr>
          <w:rFonts w:ascii="Verdana" w:hAnsi="Verdana"/>
          <w:sz w:val="24"/>
          <w:szCs w:val="24"/>
        </w:rPr>
        <w:t xml:space="preserve"> now takes into account the impact of the Energy Billing Relief Scheme. PHW incremental energy </w:t>
      </w:r>
      <w:r w:rsidR="005C006E" w:rsidRPr="006855AD">
        <w:rPr>
          <w:rFonts w:ascii="Verdana" w:hAnsi="Verdana"/>
          <w:sz w:val="24"/>
          <w:szCs w:val="24"/>
        </w:rPr>
        <w:t>costs are now forecast at £185</w:t>
      </w:r>
      <w:r w:rsidR="000429B1" w:rsidRPr="006855AD">
        <w:rPr>
          <w:rFonts w:ascii="Verdana" w:hAnsi="Verdana"/>
          <w:sz w:val="24"/>
          <w:szCs w:val="24"/>
        </w:rPr>
        <w:t>k</w:t>
      </w:r>
      <w:r w:rsidRPr="006855AD">
        <w:rPr>
          <w:rFonts w:ascii="Verdana" w:hAnsi="Verdana"/>
          <w:sz w:val="24"/>
          <w:szCs w:val="24"/>
        </w:rPr>
        <w:t>, which is within the £250k funding set aside.</w:t>
      </w:r>
    </w:p>
    <w:p w:rsidR="0008142D" w:rsidRPr="00E13962" w:rsidRDefault="002931F5" w:rsidP="00190872">
      <w:pPr>
        <w:spacing w:after="160" w:line="256" w:lineRule="auto"/>
        <w:jc w:val="both"/>
        <w:rPr>
          <w:rFonts w:ascii="Verdana" w:eastAsia="Times New Roman" w:hAnsi="Verdana" w:cs="Times New Roman"/>
          <w:b/>
          <w:color w:val="000000" w:themeColor="text1"/>
          <w:kern w:val="24"/>
          <w:sz w:val="24"/>
          <w:szCs w:val="24"/>
          <w:lang w:eastAsia="en-GB"/>
        </w:rPr>
      </w:pPr>
      <w:r w:rsidRPr="006855AD">
        <w:rPr>
          <w:rFonts w:ascii="Verdana" w:hAnsi="Verdana"/>
          <w:sz w:val="24"/>
          <w:szCs w:val="24"/>
        </w:rPr>
        <w:t>We will continue to monitor and update the energy forecast as we receive more information from NWSSP and our landlord managed sites.</w:t>
      </w:r>
    </w:p>
    <w:p w:rsidR="00E74823" w:rsidRDefault="00E74823" w:rsidP="00E13962">
      <w:pPr>
        <w:jc w:val="both"/>
        <w:rPr>
          <w:rFonts w:ascii="Verdana" w:hAnsi="Verdana"/>
          <w:b/>
          <w:sz w:val="24"/>
          <w:szCs w:val="24"/>
          <w:u w:val="single"/>
        </w:rPr>
      </w:pPr>
    </w:p>
    <w:p w:rsidR="00D2168F" w:rsidRPr="00E13962" w:rsidRDefault="00832D4D" w:rsidP="00E13962">
      <w:pPr>
        <w:jc w:val="both"/>
        <w:rPr>
          <w:rFonts w:ascii="Verdana" w:hAnsi="Verdana"/>
          <w:b/>
          <w:sz w:val="24"/>
          <w:szCs w:val="24"/>
          <w:u w:val="single"/>
        </w:rPr>
      </w:pPr>
      <w:r w:rsidRPr="00B701CE">
        <w:rPr>
          <w:rFonts w:ascii="Verdana" w:hAnsi="Verdana"/>
          <w:b/>
          <w:sz w:val="24"/>
          <w:szCs w:val="24"/>
          <w:u w:val="single"/>
        </w:rPr>
        <w:t>C</w:t>
      </w:r>
      <w:r w:rsidR="003B32BA" w:rsidRPr="00B701CE">
        <w:rPr>
          <w:rFonts w:ascii="Verdana" w:hAnsi="Verdana"/>
          <w:b/>
          <w:sz w:val="24"/>
          <w:szCs w:val="24"/>
          <w:u w:val="single"/>
        </w:rPr>
        <w:t>OVID</w:t>
      </w:r>
      <w:r w:rsidRPr="00B701CE">
        <w:rPr>
          <w:rFonts w:ascii="Verdana" w:hAnsi="Verdana"/>
          <w:b/>
          <w:sz w:val="24"/>
          <w:szCs w:val="24"/>
          <w:u w:val="single"/>
        </w:rPr>
        <w:t>-19</w:t>
      </w:r>
    </w:p>
    <w:p w:rsidR="00C955ED" w:rsidRDefault="00BE21ED" w:rsidP="003B32BA">
      <w:pPr>
        <w:spacing w:after="160" w:line="256" w:lineRule="auto"/>
        <w:jc w:val="both"/>
        <w:rPr>
          <w:rFonts w:ascii="Verdana" w:eastAsia="Times New Roman" w:hAnsi="Verdana" w:cs="Times New Roman"/>
          <w:color w:val="000000" w:themeColor="text1"/>
          <w:kern w:val="24"/>
          <w:sz w:val="24"/>
          <w:szCs w:val="24"/>
          <w:lang w:eastAsia="en-GB"/>
        </w:rPr>
      </w:pPr>
      <w:r w:rsidRPr="00B701CE">
        <w:rPr>
          <w:rFonts w:ascii="Verdana" w:eastAsia="Times New Roman" w:hAnsi="Verdana" w:cs="Times New Roman"/>
          <w:color w:val="000000" w:themeColor="text1"/>
          <w:kern w:val="24"/>
          <w:sz w:val="24"/>
          <w:szCs w:val="24"/>
          <w:lang w:eastAsia="en-GB"/>
        </w:rPr>
        <w:t xml:space="preserve">Table </w:t>
      </w:r>
      <w:r w:rsidR="00F52EE9" w:rsidRPr="00B701CE">
        <w:rPr>
          <w:rFonts w:ascii="Verdana" w:eastAsia="Times New Roman" w:hAnsi="Verdana" w:cs="Times New Roman"/>
          <w:color w:val="000000" w:themeColor="text1"/>
          <w:kern w:val="24"/>
          <w:sz w:val="24"/>
          <w:szCs w:val="24"/>
          <w:lang w:eastAsia="en-GB"/>
        </w:rPr>
        <w:t>C</w:t>
      </w:r>
      <w:r w:rsidRPr="00B701CE">
        <w:rPr>
          <w:rFonts w:ascii="Verdana" w:eastAsia="Times New Roman" w:hAnsi="Verdana" w:cs="Times New Roman"/>
          <w:color w:val="000000" w:themeColor="text1"/>
          <w:kern w:val="24"/>
          <w:sz w:val="24"/>
          <w:szCs w:val="24"/>
          <w:lang w:eastAsia="en-GB"/>
        </w:rPr>
        <w:t xml:space="preserve"> outlines the operational expenditure and funding sources of the Public Health Wales COVID-19 response. Actual costs </w:t>
      </w:r>
      <w:r w:rsidR="00402B6A" w:rsidRPr="00B701CE">
        <w:rPr>
          <w:rFonts w:ascii="Verdana" w:eastAsia="Times New Roman" w:hAnsi="Verdana" w:cs="Times New Roman"/>
          <w:color w:val="000000" w:themeColor="text1"/>
          <w:kern w:val="24"/>
          <w:sz w:val="24"/>
          <w:szCs w:val="24"/>
          <w:lang w:eastAsia="en-GB"/>
        </w:rPr>
        <w:t xml:space="preserve">are shown for April </w:t>
      </w:r>
      <w:r w:rsidR="00B4482D" w:rsidRPr="00B701CE">
        <w:rPr>
          <w:rFonts w:ascii="Verdana" w:eastAsia="Times New Roman" w:hAnsi="Verdana" w:cs="Times New Roman"/>
          <w:color w:val="000000" w:themeColor="text1"/>
          <w:kern w:val="24"/>
          <w:sz w:val="24"/>
          <w:szCs w:val="24"/>
          <w:lang w:eastAsia="en-GB"/>
        </w:rPr>
        <w:t xml:space="preserve">to </w:t>
      </w:r>
      <w:r w:rsidR="00642491">
        <w:rPr>
          <w:rFonts w:ascii="Verdana" w:eastAsia="Times New Roman" w:hAnsi="Verdana" w:cs="Times New Roman"/>
          <w:color w:val="000000" w:themeColor="text1"/>
          <w:kern w:val="24"/>
          <w:sz w:val="24"/>
          <w:szCs w:val="24"/>
          <w:lang w:eastAsia="en-GB"/>
        </w:rPr>
        <w:t>December</w:t>
      </w:r>
      <w:r w:rsidR="00402B6A" w:rsidRPr="00B701CE">
        <w:rPr>
          <w:rFonts w:ascii="Verdana" w:eastAsia="Times New Roman" w:hAnsi="Verdana" w:cs="Times New Roman"/>
          <w:color w:val="000000" w:themeColor="text1"/>
          <w:kern w:val="24"/>
          <w:sz w:val="24"/>
          <w:szCs w:val="24"/>
          <w:lang w:eastAsia="en-GB"/>
        </w:rPr>
        <w:t xml:space="preserve"> 2022</w:t>
      </w:r>
      <w:r w:rsidRPr="00B701CE">
        <w:rPr>
          <w:rFonts w:ascii="Verdana" w:eastAsia="Times New Roman" w:hAnsi="Verdana" w:cs="Times New Roman"/>
          <w:color w:val="000000" w:themeColor="text1"/>
          <w:kern w:val="24"/>
          <w:sz w:val="24"/>
          <w:szCs w:val="24"/>
          <w:lang w:eastAsia="en-GB"/>
        </w:rPr>
        <w:t xml:space="preserve"> with forecasts for </w:t>
      </w:r>
      <w:r w:rsidR="00642491">
        <w:rPr>
          <w:rFonts w:ascii="Verdana" w:eastAsia="Times New Roman" w:hAnsi="Verdana" w:cs="Times New Roman"/>
          <w:color w:val="000000" w:themeColor="text1"/>
          <w:kern w:val="24"/>
          <w:sz w:val="24"/>
          <w:szCs w:val="24"/>
          <w:lang w:eastAsia="en-GB"/>
        </w:rPr>
        <w:t>January</w:t>
      </w:r>
      <w:r w:rsidRPr="00B701CE">
        <w:rPr>
          <w:rFonts w:ascii="Verdana" w:eastAsia="Times New Roman" w:hAnsi="Verdana" w:cs="Times New Roman"/>
          <w:color w:val="000000" w:themeColor="text1"/>
          <w:kern w:val="24"/>
          <w:sz w:val="24"/>
          <w:szCs w:val="24"/>
          <w:lang w:eastAsia="en-GB"/>
        </w:rPr>
        <w:t xml:space="preserve"> through to March 202</w:t>
      </w:r>
      <w:r w:rsidR="00402B6A" w:rsidRPr="00B701CE">
        <w:rPr>
          <w:rFonts w:ascii="Verdana" w:eastAsia="Times New Roman" w:hAnsi="Verdana" w:cs="Times New Roman"/>
          <w:color w:val="000000" w:themeColor="text1"/>
          <w:kern w:val="24"/>
          <w:sz w:val="24"/>
          <w:szCs w:val="24"/>
          <w:lang w:eastAsia="en-GB"/>
        </w:rPr>
        <w:t>3</w:t>
      </w:r>
      <w:r w:rsidRPr="00B701CE">
        <w:rPr>
          <w:rFonts w:ascii="Verdana" w:eastAsia="Times New Roman" w:hAnsi="Verdana" w:cs="Times New Roman"/>
          <w:color w:val="000000" w:themeColor="text1"/>
          <w:kern w:val="24"/>
          <w:sz w:val="24"/>
          <w:szCs w:val="24"/>
          <w:lang w:eastAsia="en-GB"/>
        </w:rPr>
        <w:t>.</w:t>
      </w:r>
    </w:p>
    <w:p w:rsidR="00E13962" w:rsidRDefault="00E13962" w:rsidP="003B32BA">
      <w:pPr>
        <w:spacing w:after="160" w:line="256" w:lineRule="auto"/>
        <w:jc w:val="both"/>
        <w:rPr>
          <w:rFonts w:ascii="Verdana" w:eastAsia="Times New Roman" w:hAnsi="Verdana" w:cs="Times New Roman"/>
          <w:color w:val="000000" w:themeColor="text1"/>
          <w:kern w:val="24"/>
          <w:sz w:val="24"/>
          <w:szCs w:val="24"/>
          <w:lang w:eastAsia="en-GB"/>
        </w:rPr>
      </w:pPr>
    </w:p>
    <w:p w:rsidR="00642491" w:rsidRDefault="00642491" w:rsidP="003B32BA">
      <w:pPr>
        <w:spacing w:after="160" w:line="256" w:lineRule="auto"/>
        <w:jc w:val="both"/>
        <w:rPr>
          <w:rFonts w:ascii="Verdana" w:eastAsia="Times New Roman" w:hAnsi="Verdana" w:cs="Times New Roman"/>
          <w:color w:val="000000" w:themeColor="text1"/>
          <w:kern w:val="24"/>
          <w:sz w:val="24"/>
          <w:szCs w:val="24"/>
          <w:lang w:eastAsia="en-GB"/>
        </w:rPr>
      </w:pPr>
    </w:p>
    <w:p w:rsidR="00890ADD" w:rsidRPr="00B701CE" w:rsidRDefault="00890ADD" w:rsidP="00890ADD">
      <w:pPr>
        <w:jc w:val="both"/>
        <w:rPr>
          <w:rFonts w:ascii="Verdana" w:hAnsi="Verdana"/>
          <w:b/>
          <w:sz w:val="24"/>
          <w:szCs w:val="24"/>
          <w:lang w:eastAsia="en-GB"/>
        </w:rPr>
      </w:pPr>
      <w:r w:rsidRPr="00B701CE">
        <w:rPr>
          <w:rFonts w:ascii="Verdana" w:hAnsi="Verdana"/>
          <w:b/>
          <w:sz w:val="24"/>
          <w:szCs w:val="24"/>
          <w:lang w:eastAsia="en-GB"/>
        </w:rPr>
        <w:t xml:space="preserve">Table </w:t>
      </w:r>
      <w:r w:rsidR="002A16EC" w:rsidRPr="00B701CE">
        <w:rPr>
          <w:rFonts w:ascii="Verdana" w:hAnsi="Verdana"/>
          <w:b/>
          <w:sz w:val="24"/>
          <w:szCs w:val="24"/>
          <w:lang w:eastAsia="en-GB"/>
        </w:rPr>
        <w:t>C</w:t>
      </w:r>
      <w:r w:rsidRPr="00B701CE">
        <w:rPr>
          <w:rFonts w:ascii="Verdana" w:hAnsi="Verdana"/>
          <w:b/>
          <w:sz w:val="24"/>
          <w:szCs w:val="24"/>
          <w:lang w:eastAsia="en-GB"/>
        </w:rPr>
        <w:t xml:space="preserve"> </w:t>
      </w:r>
      <w:r w:rsidR="002A16EC" w:rsidRPr="00B701CE">
        <w:rPr>
          <w:rFonts w:ascii="Verdana" w:hAnsi="Verdana"/>
          <w:b/>
          <w:sz w:val="24"/>
          <w:szCs w:val="24"/>
          <w:lang w:eastAsia="en-GB"/>
        </w:rPr>
        <w:t>– C</w:t>
      </w:r>
      <w:r w:rsidR="00DC4A84" w:rsidRPr="00B701CE">
        <w:rPr>
          <w:rFonts w:ascii="Verdana" w:hAnsi="Verdana"/>
          <w:b/>
          <w:sz w:val="24"/>
          <w:szCs w:val="24"/>
          <w:lang w:eastAsia="en-GB"/>
        </w:rPr>
        <w:t>OVID</w:t>
      </w:r>
      <w:r w:rsidR="002A16EC" w:rsidRPr="00B701CE">
        <w:rPr>
          <w:rFonts w:ascii="Verdana" w:hAnsi="Verdana"/>
          <w:b/>
          <w:sz w:val="24"/>
          <w:szCs w:val="24"/>
          <w:lang w:eastAsia="en-GB"/>
        </w:rPr>
        <w:t>-</w:t>
      </w:r>
      <w:r w:rsidR="005F532F" w:rsidRPr="00B701CE">
        <w:rPr>
          <w:rFonts w:ascii="Verdana" w:hAnsi="Verdana"/>
          <w:b/>
          <w:sz w:val="24"/>
          <w:szCs w:val="24"/>
          <w:lang w:eastAsia="en-GB"/>
        </w:rPr>
        <w:t xml:space="preserve">19 </w:t>
      </w:r>
      <w:r w:rsidR="00BE21ED" w:rsidRPr="00B701CE">
        <w:rPr>
          <w:rFonts w:ascii="Verdana" w:hAnsi="Verdana"/>
          <w:b/>
          <w:sz w:val="24"/>
          <w:szCs w:val="24"/>
          <w:lang w:eastAsia="en-GB"/>
        </w:rPr>
        <w:t xml:space="preserve">actual spend and </w:t>
      </w:r>
      <w:r w:rsidR="005F532F" w:rsidRPr="00B701CE">
        <w:rPr>
          <w:rFonts w:ascii="Verdana" w:hAnsi="Verdana"/>
          <w:b/>
          <w:sz w:val="24"/>
          <w:szCs w:val="24"/>
          <w:lang w:eastAsia="en-GB"/>
        </w:rPr>
        <w:t>financial for</w:t>
      </w:r>
      <w:r w:rsidR="0057789B" w:rsidRPr="00B701CE">
        <w:rPr>
          <w:rFonts w:ascii="Verdana" w:hAnsi="Verdana"/>
          <w:b/>
          <w:sz w:val="24"/>
          <w:szCs w:val="24"/>
          <w:lang w:eastAsia="en-GB"/>
        </w:rPr>
        <w:t xml:space="preserve">ecast at month </w:t>
      </w:r>
      <w:r w:rsidR="00642491">
        <w:rPr>
          <w:rFonts w:ascii="Verdana" w:hAnsi="Verdana"/>
          <w:b/>
          <w:sz w:val="24"/>
          <w:szCs w:val="24"/>
          <w:lang w:eastAsia="en-GB"/>
        </w:rPr>
        <w:t>9</w:t>
      </w:r>
    </w:p>
    <w:tbl>
      <w:tblPr>
        <w:tblW w:w="5107" w:type="pct"/>
        <w:tblLayout w:type="fixed"/>
        <w:tblLook w:val="04A0" w:firstRow="1" w:lastRow="0" w:firstColumn="1" w:lastColumn="0" w:noHBand="0" w:noVBand="1"/>
      </w:tblPr>
      <w:tblGrid>
        <w:gridCol w:w="5275"/>
        <w:gridCol w:w="1383"/>
        <w:gridCol w:w="1416"/>
        <w:gridCol w:w="1135"/>
      </w:tblGrid>
      <w:tr w:rsidR="00402B6A" w:rsidRPr="00B701CE" w:rsidTr="00402B6A">
        <w:trPr>
          <w:trHeight w:val="498"/>
        </w:trPr>
        <w:tc>
          <w:tcPr>
            <w:tcW w:w="2864" w:type="pct"/>
            <w:tcBorders>
              <w:top w:val="single" w:sz="4" w:space="0" w:color="auto"/>
              <w:left w:val="single" w:sz="4" w:space="0" w:color="auto"/>
              <w:bottom w:val="nil"/>
              <w:right w:val="nil"/>
            </w:tcBorders>
            <w:shd w:val="clear" w:color="000000" w:fill="2F75B5"/>
            <w:noWrap/>
            <w:vAlign w:val="center"/>
            <w:hideMark/>
          </w:tcPr>
          <w:p w:rsidR="00402B6A" w:rsidRPr="00B701CE" w:rsidRDefault="00402B6A" w:rsidP="00402B6A">
            <w:pPr>
              <w:spacing w:after="0" w:line="240" w:lineRule="auto"/>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PHW - COVID-19 Summary</w:t>
            </w:r>
          </w:p>
        </w:tc>
        <w:tc>
          <w:tcPr>
            <w:tcW w:w="751" w:type="pct"/>
            <w:tcBorders>
              <w:top w:val="single" w:sz="4" w:space="0" w:color="auto"/>
              <w:left w:val="nil"/>
              <w:bottom w:val="nil"/>
              <w:right w:val="nil"/>
            </w:tcBorders>
            <w:shd w:val="clear" w:color="000000" w:fill="2F75B5"/>
            <w:noWrap/>
            <w:vAlign w:val="center"/>
            <w:hideMark/>
          </w:tcPr>
          <w:p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Actual</w:t>
            </w:r>
          </w:p>
        </w:tc>
        <w:tc>
          <w:tcPr>
            <w:tcW w:w="769" w:type="pct"/>
            <w:tcBorders>
              <w:top w:val="single" w:sz="4" w:space="0" w:color="auto"/>
              <w:left w:val="nil"/>
              <w:bottom w:val="nil"/>
              <w:right w:val="nil"/>
            </w:tcBorders>
            <w:shd w:val="clear" w:color="000000" w:fill="2F75B5"/>
            <w:noWrap/>
            <w:vAlign w:val="center"/>
            <w:hideMark/>
          </w:tcPr>
          <w:p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Forecast</w:t>
            </w:r>
          </w:p>
        </w:tc>
        <w:tc>
          <w:tcPr>
            <w:tcW w:w="616" w:type="pct"/>
            <w:tcBorders>
              <w:top w:val="single" w:sz="4" w:space="0" w:color="auto"/>
              <w:left w:val="nil"/>
              <w:bottom w:val="nil"/>
              <w:right w:val="single" w:sz="4" w:space="0" w:color="auto"/>
            </w:tcBorders>
            <w:shd w:val="clear" w:color="000000" w:fill="2F75B5"/>
            <w:noWrap/>
            <w:vAlign w:val="center"/>
            <w:hideMark/>
          </w:tcPr>
          <w:p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TOTAL</w:t>
            </w:r>
          </w:p>
        </w:tc>
      </w:tr>
      <w:tr w:rsidR="00402B6A" w:rsidRPr="00B701CE" w:rsidTr="00B701CE">
        <w:trPr>
          <w:trHeight w:val="722"/>
        </w:trPr>
        <w:tc>
          <w:tcPr>
            <w:tcW w:w="2864" w:type="pct"/>
            <w:tcBorders>
              <w:top w:val="nil"/>
              <w:left w:val="single" w:sz="4" w:space="0" w:color="auto"/>
              <w:bottom w:val="nil"/>
              <w:right w:val="nil"/>
            </w:tcBorders>
            <w:shd w:val="clear" w:color="000000" w:fill="2F75B5"/>
            <w:noWrap/>
            <w:vAlign w:val="center"/>
            <w:hideMark/>
          </w:tcPr>
          <w:p w:rsidR="00402B6A" w:rsidRPr="00B701CE" w:rsidRDefault="00402B6A" w:rsidP="00402B6A">
            <w:pPr>
              <w:spacing w:after="0" w:line="240" w:lineRule="auto"/>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 </w:t>
            </w:r>
          </w:p>
        </w:tc>
        <w:tc>
          <w:tcPr>
            <w:tcW w:w="751" w:type="pct"/>
            <w:tcBorders>
              <w:top w:val="nil"/>
              <w:left w:val="nil"/>
              <w:bottom w:val="nil"/>
              <w:right w:val="nil"/>
            </w:tcBorders>
            <w:shd w:val="clear" w:color="000000" w:fill="2F75B5"/>
            <w:noWrap/>
            <w:vAlign w:val="center"/>
            <w:hideMark/>
          </w:tcPr>
          <w:p w:rsidR="00402B6A" w:rsidRPr="00B701CE" w:rsidRDefault="00402B6A" w:rsidP="00642491">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 xml:space="preserve">Apr-22 to </w:t>
            </w:r>
            <w:r w:rsidR="00642491">
              <w:rPr>
                <w:rFonts w:ascii="Calibri" w:eastAsia="Times New Roman" w:hAnsi="Calibri" w:cs="Calibri"/>
                <w:b/>
                <w:bCs/>
                <w:color w:val="FFFFFF"/>
                <w:sz w:val="24"/>
                <w:szCs w:val="24"/>
                <w:lang w:eastAsia="en-GB"/>
              </w:rPr>
              <w:t>Dec</w:t>
            </w:r>
            <w:r w:rsidRPr="00B701CE">
              <w:rPr>
                <w:rFonts w:ascii="Calibri" w:eastAsia="Times New Roman" w:hAnsi="Calibri" w:cs="Calibri"/>
                <w:b/>
                <w:bCs/>
                <w:color w:val="FFFFFF"/>
                <w:sz w:val="24"/>
                <w:szCs w:val="24"/>
                <w:lang w:eastAsia="en-GB"/>
              </w:rPr>
              <w:t>-22</w:t>
            </w:r>
          </w:p>
        </w:tc>
        <w:tc>
          <w:tcPr>
            <w:tcW w:w="769" w:type="pct"/>
            <w:tcBorders>
              <w:top w:val="nil"/>
              <w:left w:val="nil"/>
              <w:bottom w:val="nil"/>
              <w:right w:val="nil"/>
            </w:tcBorders>
            <w:shd w:val="clear" w:color="000000" w:fill="2F75B5"/>
            <w:noWrap/>
            <w:vAlign w:val="center"/>
            <w:hideMark/>
          </w:tcPr>
          <w:p w:rsidR="00402B6A" w:rsidRPr="00B701CE" w:rsidRDefault="00642491" w:rsidP="00642491">
            <w:pPr>
              <w:spacing w:after="0" w:line="240" w:lineRule="auto"/>
              <w:jc w:val="center"/>
              <w:rPr>
                <w:rFonts w:ascii="Calibri" w:eastAsia="Times New Roman" w:hAnsi="Calibri" w:cs="Calibri"/>
                <w:b/>
                <w:bCs/>
                <w:color w:val="FFFFFF"/>
                <w:sz w:val="24"/>
                <w:szCs w:val="24"/>
                <w:lang w:eastAsia="en-GB"/>
              </w:rPr>
            </w:pPr>
            <w:r>
              <w:rPr>
                <w:rFonts w:ascii="Calibri" w:eastAsia="Times New Roman" w:hAnsi="Calibri" w:cs="Calibri"/>
                <w:b/>
                <w:bCs/>
                <w:color w:val="FFFFFF"/>
                <w:sz w:val="24"/>
                <w:szCs w:val="24"/>
                <w:lang w:eastAsia="en-GB"/>
              </w:rPr>
              <w:t>Jan</w:t>
            </w:r>
            <w:r w:rsidR="00402B6A" w:rsidRPr="00B701CE">
              <w:rPr>
                <w:rFonts w:ascii="Calibri" w:eastAsia="Times New Roman" w:hAnsi="Calibri" w:cs="Calibri"/>
                <w:b/>
                <w:bCs/>
                <w:color w:val="FFFFFF"/>
                <w:sz w:val="24"/>
                <w:szCs w:val="24"/>
                <w:lang w:eastAsia="en-GB"/>
              </w:rPr>
              <w:t>-2</w:t>
            </w:r>
            <w:r>
              <w:rPr>
                <w:rFonts w:ascii="Calibri" w:eastAsia="Times New Roman" w:hAnsi="Calibri" w:cs="Calibri"/>
                <w:b/>
                <w:bCs/>
                <w:color w:val="FFFFFF"/>
                <w:sz w:val="24"/>
                <w:szCs w:val="24"/>
                <w:lang w:eastAsia="en-GB"/>
              </w:rPr>
              <w:t>3</w:t>
            </w:r>
            <w:r w:rsidR="00402B6A" w:rsidRPr="00B701CE">
              <w:rPr>
                <w:rFonts w:ascii="Calibri" w:eastAsia="Times New Roman" w:hAnsi="Calibri" w:cs="Calibri"/>
                <w:b/>
                <w:bCs/>
                <w:color w:val="FFFFFF"/>
                <w:sz w:val="24"/>
                <w:szCs w:val="24"/>
                <w:lang w:eastAsia="en-GB"/>
              </w:rPr>
              <w:t xml:space="preserve"> - </w:t>
            </w:r>
            <w:r w:rsidR="00682B54" w:rsidRPr="00B701CE">
              <w:rPr>
                <w:rFonts w:ascii="Calibri" w:eastAsia="Times New Roman" w:hAnsi="Calibri" w:cs="Calibri"/>
                <w:b/>
                <w:bCs/>
                <w:color w:val="FFFFFF"/>
                <w:sz w:val="24"/>
                <w:szCs w:val="24"/>
                <w:lang w:eastAsia="en-GB"/>
              </w:rPr>
              <w:t>Mar</w:t>
            </w:r>
            <w:r w:rsidR="00402B6A" w:rsidRPr="00B701CE">
              <w:rPr>
                <w:rFonts w:ascii="Calibri" w:eastAsia="Times New Roman" w:hAnsi="Calibri" w:cs="Calibri"/>
                <w:b/>
                <w:bCs/>
                <w:color w:val="FFFFFF"/>
                <w:sz w:val="24"/>
                <w:szCs w:val="24"/>
                <w:lang w:eastAsia="en-GB"/>
              </w:rPr>
              <w:t>-23</w:t>
            </w:r>
          </w:p>
        </w:tc>
        <w:tc>
          <w:tcPr>
            <w:tcW w:w="616" w:type="pct"/>
            <w:tcBorders>
              <w:top w:val="nil"/>
              <w:left w:val="nil"/>
              <w:bottom w:val="nil"/>
              <w:right w:val="single" w:sz="4" w:space="0" w:color="auto"/>
            </w:tcBorders>
            <w:shd w:val="clear" w:color="000000" w:fill="2F75B5"/>
            <w:noWrap/>
            <w:vAlign w:val="center"/>
            <w:hideMark/>
          </w:tcPr>
          <w:p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2022/23</w:t>
            </w:r>
          </w:p>
        </w:tc>
      </w:tr>
      <w:tr w:rsidR="00402B6A" w:rsidRPr="00B701CE" w:rsidTr="00402B6A">
        <w:trPr>
          <w:trHeight w:val="454"/>
        </w:trPr>
        <w:tc>
          <w:tcPr>
            <w:tcW w:w="2864" w:type="pct"/>
            <w:tcBorders>
              <w:top w:val="nil"/>
              <w:left w:val="single" w:sz="4" w:space="0" w:color="auto"/>
              <w:bottom w:val="nil"/>
              <w:right w:val="nil"/>
            </w:tcBorders>
            <w:shd w:val="clear" w:color="000000" w:fill="2F75B5"/>
            <w:noWrap/>
            <w:vAlign w:val="center"/>
            <w:hideMark/>
          </w:tcPr>
          <w:p w:rsidR="00402B6A" w:rsidRPr="00B701CE" w:rsidRDefault="00402B6A" w:rsidP="00402B6A">
            <w:pPr>
              <w:spacing w:after="0" w:line="240" w:lineRule="auto"/>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 </w:t>
            </w:r>
          </w:p>
        </w:tc>
        <w:tc>
          <w:tcPr>
            <w:tcW w:w="751" w:type="pct"/>
            <w:tcBorders>
              <w:top w:val="nil"/>
              <w:left w:val="nil"/>
              <w:bottom w:val="nil"/>
              <w:right w:val="nil"/>
            </w:tcBorders>
            <w:shd w:val="clear" w:color="000000" w:fill="2F75B5"/>
            <w:noWrap/>
            <w:vAlign w:val="center"/>
            <w:hideMark/>
          </w:tcPr>
          <w:p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£000</w:t>
            </w:r>
          </w:p>
        </w:tc>
        <w:tc>
          <w:tcPr>
            <w:tcW w:w="769" w:type="pct"/>
            <w:tcBorders>
              <w:top w:val="nil"/>
              <w:left w:val="nil"/>
              <w:bottom w:val="nil"/>
              <w:right w:val="nil"/>
            </w:tcBorders>
            <w:shd w:val="clear" w:color="000000" w:fill="2F75B5"/>
            <w:noWrap/>
            <w:vAlign w:val="center"/>
            <w:hideMark/>
          </w:tcPr>
          <w:p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£000</w:t>
            </w:r>
          </w:p>
        </w:tc>
        <w:tc>
          <w:tcPr>
            <w:tcW w:w="616" w:type="pct"/>
            <w:tcBorders>
              <w:top w:val="nil"/>
              <w:left w:val="nil"/>
              <w:bottom w:val="nil"/>
              <w:right w:val="single" w:sz="4" w:space="0" w:color="auto"/>
            </w:tcBorders>
            <w:shd w:val="clear" w:color="000000" w:fill="2F75B5"/>
            <w:noWrap/>
            <w:vAlign w:val="center"/>
            <w:hideMark/>
          </w:tcPr>
          <w:p w:rsidR="00402B6A" w:rsidRPr="00B701CE" w:rsidRDefault="00402B6A" w:rsidP="00402B6A">
            <w:pPr>
              <w:spacing w:after="0" w:line="240" w:lineRule="auto"/>
              <w:jc w:val="center"/>
              <w:rPr>
                <w:rFonts w:ascii="Calibri" w:eastAsia="Times New Roman" w:hAnsi="Calibri" w:cs="Calibri"/>
                <w:b/>
                <w:bCs/>
                <w:color w:val="FFFFFF"/>
                <w:sz w:val="24"/>
                <w:szCs w:val="24"/>
                <w:lang w:eastAsia="en-GB"/>
              </w:rPr>
            </w:pPr>
            <w:r w:rsidRPr="00B701CE">
              <w:rPr>
                <w:rFonts w:ascii="Calibri" w:eastAsia="Times New Roman" w:hAnsi="Calibri" w:cs="Calibri"/>
                <w:b/>
                <w:bCs/>
                <w:color w:val="FFFFFF"/>
                <w:sz w:val="24"/>
                <w:szCs w:val="24"/>
                <w:lang w:eastAsia="en-GB"/>
              </w:rPr>
              <w:t>£000</w:t>
            </w:r>
          </w:p>
        </w:tc>
      </w:tr>
      <w:tr w:rsidR="00402B6A" w:rsidRPr="00B701CE" w:rsidTr="00402B6A">
        <w:trPr>
          <w:trHeight w:val="308"/>
        </w:trPr>
        <w:tc>
          <w:tcPr>
            <w:tcW w:w="2864" w:type="pct"/>
            <w:tcBorders>
              <w:top w:val="nil"/>
              <w:left w:val="single" w:sz="4" w:space="0" w:color="auto"/>
              <w:bottom w:val="nil"/>
              <w:right w:val="single" w:sz="4" w:space="0" w:color="auto"/>
            </w:tcBorders>
            <w:shd w:val="clear" w:color="auto" w:fill="auto"/>
            <w:noWrap/>
            <w:vAlign w:val="bottom"/>
            <w:hideMark/>
          </w:tcPr>
          <w:p w:rsidR="00402B6A" w:rsidRPr="00B701CE" w:rsidRDefault="00402B6A" w:rsidP="00402B6A">
            <w:pPr>
              <w:spacing w:after="0" w:line="240" w:lineRule="auto"/>
              <w:rPr>
                <w:rFonts w:ascii="Calibri" w:eastAsia="Times New Roman" w:hAnsi="Calibri" w:cs="Calibri"/>
                <w:b/>
                <w:bCs/>
                <w:sz w:val="24"/>
                <w:szCs w:val="24"/>
                <w:lang w:eastAsia="en-GB"/>
              </w:rPr>
            </w:pPr>
            <w:r w:rsidRPr="00B701CE">
              <w:rPr>
                <w:rFonts w:ascii="Calibri" w:eastAsia="Times New Roman" w:hAnsi="Calibri" w:cs="Calibri"/>
                <w:b/>
                <w:bCs/>
                <w:sz w:val="24"/>
                <w:szCs w:val="24"/>
                <w:lang w:eastAsia="en-GB"/>
              </w:rPr>
              <w:t>Additional Costs</w:t>
            </w:r>
          </w:p>
        </w:tc>
        <w:tc>
          <w:tcPr>
            <w:tcW w:w="751" w:type="pct"/>
            <w:tcBorders>
              <w:top w:val="nil"/>
              <w:left w:val="nil"/>
              <w:bottom w:val="nil"/>
              <w:right w:val="nil"/>
            </w:tcBorders>
            <w:shd w:val="clear" w:color="auto" w:fill="auto"/>
            <w:noWrap/>
            <w:vAlign w:val="center"/>
            <w:hideMark/>
          </w:tcPr>
          <w:p w:rsidR="00402B6A" w:rsidRPr="00B701CE" w:rsidRDefault="00402B6A" w:rsidP="00402B6A">
            <w:pPr>
              <w:spacing w:after="0" w:line="240" w:lineRule="auto"/>
              <w:rPr>
                <w:rFonts w:ascii="Calibri" w:eastAsia="Times New Roman" w:hAnsi="Calibri" w:cs="Calibri"/>
                <w:b/>
                <w:bCs/>
                <w:sz w:val="24"/>
                <w:szCs w:val="24"/>
                <w:lang w:eastAsia="en-GB"/>
              </w:rPr>
            </w:pPr>
          </w:p>
        </w:tc>
        <w:tc>
          <w:tcPr>
            <w:tcW w:w="769" w:type="pct"/>
            <w:tcBorders>
              <w:top w:val="nil"/>
              <w:left w:val="single" w:sz="4" w:space="0" w:color="auto"/>
              <w:bottom w:val="nil"/>
              <w:right w:val="single" w:sz="4" w:space="0" w:color="auto"/>
            </w:tcBorders>
            <w:shd w:val="clear" w:color="auto" w:fill="auto"/>
            <w:noWrap/>
            <w:vAlign w:val="center"/>
            <w:hideMark/>
          </w:tcPr>
          <w:p w:rsidR="00402B6A" w:rsidRPr="00B701CE" w:rsidRDefault="00402B6A" w:rsidP="00402B6A">
            <w:pPr>
              <w:spacing w:after="0" w:line="240" w:lineRule="auto"/>
              <w:jc w:val="right"/>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w:t>
            </w:r>
          </w:p>
        </w:tc>
        <w:tc>
          <w:tcPr>
            <w:tcW w:w="616" w:type="pct"/>
            <w:tcBorders>
              <w:top w:val="nil"/>
              <w:left w:val="nil"/>
              <w:bottom w:val="nil"/>
              <w:right w:val="single" w:sz="4" w:space="0" w:color="auto"/>
            </w:tcBorders>
            <w:shd w:val="clear" w:color="auto" w:fill="auto"/>
            <w:noWrap/>
            <w:vAlign w:val="bottom"/>
            <w:hideMark/>
          </w:tcPr>
          <w:p w:rsidR="00402B6A" w:rsidRPr="00B701CE" w:rsidRDefault="00402B6A" w:rsidP="00402B6A">
            <w:pPr>
              <w:spacing w:after="0" w:line="240" w:lineRule="auto"/>
              <w:jc w:val="right"/>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w:t>
            </w:r>
          </w:p>
        </w:tc>
      </w:tr>
      <w:tr w:rsidR="00402B6A" w:rsidRPr="00B701CE" w:rsidTr="00402B6A">
        <w:trPr>
          <w:trHeight w:val="308"/>
        </w:trPr>
        <w:tc>
          <w:tcPr>
            <w:tcW w:w="2864" w:type="pct"/>
            <w:tcBorders>
              <w:top w:val="nil"/>
              <w:left w:val="single" w:sz="4" w:space="0" w:color="auto"/>
              <w:bottom w:val="nil"/>
              <w:right w:val="single" w:sz="4" w:space="0" w:color="auto"/>
            </w:tcBorders>
            <w:shd w:val="clear" w:color="auto" w:fill="auto"/>
            <w:noWrap/>
            <w:vAlign w:val="bottom"/>
            <w:hideMark/>
          </w:tcPr>
          <w:p w:rsidR="00402B6A" w:rsidRPr="00B701CE" w:rsidRDefault="00402B6A" w:rsidP="00402B6A">
            <w:pPr>
              <w:spacing w:after="0" w:line="240" w:lineRule="auto"/>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Test Trace Protect</w:t>
            </w:r>
          </w:p>
        </w:tc>
        <w:tc>
          <w:tcPr>
            <w:tcW w:w="751" w:type="pct"/>
            <w:tcBorders>
              <w:top w:val="nil"/>
              <w:left w:val="nil"/>
              <w:bottom w:val="nil"/>
              <w:right w:val="nil"/>
            </w:tcBorders>
            <w:shd w:val="clear" w:color="auto" w:fill="auto"/>
            <w:noWrap/>
            <w:vAlign w:val="center"/>
            <w:hideMark/>
          </w:tcPr>
          <w:p w:rsidR="00402B6A" w:rsidRPr="00B701CE" w:rsidRDefault="00402B6A" w:rsidP="00402B6A">
            <w:pPr>
              <w:spacing w:after="0" w:line="240" w:lineRule="auto"/>
              <w:rPr>
                <w:rFonts w:ascii="Calibri" w:eastAsia="Times New Roman" w:hAnsi="Calibri" w:cs="Calibri"/>
                <w:sz w:val="24"/>
                <w:szCs w:val="24"/>
                <w:lang w:eastAsia="en-GB"/>
              </w:rPr>
            </w:pPr>
          </w:p>
        </w:tc>
        <w:tc>
          <w:tcPr>
            <w:tcW w:w="769" w:type="pct"/>
            <w:tcBorders>
              <w:top w:val="nil"/>
              <w:left w:val="single" w:sz="4" w:space="0" w:color="auto"/>
              <w:bottom w:val="nil"/>
              <w:right w:val="single" w:sz="4" w:space="0" w:color="auto"/>
            </w:tcBorders>
            <w:shd w:val="clear" w:color="auto" w:fill="auto"/>
            <w:noWrap/>
            <w:vAlign w:val="center"/>
            <w:hideMark/>
          </w:tcPr>
          <w:p w:rsidR="00402B6A" w:rsidRPr="00B701CE" w:rsidRDefault="00402B6A" w:rsidP="00402B6A">
            <w:pPr>
              <w:spacing w:after="0" w:line="240" w:lineRule="auto"/>
              <w:jc w:val="right"/>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w:t>
            </w:r>
          </w:p>
        </w:tc>
        <w:tc>
          <w:tcPr>
            <w:tcW w:w="616" w:type="pct"/>
            <w:tcBorders>
              <w:top w:val="nil"/>
              <w:left w:val="nil"/>
              <w:bottom w:val="nil"/>
              <w:right w:val="single" w:sz="4" w:space="0" w:color="auto"/>
            </w:tcBorders>
            <w:shd w:val="clear" w:color="auto" w:fill="auto"/>
            <w:noWrap/>
            <w:vAlign w:val="bottom"/>
            <w:hideMark/>
          </w:tcPr>
          <w:p w:rsidR="00402B6A" w:rsidRPr="00B701CE" w:rsidRDefault="00402B6A" w:rsidP="00402B6A">
            <w:pPr>
              <w:spacing w:after="0" w:line="240" w:lineRule="auto"/>
              <w:jc w:val="right"/>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w:t>
            </w:r>
          </w:p>
        </w:tc>
      </w:tr>
      <w:tr w:rsidR="00642491" w:rsidRPr="00B701CE" w:rsidTr="00402B6A">
        <w:trPr>
          <w:trHeight w:val="308"/>
        </w:trPr>
        <w:tc>
          <w:tcPr>
            <w:tcW w:w="2864" w:type="pct"/>
            <w:tcBorders>
              <w:top w:val="nil"/>
              <w:left w:val="single" w:sz="4" w:space="0" w:color="auto"/>
              <w:bottom w:val="nil"/>
              <w:right w:val="single" w:sz="4" w:space="0" w:color="auto"/>
            </w:tcBorders>
            <w:shd w:val="clear" w:color="auto" w:fill="auto"/>
            <w:noWrap/>
            <w:vAlign w:val="center"/>
            <w:hideMark/>
          </w:tcPr>
          <w:p w:rsidR="00642491" w:rsidRPr="00B701CE" w:rsidRDefault="00642491" w:rsidP="00642491">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COVID-19 Laboratory Testing</w:t>
            </w:r>
          </w:p>
        </w:tc>
        <w:tc>
          <w:tcPr>
            <w:tcW w:w="751" w:type="pct"/>
            <w:tcBorders>
              <w:top w:val="nil"/>
              <w:left w:val="nil"/>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9,856</w:t>
            </w:r>
          </w:p>
        </w:tc>
        <w:tc>
          <w:tcPr>
            <w:tcW w:w="769" w:type="pct"/>
            <w:tcBorders>
              <w:top w:val="nil"/>
              <w:left w:val="single" w:sz="4" w:space="0" w:color="auto"/>
              <w:bottom w:val="nil"/>
              <w:right w:val="single" w:sz="4" w:space="0" w:color="auto"/>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3,847</w:t>
            </w:r>
          </w:p>
        </w:tc>
        <w:tc>
          <w:tcPr>
            <w:tcW w:w="616" w:type="pct"/>
            <w:tcBorders>
              <w:top w:val="nil"/>
              <w:left w:val="nil"/>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13,703</w:t>
            </w:r>
          </w:p>
        </w:tc>
      </w:tr>
      <w:tr w:rsidR="00642491" w:rsidRPr="00B701CE" w:rsidTr="00402B6A">
        <w:trPr>
          <w:trHeight w:val="308"/>
        </w:trPr>
        <w:tc>
          <w:tcPr>
            <w:tcW w:w="2864" w:type="pct"/>
            <w:tcBorders>
              <w:top w:val="nil"/>
              <w:left w:val="single" w:sz="4" w:space="0" w:color="auto"/>
              <w:bottom w:val="nil"/>
              <w:right w:val="single" w:sz="4" w:space="0" w:color="auto"/>
            </w:tcBorders>
            <w:shd w:val="clear" w:color="auto" w:fill="auto"/>
            <w:noWrap/>
            <w:vAlign w:val="center"/>
            <w:hideMark/>
          </w:tcPr>
          <w:p w:rsidR="00642491" w:rsidRPr="00B701CE" w:rsidRDefault="00642491" w:rsidP="00642491">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Genomics Sequencing</w:t>
            </w:r>
            <w:r>
              <w:rPr>
                <w:rFonts w:ascii="Calibri" w:eastAsia="Times New Roman" w:hAnsi="Calibri" w:cs="Calibri"/>
                <w:sz w:val="24"/>
                <w:szCs w:val="24"/>
                <w:lang w:eastAsia="en-GB"/>
              </w:rPr>
              <w:t xml:space="preserve"> for COVID-19</w:t>
            </w:r>
          </w:p>
        </w:tc>
        <w:tc>
          <w:tcPr>
            <w:tcW w:w="751" w:type="pct"/>
            <w:tcBorders>
              <w:top w:val="nil"/>
              <w:left w:val="nil"/>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717</w:t>
            </w:r>
          </w:p>
        </w:tc>
        <w:tc>
          <w:tcPr>
            <w:tcW w:w="769" w:type="pct"/>
            <w:tcBorders>
              <w:top w:val="nil"/>
              <w:left w:val="single" w:sz="4" w:space="0" w:color="auto"/>
              <w:bottom w:val="nil"/>
              <w:right w:val="single" w:sz="4" w:space="0" w:color="auto"/>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235</w:t>
            </w:r>
          </w:p>
        </w:tc>
        <w:tc>
          <w:tcPr>
            <w:tcW w:w="616" w:type="pct"/>
            <w:tcBorders>
              <w:top w:val="nil"/>
              <w:left w:val="nil"/>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952</w:t>
            </w:r>
          </w:p>
        </w:tc>
      </w:tr>
      <w:tr w:rsidR="00642491" w:rsidRPr="00B701CE" w:rsidTr="00402B6A">
        <w:trPr>
          <w:trHeight w:val="308"/>
        </w:trPr>
        <w:tc>
          <w:tcPr>
            <w:tcW w:w="2864" w:type="pct"/>
            <w:tcBorders>
              <w:top w:val="nil"/>
              <w:left w:val="single" w:sz="4" w:space="0" w:color="auto"/>
              <w:bottom w:val="nil"/>
              <w:right w:val="single" w:sz="4" w:space="0" w:color="auto"/>
            </w:tcBorders>
            <w:shd w:val="clear" w:color="auto" w:fill="auto"/>
            <w:noWrap/>
            <w:vAlign w:val="center"/>
            <w:hideMark/>
          </w:tcPr>
          <w:p w:rsidR="00642491" w:rsidRPr="00B701CE" w:rsidRDefault="00642491" w:rsidP="00642491">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xml:space="preserve">TAT &amp; Resilience - Non COVID-19 Rapid Testing </w:t>
            </w:r>
          </w:p>
        </w:tc>
        <w:tc>
          <w:tcPr>
            <w:tcW w:w="751" w:type="pct"/>
            <w:tcBorders>
              <w:top w:val="nil"/>
              <w:left w:val="nil"/>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371</w:t>
            </w:r>
          </w:p>
        </w:tc>
        <w:tc>
          <w:tcPr>
            <w:tcW w:w="769" w:type="pct"/>
            <w:tcBorders>
              <w:top w:val="nil"/>
              <w:left w:val="single" w:sz="4" w:space="0" w:color="auto"/>
              <w:bottom w:val="nil"/>
              <w:right w:val="single" w:sz="4" w:space="0" w:color="auto"/>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562</w:t>
            </w:r>
          </w:p>
        </w:tc>
        <w:tc>
          <w:tcPr>
            <w:tcW w:w="616" w:type="pct"/>
            <w:tcBorders>
              <w:top w:val="nil"/>
              <w:left w:val="nil"/>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933</w:t>
            </w:r>
          </w:p>
        </w:tc>
      </w:tr>
      <w:tr w:rsidR="00642491" w:rsidRPr="00B701CE" w:rsidTr="00402B6A">
        <w:trPr>
          <w:trHeight w:val="308"/>
        </w:trPr>
        <w:tc>
          <w:tcPr>
            <w:tcW w:w="2864" w:type="pct"/>
            <w:tcBorders>
              <w:top w:val="nil"/>
              <w:left w:val="single" w:sz="4" w:space="0" w:color="auto"/>
              <w:bottom w:val="nil"/>
              <w:right w:val="single" w:sz="4" w:space="0" w:color="auto"/>
            </w:tcBorders>
            <w:shd w:val="clear" w:color="auto" w:fill="auto"/>
            <w:noWrap/>
            <w:vAlign w:val="center"/>
            <w:hideMark/>
          </w:tcPr>
          <w:p w:rsidR="00642491" w:rsidRPr="00B701CE" w:rsidRDefault="00642491" w:rsidP="00642491">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TAT &amp; Resilience - Platform Maintenance</w:t>
            </w:r>
          </w:p>
        </w:tc>
        <w:tc>
          <w:tcPr>
            <w:tcW w:w="751" w:type="pct"/>
            <w:tcBorders>
              <w:top w:val="nil"/>
              <w:left w:val="nil"/>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389</w:t>
            </w:r>
          </w:p>
        </w:tc>
        <w:tc>
          <w:tcPr>
            <w:tcW w:w="769" w:type="pct"/>
            <w:tcBorders>
              <w:top w:val="nil"/>
              <w:left w:val="single" w:sz="4" w:space="0" w:color="auto"/>
              <w:bottom w:val="nil"/>
              <w:right w:val="single" w:sz="4" w:space="0" w:color="auto"/>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123</w:t>
            </w:r>
          </w:p>
        </w:tc>
        <w:tc>
          <w:tcPr>
            <w:tcW w:w="616" w:type="pct"/>
            <w:tcBorders>
              <w:top w:val="nil"/>
              <w:left w:val="nil"/>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512</w:t>
            </w:r>
          </w:p>
        </w:tc>
      </w:tr>
      <w:tr w:rsidR="00642491" w:rsidRPr="00B701CE" w:rsidTr="00402B6A">
        <w:trPr>
          <w:trHeight w:val="308"/>
        </w:trPr>
        <w:tc>
          <w:tcPr>
            <w:tcW w:w="2864" w:type="pct"/>
            <w:tcBorders>
              <w:top w:val="nil"/>
              <w:left w:val="single" w:sz="4" w:space="0" w:color="auto"/>
              <w:bottom w:val="nil"/>
              <w:right w:val="single" w:sz="4" w:space="0" w:color="auto"/>
            </w:tcBorders>
            <w:shd w:val="clear" w:color="auto" w:fill="auto"/>
            <w:noWrap/>
            <w:vAlign w:val="center"/>
            <w:hideMark/>
          </w:tcPr>
          <w:p w:rsidR="00642491" w:rsidRPr="00B701CE" w:rsidRDefault="00642491" w:rsidP="00642491">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TTP Contact Tracing</w:t>
            </w:r>
          </w:p>
        </w:tc>
        <w:tc>
          <w:tcPr>
            <w:tcW w:w="751" w:type="pct"/>
            <w:tcBorders>
              <w:top w:val="nil"/>
              <w:left w:val="nil"/>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555</w:t>
            </w:r>
          </w:p>
        </w:tc>
        <w:tc>
          <w:tcPr>
            <w:tcW w:w="769" w:type="pct"/>
            <w:tcBorders>
              <w:top w:val="nil"/>
              <w:left w:val="single" w:sz="4" w:space="0" w:color="auto"/>
              <w:bottom w:val="nil"/>
              <w:right w:val="single" w:sz="4" w:space="0" w:color="auto"/>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80</w:t>
            </w:r>
          </w:p>
        </w:tc>
        <w:tc>
          <w:tcPr>
            <w:tcW w:w="616" w:type="pct"/>
            <w:tcBorders>
              <w:top w:val="nil"/>
              <w:left w:val="nil"/>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635</w:t>
            </w:r>
          </w:p>
        </w:tc>
      </w:tr>
      <w:tr w:rsidR="00642491" w:rsidRPr="00B701CE" w:rsidTr="00402B6A">
        <w:trPr>
          <w:trHeight w:val="308"/>
        </w:trPr>
        <w:tc>
          <w:tcPr>
            <w:tcW w:w="2864" w:type="pct"/>
            <w:tcBorders>
              <w:top w:val="single" w:sz="4" w:space="0" w:color="auto"/>
              <w:left w:val="single" w:sz="4" w:space="0" w:color="auto"/>
              <w:bottom w:val="single" w:sz="4" w:space="0" w:color="auto"/>
              <w:right w:val="nil"/>
            </w:tcBorders>
            <w:shd w:val="clear" w:color="auto" w:fill="auto"/>
            <w:noWrap/>
            <w:vAlign w:val="center"/>
            <w:hideMark/>
          </w:tcPr>
          <w:p w:rsidR="00642491" w:rsidRPr="00B701CE" w:rsidRDefault="00642491" w:rsidP="00642491">
            <w:pPr>
              <w:spacing w:after="0" w:line="240" w:lineRule="auto"/>
              <w:rPr>
                <w:rFonts w:ascii="Calibri" w:eastAsia="Times New Roman" w:hAnsi="Calibri" w:cs="Calibri"/>
                <w:b/>
                <w:bCs/>
                <w:sz w:val="24"/>
                <w:szCs w:val="24"/>
                <w:lang w:eastAsia="en-GB"/>
              </w:rPr>
            </w:pPr>
            <w:r w:rsidRPr="00B701CE">
              <w:rPr>
                <w:rFonts w:ascii="Calibri" w:eastAsia="Times New Roman" w:hAnsi="Calibri" w:cs="Calibri"/>
                <w:b/>
                <w:bCs/>
                <w:sz w:val="24"/>
                <w:szCs w:val="24"/>
                <w:lang w:eastAsia="en-GB"/>
              </w:rPr>
              <w:t>TOTAL TTP</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2491" w:rsidRDefault="00642491" w:rsidP="00642491">
            <w:pPr>
              <w:spacing w:after="0"/>
              <w:jc w:val="right"/>
              <w:rPr>
                <w:rFonts w:ascii="Calibri" w:hAnsi="Calibri" w:cs="Calibri"/>
                <w:b/>
                <w:bCs/>
              </w:rPr>
            </w:pPr>
            <w:r>
              <w:rPr>
                <w:rFonts w:ascii="Calibri" w:hAnsi="Calibri" w:cs="Calibri"/>
                <w:b/>
                <w:bCs/>
              </w:rPr>
              <w:t>11,888</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rsidR="00642491" w:rsidRDefault="00642491" w:rsidP="00642491">
            <w:pPr>
              <w:spacing w:after="0"/>
              <w:jc w:val="right"/>
              <w:rPr>
                <w:rFonts w:ascii="Calibri" w:hAnsi="Calibri" w:cs="Calibri"/>
                <w:b/>
                <w:bCs/>
              </w:rPr>
            </w:pPr>
            <w:r>
              <w:rPr>
                <w:rFonts w:ascii="Calibri" w:hAnsi="Calibri" w:cs="Calibri"/>
                <w:b/>
                <w:bCs/>
              </w:rPr>
              <w:t>4,847</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642491" w:rsidRDefault="00642491" w:rsidP="00642491">
            <w:pPr>
              <w:spacing w:after="0"/>
              <w:jc w:val="right"/>
              <w:rPr>
                <w:rFonts w:ascii="Calibri" w:hAnsi="Calibri" w:cs="Calibri"/>
                <w:b/>
                <w:bCs/>
              </w:rPr>
            </w:pPr>
            <w:r>
              <w:rPr>
                <w:rFonts w:ascii="Calibri" w:hAnsi="Calibri" w:cs="Calibri"/>
                <w:b/>
                <w:bCs/>
              </w:rPr>
              <w:t>16,735</w:t>
            </w:r>
          </w:p>
        </w:tc>
      </w:tr>
      <w:tr w:rsidR="00642491" w:rsidRPr="00B701CE" w:rsidTr="00402B6A">
        <w:trPr>
          <w:trHeight w:val="308"/>
        </w:trPr>
        <w:tc>
          <w:tcPr>
            <w:tcW w:w="2864" w:type="pct"/>
            <w:tcBorders>
              <w:top w:val="nil"/>
              <w:left w:val="single" w:sz="4" w:space="0" w:color="auto"/>
              <w:bottom w:val="nil"/>
              <w:right w:val="nil"/>
            </w:tcBorders>
            <w:shd w:val="clear" w:color="auto" w:fill="auto"/>
            <w:noWrap/>
            <w:vAlign w:val="bottom"/>
            <w:hideMark/>
          </w:tcPr>
          <w:p w:rsidR="00642491" w:rsidRPr="00B701CE" w:rsidRDefault="00642491" w:rsidP="00642491">
            <w:pPr>
              <w:spacing w:after="0" w:line="240" w:lineRule="auto"/>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Other</w:t>
            </w:r>
          </w:p>
        </w:tc>
        <w:tc>
          <w:tcPr>
            <w:tcW w:w="751"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 </w:t>
            </w:r>
          </w:p>
        </w:tc>
        <w:tc>
          <w:tcPr>
            <w:tcW w:w="769" w:type="pct"/>
            <w:tcBorders>
              <w:top w:val="nil"/>
              <w:left w:val="single" w:sz="4" w:space="0" w:color="auto"/>
              <w:bottom w:val="nil"/>
              <w:right w:val="single" w:sz="4" w:space="0" w:color="auto"/>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 </w:t>
            </w:r>
          </w:p>
        </w:tc>
        <w:tc>
          <w:tcPr>
            <w:tcW w:w="616" w:type="pct"/>
            <w:tcBorders>
              <w:top w:val="nil"/>
              <w:left w:val="nil"/>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 </w:t>
            </w:r>
          </w:p>
        </w:tc>
      </w:tr>
      <w:tr w:rsidR="00642491" w:rsidRPr="00B701CE" w:rsidTr="00402B6A">
        <w:trPr>
          <w:trHeight w:val="308"/>
        </w:trPr>
        <w:tc>
          <w:tcPr>
            <w:tcW w:w="2864" w:type="pct"/>
            <w:tcBorders>
              <w:top w:val="nil"/>
              <w:left w:val="single" w:sz="4" w:space="0" w:color="auto"/>
              <w:bottom w:val="nil"/>
              <w:right w:val="nil"/>
            </w:tcBorders>
            <w:shd w:val="clear" w:color="auto" w:fill="auto"/>
            <w:noWrap/>
            <w:vAlign w:val="bottom"/>
            <w:hideMark/>
          </w:tcPr>
          <w:p w:rsidR="00642491" w:rsidRPr="00B701CE" w:rsidRDefault="00642491" w:rsidP="00642491">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Vaccination Programme</w:t>
            </w:r>
          </w:p>
        </w:tc>
        <w:tc>
          <w:tcPr>
            <w:tcW w:w="751"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949</w:t>
            </w:r>
          </w:p>
        </w:tc>
        <w:tc>
          <w:tcPr>
            <w:tcW w:w="769" w:type="pct"/>
            <w:tcBorders>
              <w:top w:val="nil"/>
              <w:left w:val="single" w:sz="4" w:space="0" w:color="auto"/>
              <w:bottom w:val="nil"/>
              <w:right w:val="single" w:sz="4" w:space="0" w:color="auto"/>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541</w:t>
            </w:r>
          </w:p>
        </w:tc>
        <w:tc>
          <w:tcPr>
            <w:tcW w:w="616" w:type="pct"/>
            <w:tcBorders>
              <w:top w:val="nil"/>
              <w:left w:val="nil"/>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1,490</w:t>
            </w:r>
          </w:p>
        </w:tc>
      </w:tr>
      <w:tr w:rsidR="00642491" w:rsidRPr="00B701CE" w:rsidTr="00402B6A">
        <w:trPr>
          <w:trHeight w:val="308"/>
        </w:trPr>
        <w:tc>
          <w:tcPr>
            <w:tcW w:w="2864" w:type="pct"/>
            <w:tcBorders>
              <w:top w:val="nil"/>
              <w:left w:val="single" w:sz="4" w:space="0" w:color="auto"/>
              <w:bottom w:val="nil"/>
              <w:right w:val="nil"/>
            </w:tcBorders>
            <w:shd w:val="clear" w:color="auto" w:fill="auto"/>
            <w:noWrap/>
            <w:vAlign w:val="bottom"/>
            <w:hideMark/>
          </w:tcPr>
          <w:p w:rsidR="00642491" w:rsidRPr="00B701CE" w:rsidRDefault="00642491" w:rsidP="00642491">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PPE</w:t>
            </w:r>
          </w:p>
        </w:tc>
        <w:tc>
          <w:tcPr>
            <w:tcW w:w="751"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43</w:t>
            </w:r>
          </w:p>
        </w:tc>
        <w:tc>
          <w:tcPr>
            <w:tcW w:w="769" w:type="pct"/>
            <w:tcBorders>
              <w:top w:val="nil"/>
              <w:left w:val="single" w:sz="4" w:space="0" w:color="auto"/>
              <w:bottom w:val="nil"/>
              <w:right w:val="single" w:sz="4" w:space="0" w:color="auto"/>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15</w:t>
            </w:r>
          </w:p>
        </w:tc>
        <w:tc>
          <w:tcPr>
            <w:tcW w:w="616" w:type="pct"/>
            <w:tcBorders>
              <w:top w:val="nil"/>
              <w:left w:val="nil"/>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58</w:t>
            </w:r>
          </w:p>
        </w:tc>
      </w:tr>
      <w:tr w:rsidR="00642491" w:rsidRPr="00B701CE" w:rsidTr="00402B6A">
        <w:trPr>
          <w:trHeight w:val="487"/>
        </w:trPr>
        <w:tc>
          <w:tcPr>
            <w:tcW w:w="2864" w:type="pct"/>
            <w:tcBorders>
              <w:top w:val="single" w:sz="4" w:space="0" w:color="auto"/>
              <w:left w:val="single" w:sz="4" w:space="0" w:color="auto"/>
              <w:bottom w:val="single" w:sz="4" w:space="0" w:color="auto"/>
              <w:right w:val="nil"/>
            </w:tcBorders>
            <w:shd w:val="clear" w:color="000000" w:fill="DDEBF7"/>
            <w:noWrap/>
            <w:vAlign w:val="center"/>
            <w:hideMark/>
          </w:tcPr>
          <w:p w:rsidR="00642491" w:rsidRPr="00B701CE" w:rsidRDefault="00642491" w:rsidP="00642491">
            <w:pPr>
              <w:spacing w:after="0" w:line="240" w:lineRule="auto"/>
              <w:rPr>
                <w:rFonts w:ascii="Calibri" w:eastAsia="Times New Roman" w:hAnsi="Calibri" w:cs="Calibri"/>
                <w:b/>
                <w:bCs/>
                <w:sz w:val="24"/>
                <w:szCs w:val="24"/>
                <w:lang w:eastAsia="en-GB"/>
              </w:rPr>
            </w:pPr>
            <w:r w:rsidRPr="00B701CE">
              <w:rPr>
                <w:rFonts w:ascii="Calibri" w:eastAsia="Times New Roman" w:hAnsi="Calibri" w:cs="Calibri"/>
                <w:b/>
                <w:bCs/>
                <w:sz w:val="24"/>
                <w:szCs w:val="24"/>
                <w:lang w:eastAsia="en-GB"/>
              </w:rPr>
              <w:t>Total Gross Additional Cost</w:t>
            </w:r>
          </w:p>
        </w:tc>
        <w:tc>
          <w:tcPr>
            <w:tcW w:w="751" w:type="pct"/>
            <w:tcBorders>
              <w:top w:val="single" w:sz="4" w:space="0" w:color="auto"/>
              <w:left w:val="single" w:sz="4" w:space="0" w:color="auto"/>
              <w:bottom w:val="single" w:sz="4" w:space="0" w:color="auto"/>
              <w:right w:val="nil"/>
            </w:tcBorders>
            <w:shd w:val="clear" w:color="000000" w:fill="DDEBF7"/>
            <w:noWrap/>
            <w:vAlign w:val="center"/>
            <w:hideMark/>
          </w:tcPr>
          <w:p w:rsidR="00642491" w:rsidRDefault="00642491" w:rsidP="00642491">
            <w:pPr>
              <w:spacing w:after="0"/>
              <w:jc w:val="right"/>
              <w:rPr>
                <w:rFonts w:ascii="Calibri" w:hAnsi="Calibri" w:cs="Calibri"/>
                <w:b/>
                <w:bCs/>
              </w:rPr>
            </w:pPr>
            <w:r>
              <w:rPr>
                <w:rFonts w:ascii="Calibri" w:hAnsi="Calibri" w:cs="Calibri"/>
                <w:b/>
                <w:bCs/>
              </w:rPr>
              <w:t>12,880</w:t>
            </w:r>
          </w:p>
        </w:tc>
        <w:tc>
          <w:tcPr>
            <w:tcW w:w="769" w:type="pct"/>
            <w:tcBorders>
              <w:top w:val="single" w:sz="4" w:space="0" w:color="auto"/>
              <w:left w:val="single" w:sz="4" w:space="0" w:color="auto"/>
              <w:bottom w:val="single" w:sz="4" w:space="0" w:color="auto"/>
              <w:right w:val="nil"/>
            </w:tcBorders>
            <w:shd w:val="clear" w:color="000000" w:fill="DDEBF7"/>
            <w:noWrap/>
            <w:vAlign w:val="center"/>
            <w:hideMark/>
          </w:tcPr>
          <w:p w:rsidR="00642491" w:rsidRDefault="00642491" w:rsidP="00642491">
            <w:pPr>
              <w:spacing w:after="0"/>
              <w:jc w:val="right"/>
              <w:rPr>
                <w:rFonts w:ascii="Calibri" w:hAnsi="Calibri" w:cs="Calibri"/>
                <w:b/>
                <w:bCs/>
              </w:rPr>
            </w:pPr>
            <w:r>
              <w:rPr>
                <w:rFonts w:ascii="Calibri" w:hAnsi="Calibri" w:cs="Calibri"/>
                <w:b/>
                <w:bCs/>
              </w:rPr>
              <w:t>5,403</w:t>
            </w:r>
          </w:p>
        </w:tc>
        <w:tc>
          <w:tcPr>
            <w:tcW w:w="616"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642491" w:rsidRDefault="00642491" w:rsidP="00642491">
            <w:pPr>
              <w:spacing w:after="0"/>
              <w:jc w:val="right"/>
              <w:rPr>
                <w:rFonts w:ascii="Calibri" w:hAnsi="Calibri" w:cs="Calibri"/>
                <w:b/>
                <w:bCs/>
              </w:rPr>
            </w:pPr>
            <w:r>
              <w:rPr>
                <w:rFonts w:ascii="Calibri" w:hAnsi="Calibri" w:cs="Calibri"/>
                <w:b/>
                <w:bCs/>
              </w:rPr>
              <w:t>18,283</w:t>
            </w:r>
          </w:p>
        </w:tc>
      </w:tr>
      <w:tr w:rsidR="00642491" w:rsidRPr="00B701CE" w:rsidTr="00402B6A">
        <w:trPr>
          <w:trHeight w:val="308"/>
        </w:trPr>
        <w:tc>
          <w:tcPr>
            <w:tcW w:w="2864" w:type="pct"/>
            <w:tcBorders>
              <w:top w:val="nil"/>
              <w:left w:val="single" w:sz="4" w:space="0" w:color="auto"/>
              <w:bottom w:val="nil"/>
              <w:right w:val="nil"/>
            </w:tcBorders>
            <w:shd w:val="clear" w:color="auto" w:fill="auto"/>
            <w:noWrap/>
            <w:vAlign w:val="bottom"/>
            <w:hideMark/>
          </w:tcPr>
          <w:p w:rsidR="00642491" w:rsidRPr="00B701CE" w:rsidRDefault="00642491" w:rsidP="00642491">
            <w:pPr>
              <w:spacing w:after="0" w:line="240" w:lineRule="auto"/>
              <w:rPr>
                <w:rFonts w:ascii="Calibri" w:eastAsia="Times New Roman" w:hAnsi="Calibri" w:cs="Calibri"/>
                <w:b/>
                <w:bCs/>
                <w:sz w:val="24"/>
                <w:szCs w:val="24"/>
                <w:lang w:eastAsia="en-GB"/>
              </w:rPr>
            </w:pPr>
            <w:r w:rsidRPr="00B701CE">
              <w:rPr>
                <w:rFonts w:ascii="Calibri" w:eastAsia="Times New Roman" w:hAnsi="Calibri" w:cs="Calibri"/>
                <w:b/>
                <w:bCs/>
                <w:sz w:val="24"/>
                <w:szCs w:val="24"/>
                <w:lang w:eastAsia="en-GB"/>
              </w:rPr>
              <w:t>Funding</w:t>
            </w:r>
          </w:p>
        </w:tc>
        <w:tc>
          <w:tcPr>
            <w:tcW w:w="751"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 </w:t>
            </w:r>
          </w:p>
        </w:tc>
        <w:tc>
          <w:tcPr>
            <w:tcW w:w="769" w:type="pct"/>
            <w:tcBorders>
              <w:top w:val="nil"/>
              <w:left w:val="single" w:sz="4" w:space="0" w:color="auto"/>
              <w:bottom w:val="nil"/>
              <w:right w:val="single" w:sz="4" w:space="0" w:color="auto"/>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 </w:t>
            </w:r>
          </w:p>
        </w:tc>
        <w:tc>
          <w:tcPr>
            <w:tcW w:w="616" w:type="pct"/>
            <w:tcBorders>
              <w:top w:val="nil"/>
              <w:left w:val="nil"/>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 </w:t>
            </w:r>
          </w:p>
        </w:tc>
      </w:tr>
      <w:tr w:rsidR="00642491" w:rsidRPr="00B701CE" w:rsidTr="00402B6A">
        <w:trPr>
          <w:trHeight w:val="308"/>
        </w:trPr>
        <w:tc>
          <w:tcPr>
            <w:tcW w:w="2864" w:type="pct"/>
            <w:tcBorders>
              <w:top w:val="nil"/>
              <w:left w:val="single" w:sz="4" w:space="0" w:color="auto"/>
              <w:bottom w:val="nil"/>
              <w:right w:val="nil"/>
            </w:tcBorders>
            <w:shd w:val="clear" w:color="auto" w:fill="auto"/>
            <w:noWrap/>
            <w:vAlign w:val="bottom"/>
            <w:hideMark/>
          </w:tcPr>
          <w:p w:rsidR="00642491" w:rsidRPr="00B701CE" w:rsidRDefault="00642491" w:rsidP="00642491">
            <w:pPr>
              <w:spacing w:after="0" w:line="240" w:lineRule="auto"/>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Assumed Welsh Government Funding</w:t>
            </w:r>
          </w:p>
        </w:tc>
        <w:tc>
          <w:tcPr>
            <w:tcW w:w="751"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 </w:t>
            </w:r>
          </w:p>
        </w:tc>
        <w:tc>
          <w:tcPr>
            <w:tcW w:w="769" w:type="pct"/>
            <w:tcBorders>
              <w:top w:val="nil"/>
              <w:left w:val="single" w:sz="4" w:space="0" w:color="auto"/>
              <w:bottom w:val="nil"/>
              <w:right w:val="single" w:sz="4" w:space="0" w:color="auto"/>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 </w:t>
            </w:r>
          </w:p>
        </w:tc>
        <w:tc>
          <w:tcPr>
            <w:tcW w:w="616" w:type="pct"/>
            <w:tcBorders>
              <w:top w:val="nil"/>
              <w:left w:val="nil"/>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 </w:t>
            </w:r>
          </w:p>
        </w:tc>
      </w:tr>
      <w:tr w:rsidR="00642491" w:rsidRPr="00B701CE" w:rsidTr="00402B6A">
        <w:trPr>
          <w:trHeight w:val="308"/>
        </w:trPr>
        <w:tc>
          <w:tcPr>
            <w:tcW w:w="2864" w:type="pct"/>
            <w:tcBorders>
              <w:top w:val="nil"/>
              <w:left w:val="single" w:sz="4" w:space="0" w:color="auto"/>
              <w:bottom w:val="nil"/>
              <w:right w:val="nil"/>
            </w:tcBorders>
            <w:shd w:val="clear" w:color="auto" w:fill="auto"/>
            <w:noWrap/>
            <w:vAlign w:val="center"/>
            <w:hideMark/>
          </w:tcPr>
          <w:p w:rsidR="00642491" w:rsidRPr="00B701CE" w:rsidRDefault="00642491" w:rsidP="00642491">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COVID-19 Laboratory Testing Non Pay</w:t>
            </w:r>
          </w:p>
        </w:tc>
        <w:tc>
          <w:tcPr>
            <w:tcW w:w="751"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-9,856</w:t>
            </w:r>
          </w:p>
        </w:tc>
        <w:tc>
          <w:tcPr>
            <w:tcW w:w="769"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-3,847</w:t>
            </w:r>
          </w:p>
        </w:tc>
        <w:tc>
          <w:tcPr>
            <w:tcW w:w="616" w:type="pct"/>
            <w:tcBorders>
              <w:top w:val="nil"/>
              <w:left w:val="single" w:sz="4" w:space="0" w:color="auto"/>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-13,703</w:t>
            </w:r>
          </w:p>
        </w:tc>
      </w:tr>
      <w:tr w:rsidR="00642491" w:rsidRPr="00B701CE" w:rsidTr="00402B6A">
        <w:trPr>
          <w:trHeight w:val="308"/>
        </w:trPr>
        <w:tc>
          <w:tcPr>
            <w:tcW w:w="2864" w:type="pct"/>
            <w:tcBorders>
              <w:top w:val="nil"/>
              <w:left w:val="single" w:sz="4" w:space="0" w:color="auto"/>
              <w:bottom w:val="nil"/>
              <w:right w:val="nil"/>
            </w:tcBorders>
            <w:shd w:val="clear" w:color="auto" w:fill="auto"/>
            <w:noWrap/>
            <w:vAlign w:val="center"/>
            <w:hideMark/>
          </w:tcPr>
          <w:p w:rsidR="00642491" w:rsidRPr="00B701CE" w:rsidRDefault="00642491" w:rsidP="00642491">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Genomics Sequencing</w:t>
            </w:r>
            <w:r>
              <w:rPr>
                <w:rFonts w:ascii="Calibri" w:eastAsia="Times New Roman" w:hAnsi="Calibri" w:cs="Calibri"/>
                <w:sz w:val="24"/>
                <w:szCs w:val="24"/>
                <w:lang w:eastAsia="en-GB"/>
              </w:rPr>
              <w:t xml:space="preserve"> for COVID-19</w:t>
            </w:r>
          </w:p>
        </w:tc>
        <w:tc>
          <w:tcPr>
            <w:tcW w:w="751"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-717</w:t>
            </w:r>
          </w:p>
        </w:tc>
        <w:tc>
          <w:tcPr>
            <w:tcW w:w="769"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-235</w:t>
            </w:r>
          </w:p>
        </w:tc>
        <w:tc>
          <w:tcPr>
            <w:tcW w:w="616" w:type="pct"/>
            <w:tcBorders>
              <w:top w:val="nil"/>
              <w:left w:val="single" w:sz="4" w:space="0" w:color="auto"/>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-952</w:t>
            </w:r>
          </w:p>
        </w:tc>
      </w:tr>
      <w:tr w:rsidR="00642491" w:rsidRPr="00B701CE" w:rsidTr="00402B6A">
        <w:trPr>
          <w:trHeight w:val="308"/>
        </w:trPr>
        <w:tc>
          <w:tcPr>
            <w:tcW w:w="2864" w:type="pct"/>
            <w:tcBorders>
              <w:top w:val="nil"/>
              <w:left w:val="single" w:sz="4" w:space="0" w:color="auto"/>
              <w:bottom w:val="nil"/>
              <w:right w:val="nil"/>
            </w:tcBorders>
            <w:shd w:val="clear" w:color="auto" w:fill="auto"/>
            <w:noWrap/>
            <w:vAlign w:val="center"/>
            <w:hideMark/>
          </w:tcPr>
          <w:p w:rsidR="00642491" w:rsidRPr="00B701CE" w:rsidRDefault="00642491" w:rsidP="00642491">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xml:space="preserve">TAT &amp; Resilience - Non Pay </w:t>
            </w:r>
          </w:p>
        </w:tc>
        <w:tc>
          <w:tcPr>
            <w:tcW w:w="751"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-760</w:t>
            </w:r>
          </w:p>
        </w:tc>
        <w:tc>
          <w:tcPr>
            <w:tcW w:w="769"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-685</w:t>
            </w:r>
          </w:p>
        </w:tc>
        <w:tc>
          <w:tcPr>
            <w:tcW w:w="616" w:type="pct"/>
            <w:tcBorders>
              <w:top w:val="nil"/>
              <w:left w:val="single" w:sz="4" w:space="0" w:color="auto"/>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-1,445</w:t>
            </w:r>
          </w:p>
        </w:tc>
      </w:tr>
      <w:tr w:rsidR="00642491" w:rsidRPr="00B701CE" w:rsidTr="00402B6A">
        <w:trPr>
          <w:trHeight w:val="308"/>
        </w:trPr>
        <w:tc>
          <w:tcPr>
            <w:tcW w:w="2864" w:type="pct"/>
            <w:tcBorders>
              <w:top w:val="nil"/>
              <w:left w:val="single" w:sz="4" w:space="0" w:color="auto"/>
              <w:bottom w:val="nil"/>
              <w:right w:val="nil"/>
            </w:tcBorders>
            <w:shd w:val="clear" w:color="auto" w:fill="auto"/>
            <w:noWrap/>
            <w:vAlign w:val="center"/>
            <w:hideMark/>
          </w:tcPr>
          <w:p w:rsidR="00642491" w:rsidRPr="00B701CE" w:rsidRDefault="00642491" w:rsidP="00642491">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TTP Contact Tracing</w:t>
            </w:r>
          </w:p>
        </w:tc>
        <w:tc>
          <w:tcPr>
            <w:tcW w:w="751"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-555</w:t>
            </w:r>
          </w:p>
        </w:tc>
        <w:tc>
          <w:tcPr>
            <w:tcW w:w="769"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-80</w:t>
            </w:r>
          </w:p>
        </w:tc>
        <w:tc>
          <w:tcPr>
            <w:tcW w:w="616" w:type="pct"/>
            <w:tcBorders>
              <w:top w:val="nil"/>
              <w:left w:val="single" w:sz="4" w:space="0" w:color="auto"/>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-635</w:t>
            </w:r>
          </w:p>
        </w:tc>
      </w:tr>
      <w:tr w:rsidR="00642491" w:rsidRPr="00B701CE" w:rsidTr="00402B6A">
        <w:trPr>
          <w:trHeight w:val="308"/>
        </w:trPr>
        <w:tc>
          <w:tcPr>
            <w:tcW w:w="2864" w:type="pct"/>
            <w:tcBorders>
              <w:top w:val="nil"/>
              <w:left w:val="single" w:sz="4" w:space="0" w:color="auto"/>
              <w:bottom w:val="nil"/>
              <w:right w:val="nil"/>
            </w:tcBorders>
            <w:shd w:val="clear" w:color="auto" w:fill="auto"/>
            <w:noWrap/>
            <w:vAlign w:val="center"/>
            <w:hideMark/>
          </w:tcPr>
          <w:p w:rsidR="00642491" w:rsidRPr="00B701CE" w:rsidRDefault="00642491" w:rsidP="00642491">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 xml:space="preserve">Vaccination </w:t>
            </w:r>
            <w:r>
              <w:rPr>
                <w:rFonts w:ascii="Calibri" w:eastAsia="Times New Roman" w:hAnsi="Calibri" w:cs="Calibri"/>
                <w:sz w:val="24"/>
                <w:szCs w:val="24"/>
                <w:lang w:eastAsia="en-GB"/>
              </w:rPr>
              <w:t>P</w:t>
            </w:r>
            <w:r w:rsidRPr="00B701CE">
              <w:rPr>
                <w:rFonts w:ascii="Calibri" w:eastAsia="Times New Roman" w:hAnsi="Calibri" w:cs="Calibri"/>
                <w:sz w:val="24"/>
                <w:szCs w:val="24"/>
                <w:lang w:eastAsia="en-GB"/>
              </w:rPr>
              <w:t>rogramme</w:t>
            </w:r>
          </w:p>
        </w:tc>
        <w:tc>
          <w:tcPr>
            <w:tcW w:w="751"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-949</w:t>
            </w:r>
          </w:p>
        </w:tc>
        <w:tc>
          <w:tcPr>
            <w:tcW w:w="769"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-541</w:t>
            </w:r>
          </w:p>
        </w:tc>
        <w:tc>
          <w:tcPr>
            <w:tcW w:w="616" w:type="pct"/>
            <w:tcBorders>
              <w:top w:val="nil"/>
              <w:left w:val="single" w:sz="4" w:space="0" w:color="auto"/>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-1,490</w:t>
            </w:r>
          </w:p>
        </w:tc>
      </w:tr>
      <w:tr w:rsidR="00642491" w:rsidRPr="00B701CE" w:rsidTr="00402B6A">
        <w:trPr>
          <w:trHeight w:val="308"/>
        </w:trPr>
        <w:tc>
          <w:tcPr>
            <w:tcW w:w="2864" w:type="pct"/>
            <w:tcBorders>
              <w:top w:val="nil"/>
              <w:left w:val="single" w:sz="4" w:space="0" w:color="auto"/>
              <w:bottom w:val="nil"/>
              <w:right w:val="nil"/>
            </w:tcBorders>
            <w:shd w:val="clear" w:color="auto" w:fill="auto"/>
            <w:noWrap/>
            <w:vAlign w:val="center"/>
            <w:hideMark/>
          </w:tcPr>
          <w:p w:rsidR="00642491" w:rsidRPr="00B701CE" w:rsidRDefault="00642491" w:rsidP="00642491">
            <w:pPr>
              <w:spacing w:after="0" w:line="240" w:lineRule="auto"/>
              <w:ind w:firstLineChars="200" w:firstLine="480"/>
              <w:rPr>
                <w:rFonts w:ascii="Calibri" w:eastAsia="Times New Roman" w:hAnsi="Calibri" w:cs="Calibri"/>
                <w:sz w:val="24"/>
                <w:szCs w:val="24"/>
                <w:lang w:eastAsia="en-GB"/>
              </w:rPr>
            </w:pPr>
            <w:r w:rsidRPr="00B701CE">
              <w:rPr>
                <w:rFonts w:ascii="Calibri" w:eastAsia="Times New Roman" w:hAnsi="Calibri" w:cs="Calibri"/>
                <w:sz w:val="24"/>
                <w:szCs w:val="24"/>
                <w:lang w:eastAsia="en-GB"/>
              </w:rPr>
              <w:t>PPE</w:t>
            </w:r>
          </w:p>
        </w:tc>
        <w:tc>
          <w:tcPr>
            <w:tcW w:w="751"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-43</w:t>
            </w:r>
          </w:p>
        </w:tc>
        <w:tc>
          <w:tcPr>
            <w:tcW w:w="769" w:type="pct"/>
            <w:tcBorders>
              <w:top w:val="nil"/>
              <w:left w:val="single" w:sz="4" w:space="0" w:color="auto"/>
              <w:bottom w:val="nil"/>
              <w:right w:val="nil"/>
            </w:tcBorders>
            <w:shd w:val="clear" w:color="auto" w:fill="auto"/>
            <w:noWrap/>
            <w:vAlign w:val="center"/>
            <w:hideMark/>
          </w:tcPr>
          <w:p w:rsidR="00642491" w:rsidRDefault="00642491" w:rsidP="00642491">
            <w:pPr>
              <w:spacing w:after="0"/>
              <w:jc w:val="right"/>
              <w:rPr>
                <w:rFonts w:ascii="Calibri" w:hAnsi="Calibri" w:cs="Calibri"/>
              </w:rPr>
            </w:pPr>
            <w:r>
              <w:rPr>
                <w:rFonts w:ascii="Calibri" w:hAnsi="Calibri" w:cs="Calibri"/>
              </w:rPr>
              <w:t>-15</w:t>
            </w:r>
          </w:p>
        </w:tc>
        <w:tc>
          <w:tcPr>
            <w:tcW w:w="616" w:type="pct"/>
            <w:tcBorders>
              <w:top w:val="nil"/>
              <w:left w:val="single" w:sz="4" w:space="0" w:color="auto"/>
              <w:bottom w:val="nil"/>
              <w:right w:val="single" w:sz="4" w:space="0" w:color="auto"/>
            </w:tcBorders>
            <w:shd w:val="clear" w:color="auto" w:fill="auto"/>
            <w:noWrap/>
            <w:vAlign w:val="bottom"/>
            <w:hideMark/>
          </w:tcPr>
          <w:p w:rsidR="00642491" w:rsidRDefault="00642491" w:rsidP="00642491">
            <w:pPr>
              <w:spacing w:after="0"/>
              <w:jc w:val="right"/>
              <w:rPr>
                <w:rFonts w:ascii="Calibri" w:hAnsi="Calibri" w:cs="Calibri"/>
              </w:rPr>
            </w:pPr>
            <w:r>
              <w:rPr>
                <w:rFonts w:ascii="Calibri" w:hAnsi="Calibri" w:cs="Calibri"/>
              </w:rPr>
              <w:t>-58</w:t>
            </w:r>
          </w:p>
        </w:tc>
      </w:tr>
      <w:tr w:rsidR="00642491" w:rsidRPr="000411A5" w:rsidTr="00402B6A">
        <w:trPr>
          <w:trHeight w:val="534"/>
        </w:trPr>
        <w:tc>
          <w:tcPr>
            <w:tcW w:w="2864" w:type="pct"/>
            <w:tcBorders>
              <w:top w:val="single" w:sz="4" w:space="0" w:color="auto"/>
              <w:left w:val="single" w:sz="4" w:space="0" w:color="auto"/>
              <w:bottom w:val="single" w:sz="4" w:space="0" w:color="auto"/>
              <w:right w:val="nil"/>
            </w:tcBorders>
            <w:shd w:val="clear" w:color="000000" w:fill="DDEBF7"/>
            <w:noWrap/>
            <w:vAlign w:val="center"/>
            <w:hideMark/>
          </w:tcPr>
          <w:p w:rsidR="00642491" w:rsidRPr="00B701CE" w:rsidRDefault="00642491" w:rsidP="00642491">
            <w:pPr>
              <w:spacing w:after="0" w:line="240" w:lineRule="auto"/>
              <w:rPr>
                <w:rFonts w:ascii="Calibri" w:eastAsia="Times New Roman" w:hAnsi="Calibri" w:cs="Calibri"/>
                <w:b/>
                <w:bCs/>
                <w:sz w:val="24"/>
                <w:szCs w:val="24"/>
                <w:lang w:eastAsia="en-GB"/>
              </w:rPr>
            </w:pPr>
            <w:r w:rsidRPr="00B701CE">
              <w:rPr>
                <w:rFonts w:ascii="Calibri" w:eastAsia="Times New Roman" w:hAnsi="Calibri" w:cs="Calibri"/>
                <w:b/>
                <w:bCs/>
                <w:sz w:val="24"/>
                <w:szCs w:val="24"/>
                <w:lang w:eastAsia="en-GB"/>
              </w:rPr>
              <w:t>Total Funding</w:t>
            </w:r>
          </w:p>
        </w:tc>
        <w:tc>
          <w:tcPr>
            <w:tcW w:w="751" w:type="pct"/>
            <w:tcBorders>
              <w:top w:val="single" w:sz="4" w:space="0" w:color="auto"/>
              <w:left w:val="single" w:sz="4" w:space="0" w:color="auto"/>
              <w:bottom w:val="single" w:sz="4" w:space="0" w:color="auto"/>
              <w:right w:val="nil"/>
            </w:tcBorders>
            <w:shd w:val="clear" w:color="000000" w:fill="DDEBF7"/>
            <w:noWrap/>
            <w:vAlign w:val="center"/>
            <w:hideMark/>
          </w:tcPr>
          <w:p w:rsidR="00642491" w:rsidRDefault="00642491" w:rsidP="00642491">
            <w:pPr>
              <w:spacing w:after="0"/>
              <w:jc w:val="right"/>
              <w:rPr>
                <w:rFonts w:ascii="Calibri" w:hAnsi="Calibri" w:cs="Calibri"/>
                <w:b/>
                <w:bCs/>
              </w:rPr>
            </w:pPr>
            <w:r>
              <w:rPr>
                <w:rFonts w:ascii="Calibri" w:hAnsi="Calibri" w:cs="Calibri"/>
                <w:b/>
                <w:bCs/>
              </w:rPr>
              <w:t>-12,880</w:t>
            </w:r>
          </w:p>
        </w:tc>
        <w:tc>
          <w:tcPr>
            <w:tcW w:w="769" w:type="pct"/>
            <w:tcBorders>
              <w:top w:val="single" w:sz="4" w:space="0" w:color="auto"/>
              <w:left w:val="single" w:sz="4" w:space="0" w:color="auto"/>
              <w:bottom w:val="single" w:sz="4" w:space="0" w:color="auto"/>
              <w:right w:val="nil"/>
            </w:tcBorders>
            <w:shd w:val="clear" w:color="000000" w:fill="DDEBF7"/>
            <w:noWrap/>
            <w:vAlign w:val="center"/>
            <w:hideMark/>
          </w:tcPr>
          <w:p w:rsidR="00642491" w:rsidRDefault="00642491" w:rsidP="00642491">
            <w:pPr>
              <w:spacing w:after="0"/>
              <w:jc w:val="right"/>
              <w:rPr>
                <w:rFonts w:ascii="Calibri" w:hAnsi="Calibri" w:cs="Calibri"/>
                <w:b/>
                <w:bCs/>
              </w:rPr>
            </w:pPr>
            <w:r>
              <w:rPr>
                <w:rFonts w:ascii="Calibri" w:hAnsi="Calibri" w:cs="Calibri"/>
                <w:b/>
                <w:bCs/>
              </w:rPr>
              <w:t>-5,403</w:t>
            </w:r>
          </w:p>
        </w:tc>
        <w:tc>
          <w:tcPr>
            <w:tcW w:w="616"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642491" w:rsidRDefault="00642491" w:rsidP="00642491">
            <w:pPr>
              <w:spacing w:after="0"/>
              <w:jc w:val="right"/>
              <w:rPr>
                <w:rFonts w:ascii="Calibri" w:hAnsi="Calibri" w:cs="Calibri"/>
                <w:b/>
                <w:bCs/>
              </w:rPr>
            </w:pPr>
            <w:r>
              <w:rPr>
                <w:rFonts w:ascii="Calibri" w:hAnsi="Calibri" w:cs="Calibri"/>
                <w:b/>
                <w:bCs/>
              </w:rPr>
              <w:t>-18,283</w:t>
            </w:r>
          </w:p>
        </w:tc>
      </w:tr>
    </w:tbl>
    <w:p w:rsidR="000F1941" w:rsidRPr="000411A5" w:rsidRDefault="000F1941" w:rsidP="007E37E4">
      <w:pPr>
        <w:jc w:val="both"/>
        <w:rPr>
          <w:rFonts w:ascii="Verdana" w:hAnsi="Verdana"/>
          <w:b/>
          <w:sz w:val="24"/>
          <w:szCs w:val="24"/>
          <w:highlight w:val="magenta"/>
          <w:lang w:eastAsia="en-GB"/>
        </w:rPr>
      </w:pPr>
    </w:p>
    <w:p w:rsidR="00402B6A" w:rsidRDefault="00402B6A" w:rsidP="003B32BA">
      <w:pPr>
        <w:spacing w:after="160" w:line="256" w:lineRule="auto"/>
        <w:jc w:val="both"/>
        <w:rPr>
          <w:rFonts w:ascii="Verdana" w:eastAsia="Times New Roman" w:hAnsi="Verdana" w:cs="Times New Roman"/>
          <w:color w:val="000000" w:themeColor="text1"/>
          <w:kern w:val="24"/>
          <w:sz w:val="24"/>
          <w:szCs w:val="24"/>
          <w:lang w:eastAsia="en-GB"/>
        </w:rPr>
      </w:pPr>
      <w:r w:rsidRPr="00B701CE">
        <w:rPr>
          <w:rFonts w:ascii="Verdana" w:eastAsia="Times New Roman" w:hAnsi="Verdana" w:cs="Times New Roman"/>
          <w:color w:val="000000" w:themeColor="text1"/>
          <w:kern w:val="24"/>
          <w:sz w:val="24"/>
          <w:szCs w:val="24"/>
          <w:lang w:eastAsia="en-GB"/>
        </w:rPr>
        <w:t xml:space="preserve">Since the submission of our month 1 return, the figure for Welsh </w:t>
      </w:r>
      <w:r w:rsidRPr="009201F5">
        <w:rPr>
          <w:rFonts w:ascii="Verdana" w:eastAsia="Times New Roman" w:hAnsi="Verdana" w:cs="Times New Roman"/>
          <w:color w:val="000000" w:themeColor="text1"/>
          <w:kern w:val="24"/>
          <w:sz w:val="24"/>
          <w:szCs w:val="24"/>
          <w:lang w:eastAsia="en-GB"/>
        </w:rPr>
        <w:t xml:space="preserve">Government funding for Covid-19 has changed from </w:t>
      </w:r>
      <w:r w:rsidR="001A6F9A" w:rsidRPr="009201F5">
        <w:rPr>
          <w:rFonts w:ascii="Verdana" w:eastAsia="Times New Roman" w:hAnsi="Verdana" w:cs="Times New Roman"/>
          <w:color w:val="000000" w:themeColor="text1"/>
          <w:kern w:val="24"/>
          <w:sz w:val="24"/>
          <w:szCs w:val="24"/>
          <w:lang w:eastAsia="en-GB"/>
        </w:rPr>
        <w:t>£48.314m to £</w:t>
      </w:r>
      <w:r w:rsidR="009201F5" w:rsidRPr="009201F5">
        <w:rPr>
          <w:rFonts w:ascii="Verdana" w:eastAsia="Times New Roman" w:hAnsi="Verdana" w:cs="Times New Roman"/>
          <w:color w:val="000000" w:themeColor="text1"/>
          <w:kern w:val="24"/>
          <w:sz w:val="24"/>
          <w:szCs w:val="24"/>
          <w:lang w:eastAsia="en-GB"/>
        </w:rPr>
        <w:t>1</w:t>
      </w:r>
      <w:r w:rsidR="00F52B2D">
        <w:rPr>
          <w:rFonts w:ascii="Verdana" w:eastAsia="Times New Roman" w:hAnsi="Verdana" w:cs="Times New Roman"/>
          <w:color w:val="000000" w:themeColor="text1"/>
          <w:kern w:val="24"/>
          <w:sz w:val="24"/>
          <w:szCs w:val="24"/>
          <w:lang w:eastAsia="en-GB"/>
        </w:rPr>
        <w:t>8</w:t>
      </w:r>
      <w:r w:rsidR="00B701CE" w:rsidRPr="009201F5">
        <w:rPr>
          <w:rFonts w:ascii="Verdana" w:eastAsia="Times New Roman" w:hAnsi="Verdana" w:cs="Times New Roman"/>
          <w:color w:val="000000" w:themeColor="text1"/>
          <w:kern w:val="24"/>
          <w:sz w:val="24"/>
          <w:szCs w:val="24"/>
          <w:lang w:eastAsia="en-GB"/>
        </w:rPr>
        <w:t>.</w:t>
      </w:r>
      <w:r w:rsidR="00F52B2D">
        <w:rPr>
          <w:rFonts w:ascii="Verdana" w:eastAsia="Times New Roman" w:hAnsi="Verdana" w:cs="Times New Roman"/>
          <w:color w:val="000000" w:themeColor="text1"/>
          <w:kern w:val="24"/>
          <w:sz w:val="24"/>
          <w:szCs w:val="24"/>
          <w:lang w:eastAsia="en-GB"/>
        </w:rPr>
        <w:t>283</w:t>
      </w:r>
      <w:r w:rsidR="001A6F9A" w:rsidRPr="009201F5">
        <w:rPr>
          <w:rFonts w:ascii="Verdana" w:eastAsia="Times New Roman" w:hAnsi="Verdana" w:cs="Times New Roman"/>
          <w:color w:val="000000" w:themeColor="text1"/>
          <w:kern w:val="24"/>
          <w:sz w:val="24"/>
          <w:szCs w:val="24"/>
          <w:lang w:eastAsia="en-GB"/>
        </w:rPr>
        <w:t>m reflecting revised forecast costs for 2022/23</w:t>
      </w:r>
      <w:r w:rsidR="00FF1740">
        <w:rPr>
          <w:rFonts w:ascii="Verdana" w:eastAsia="Times New Roman" w:hAnsi="Verdana" w:cs="Times New Roman"/>
          <w:color w:val="000000" w:themeColor="text1"/>
          <w:kern w:val="24"/>
          <w:sz w:val="24"/>
          <w:szCs w:val="24"/>
          <w:lang w:eastAsia="en-GB"/>
        </w:rPr>
        <w:t xml:space="preserve"> </w:t>
      </w:r>
      <w:r w:rsidR="00FF1740" w:rsidRPr="00B608B3">
        <w:rPr>
          <w:rFonts w:ascii="Verdana" w:eastAsia="Times New Roman" w:hAnsi="Verdana" w:cs="Times New Roman"/>
          <w:color w:val="000000" w:themeColor="text1"/>
          <w:kern w:val="24"/>
          <w:sz w:val="24"/>
          <w:szCs w:val="24"/>
          <w:lang w:eastAsia="en-GB"/>
        </w:rPr>
        <w:t>from the change in WG Policy</w:t>
      </w:r>
      <w:r w:rsidR="001A6F9A" w:rsidRPr="009201F5">
        <w:rPr>
          <w:rFonts w:ascii="Verdana" w:eastAsia="Times New Roman" w:hAnsi="Verdana" w:cs="Times New Roman"/>
          <w:color w:val="000000" w:themeColor="text1"/>
          <w:kern w:val="24"/>
          <w:sz w:val="24"/>
          <w:szCs w:val="24"/>
          <w:lang w:eastAsia="en-GB"/>
        </w:rPr>
        <w:t xml:space="preserve">.  </w:t>
      </w:r>
      <w:r w:rsidRPr="009201F5">
        <w:rPr>
          <w:rFonts w:ascii="Verdana" w:eastAsia="Times New Roman" w:hAnsi="Verdana" w:cs="Times New Roman"/>
          <w:color w:val="000000" w:themeColor="text1"/>
          <w:kern w:val="24"/>
          <w:sz w:val="24"/>
          <w:szCs w:val="24"/>
          <w:lang w:eastAsia="en-GB"/>
        </w:rPr>
        <w:t xml:space="preserve">The movement can be seen in </w:t>
      </w:r>
      <w:r w:rsidR="00F06628">
        <w:rPr>
          <w:rFonts w:ascii="Verdana" w:eastAsia="Times New Roman" w:hAnsi="Verdana" w:cs="Times New Roman"/>
          <w:color w:val="000000" w:themeColor="text1"/>
          <w:kern w:val="24"/>
          <w:sz w:val="24"/>
          <w:szCs w:val="24"/>
          <w:lang w:eastAsia="en-GB"/>
        </w:rPr>
        <w:t>T</w:t>
      </w:r>
      <w:r w:rsidRPr="009201F5">
        <w:rPr>
          <w:rFonts w:ascii="Verdana" w:eastAsia="Times New Roman" w:hAnsi="Verdana" w:cs="Times New Roman"/>
          <w:color w:val="000000" w:themeColor="text1"/>
          <w:kern w:val="24"/>
          <w:sz w:val="24"/>
          <w:szCs w:val="24"/>
          <w:lang w:eastAsia="en-GB"/>
        </w:rPr>
        <w:t>able</w:t>
      </w:r>
      <w:r w:rsidR="00F06628">
        <w:rPr>
          <w:rFonts w:ascii="Verdana" w:eastAsia="Times New Roman" w:hAnsi="Verdana" w:cs="Times New Roman"/>
          <w:color w:val="000000" w:themeColor="text1"/>
          <w:kern w:val="24"/>
          <w:sz w:val="24"/>
          <w:szCs w:val="24"/>
          <w:lang w:eastAsia="en-GB"/>
        </w:rPr>
        <w:t xml:space="preserve"> D.</w:t>
      </w:r>
    </w:p>
    <w:p w:rsidR="00F06628" w:rsidRDefault="00F06628" w:rsidP="003B32BA">
      <w:pPr>
        <w:spacing w:after="160" w:line="256" w:lineRule="auto"/>
        <w:jc w:val="both"/>
        <w:rPr>
          <w:rFonts w:ascii="Verdana" w:eastAsia="Times New Roman" w:hAnsi="Verdana" w:cs="Times New Roman"/>
          <w:b/>
          <w:color w:val="000000" w:themeColor="text1"/>
          <w:kern w:val="24"/>
          <w:sz w:val="24"/>
          <w:szCs w:val="24"/>
          <w:lang w:eastAsia="en-GB"/>
        </w:rPr>
      </w:pPr>
    </w:p>
    <w:p w:rsidR="00F06628" w:rsidRPr="00F06628" w:rsidRDefault="00F06628" w:rsidP="003B32BA">
      <w:pPr>
        <w:spacing w:after="160" w:line="256" w:lineRule="auto"/>
        <w:jc w:val="both"/>
        <w:rPr>
          <w:rFonts w:ascii="Verdana" w:eastAsia="Times New Roman" w:hAnsi="Verdana" w:cs="Times New Roman"/>
          <w:b/>
          <w:color w:val="000000" w:themeColor="text1"/>
          <w:kern w:val="24"/>
          <w:sz w:val="24"/>
          <w:szCs w:val="24"/>
          <w:lang w:eastAsia="en-GB"/>
        </w:rPr>
      </w:pPr>
      <w:r w:rsidRPr="00F06628">
        <w:rPr>
          <w:rFonts w:ascii="Verdana" w:eastAsia="Times New Roman" w:hAnsi="Verdana" w:cs="Times New Roman"/>
          <w:b/>
          <w:color w:val="000000" w:themeColor="text1"/>
          <w:kern w:val="24"/>
          <w:sz w:val="24"/>
          <w:szCs w:val="24"/>
          <w:lang w:eastAsia="en-GB"/>
        </w:rPr>
        <w:t>Table D – Movement in Welsh Government Funding for COVID-19</w:t>
      </w:r>
    </w:p>
    <w:tbl>
      <w:tblPr>
        <w:tblW w:w="8614" w:type="dxa"/>
        <w:tblInd w:w="-5" w:type="dxa"/>
        <w:tblLayout w:type="fixed"/>
        <w:tblCellMar>
          <w:left w:w="0" w:type="dxa"/>
          <w:right w:w="0" w:type="dxa"/>
        </w:tblCellMar>
        <w:tblLook w:val="04A0" w:firstRow="1" w:lastRow="0" w:firstColumn="1" w:lastColumn="0" w:noHBand="0" w:noVBand="1"/>
      </w:tblPr>
      <w:tblGrid>
        <w:gridCol w:w="4820"/>
        <w:gridCol w:w="1101"/>
        <w:gridCol w:w="1276"/>
        <w:gridCol w:w="1417"/>
      </w:tblGrid>
      <w:tr w:rsidR="00402B6A" w:rsidRPr="00B701CE" w:rsidTr="00F219EB">
        <w:trPr>
          <w:trHeight w:val="485"/>
        </w:trPr>
        <w:tc>
          <w:tcPr>
            <w:tcW w:w="4820" w:type="dxa"/>
            <w:tcBorders>
              <w:top w:val="single" w:sz="4" w:space="0" w:color="auto"/>
              <w:left w:val="single" w:sz="4" w:space="0" w:color="auto"/>
              <w:bottom w:val="single" w:sz="4" w:space="0" w:color="auto"/>
              <w:right w:val="single" w:sz="4" w:space="0" w:color="auto"/>
            </w:tcBorders>
            <w:shd w:val="clear" w:color="auto" w:fill="365F91" w:themeFill="accent1" w:themeFillShade="BF"/>
            <w:tcMar>
              <w:top w:w="0" w:type="dxa"/>
              <w:left w:w="108" w:type="dxa"/>
              <w:bottom w:w="0" w:type="dxa"/>
              <w:right w:w="108" w:type="dxa"/>
            </w:tcMar>
            <w:vAlign w:val="bottom"/>
            <w:hideMark/>
          </w:tcPr>
          <w:p w:rsidR="00402B6A" w:rsidRPr="00B701CE" w:rsidRDefault="00402B6A" w:rsidP="00402B6A">
            <w:pPr>
              <w:spacing w:after="0" w:line="240" w:lineRule="auto"/>
              <w:rPr>
                <w:rFonts w:eastAsia="Times New Roman" w:cstheme="minorHAnsi"/>
                <w:b/>
                <w:bCs/>
                <w:color w:val="FFFFFF" w:themeColor="background1"/>
                <w:sz w:val="24"/>
                <w:szCs w:val="24"/>
                <w:lang w:eastAsia="en-GB"/>
              </w:rPr>
            </w:pPr>
            <w:r w:rsidRPr="00B701CE">
              <w:rPr>
                <w:rFonts w:eastAsia="Times New Roman" w:cstheme="minorHAnsi"/>
                <w:b/>
                <w:bCs/>
                <w:color w:val="FFFFFF" w:themeColor="background1"/>
                <w:sz w:val="24"/>
                <w:szCs w:val="24"/>
                <w:lang w:eastAsia="en-GB"/>
              </w:rPr>
              <w:t>COVID</w:t>
            </w:r>
            <w:r w:rsidR="00DC4A84" w:rsidRPr="00B701CE">
              <w:rPr>
                <w:rFonts w:eastAsia="Times New Roman" w:cstheme="minorHAnsi"/>
                <w:b/>
                <w:bCs/>
                <w:color w:val="FFFFFF" w:themeColor="background1"/>
                <w:sz w:val="24"/>
                <w:szCs w:val="24"/>
                <w:lang w:eastAsia="en-GB"/>
              </w:rPr>
              <w:t>-19</w:t>
            </w:r>
            <w:r w:rsidRPr="00B701CE">
              <w:rPr>
                <w:rFonts w:eastAsia="Times New Roman" w:cstheme="minorHAnsi"/>
                <w:b/>
                <w:bCs/>
                <w:color w:val="FFFFFF" w:themeColor="background1"/>
                <w:sz w:val="24"/>
                <w:szCs w:val="24"/>
                <w:lang w:eastAsia="en-GB"/>
              </w:rPr>
              <w:t xml:space="preserve"> Spend</w:t>
            </w:r>
          </w:p>
        </w:tc>
        <w:tc>
          <w:tcPr>
            <w:tcW w:w="1101" w:type="dxa"/>
            <w:tcBorders>
              <w:top w:val="single" w:sz="4" w:space="0" w:color="auto"/>
              <w:left w:val="single" w:sz="4" w:space="0" w:color="auto"/>
              <w:bottom w:val="single" w:sz="4" w:space="0" w:color="auto"/>
              <w:right w:val="single" w:sz="4" w:space="0" w:color="auto"/>
            </w:tcBorders>
            <w:shd w:val="clear" w:color="auto" w:fill="365F91" w:themeFill="accent1" w:themeFillShade="BF"/>
            <w:tcMar>
              <w:top w:w="0" w:type="dxa"/>
              <w:left w:w="108" w:type="dxa"/>
              <w:bottom w:w="0" w:type="dxa"/>
              <w:right w:w="108" w:type="dxa"/>
            </w:tcMar>
            <w:vAlign w:val="bottom"/>
            <w:hideMark/>
          </w:tcPr>
          <w:p w:rsidR="00402B6A" w:rsidRPr="00B701CE" w:rsidRDefault="00402B6A" w:rsidP="00F219EB">
            <w:pPr>
              <w:spacing w:after="0" w:line="240" w:lineRule="auto"/>
              <w:jc w:val="center"/>
              <w:rPr>
                <w:rFonts w:eastAsia="Times New Roman" w:cstheme="minorHAnsi"/>
                <w:b/>
                <w:bCs/>
                <w:color w:val="FFFFFF" w:themeColor="background1"/>
                <w:sz w:val="24"/>
                <w:szCs w:val="24"/>
                <w:lang w:eastAsia="en-GB"/>
              </w:rPr>
            </w:pPr>
            <w:r w:rsidRPr="00B701CE">
              <w:rPr>
                <w:rFonts w:eastAsia="Times New Roman" w:cstheme="minorHAnsi"/>
                <w:b/>
                <w:bCs/>
                <w:color w:val="FFFFFF" w:themeColor="background1"/>
                <w:sz w:val="24"/>
                <w:szCs w:val="24"/>
                <w:lang w:eastAsia="en-GB"/>
              </w:rPr>
              <w:t>Month 1 Plan £000</w:t>
            </w:r>
          </w:p>
        </w:tc>
        <w:tc>
          <w:tcPr>
            <w:tcW w:w="1276" w:type="dxa"/>
            <w:tcBorders>
              <w:top w:val="single" w:sz="4" w:space="0" w:color="auto"/>
              <w:left w:val="single" w:sz="4" w:space="0" w:color="auto"/>
              <w:bottom w:val="single" w:sz="4" w:space="0" w:color="auto"/>
              <w:right w:val="single" w:sz="4" w:space="0" w:color="auto"/>
            </w:tcBorders>
            <w:shd w:val="clear" w:color="auto" w:fill="365F91" w:themeFill="accent1" w:themeFillShade="BF"/>
            <w:tcMar>
              <w:top w:w="0" w:type="dxa"/>
              <w:left w:w="108" w:type="dxa"/>
              <w:bottom w:w="0" w:type="dxa"/>
              <w:right w:w="108" w:type="dxa"/>
            </w:tcMar>
            <w:vAlign w:val="bottom"/>
            <w:hideMark/>
          </w:tcPr>
          <w:p w:rsidR="00402B6A" w:rsidRPr="00B701CE" w:rsidRDefault="00402B6A" w:rsidP="00F52B2D">
            <w:pPr>
              <w:spacing w:after="0" w:line="240" w:lineRule="auto"/>
              <w:jc w:val="center"/>
              <w:rPr>
                <w:rFonts w:eastAsia="Times New Roman" w:cstheme="minorHAnsi"/>
                <w:b/>
                <w:bCs/>
                <w:color w:val="FFFFFF" w:themeColor="background1"/>
                <w:sz w:val="24"/>
                <w:szCs w:val="24"/>
                <w:lang w:eastAsia="en-GB"/>
              </w:rPr>
            </w:pPr>
            <w:r w:rsidRPr="00B701CE">
              <w:rPr>
                <w:rFonts w:eastAsia="Times New Roman" w:cstheme="minorHAnsi"/>
                <w:b/>
                <w:bCs/>
                <w:color w:val="FFFFFF" w:themeColor="background1"/>
                <w:sz w:val="24"/>
                <w:szCs w:val="24"/>
                <w:lang w:eastAsia="en-GB"/>
              </w:rPr>
              <w:t xml:space="preserve">Month </w:t>
            </w:r>
            <w:r w:rsidR="00F52B2D">
              <w:rPr>
                <w:rFonts w:eastAsia="Times New Roman" w:cstheme="minorHAnsi"/>
                <w:b/>
                <w:bCs/>
                <w:color w:val="FFFFFF" w:themeColor="background1"/>
                <w:sz w:val="24"/>
                <w:szCs w:val="24"/>
                <w:lang w:eastAsia="en-GB"/>
              </w:rPr>
              <w:t>9</w:t>
            </w:r>
            <w:r w:rsidRPr="00B701CE">
              <w:rPr>
                <w:rFonts w:eastAsia="Times New Roman" w:cstheme="minorHAnsi"/>
                <w:b/>
                <w:bCs/>
                <w:color w:val="FFFFFF" w:themeColor="background1"/>
                <w:sz w:val="24"/>
                <w:szCs w:val="24"/>
                <w:lang w:eastAsia="en-GB"/>
              </w:rPr>
              <w:t xml:space="preserve"> Forecast £000</w:t>
            </w:r>
          </w:p>
        </w:tc>
        <w:tc>
          <w:tcPr>
            <w:tcW w:w="1417" w:type="dxa"/>
            <w:tcBorders>
              <w:top w:val="single" w:sz="4" w:space="0" w:color="auto"/>
              <w:left w:val="single" w:sz="4" w:space="0" w:color="auto"/>
              <w:bottom w:val="single" w:sz="4" w:space="0" w:color="auto"/>
              <w:right w:val="single" w:sz="4" w:space="0" w:color="auto"/>
            </w:tcBorders>
            <w:shd w:val="clear" w:color="auto" w:fill="365F91" w:themeFill="accent1" w:themeFillShade="BF"/>
            <w:tcMar>
              <w:top w:w="0" w:type="dxa"/>
              <w:left w:w="108" w:type="dxa"/>
              <w:bottom w:w="0" w:type="dxa"/>
              <w:right w:w="108" w:type="dxa"/>
            </w:tcMar>
            <w:vAlign w:val="bottom"/>
            <w:hideMark/>
          </w:tcPr>
          <w:p w:rsidR="00402B6A" w:rsidRPr="00B701CE" w:rsidRDefault="00402B6A" w:rsidP="00F219EB">
            <w:pPr>
              <w:spacing w:after="0" w:line="240" w:lineRule="auto"/>
              <w:jc w:val="center"/>
              <w:rPr>
                <w:rFonts w:eastAsia="Times New Roman" w:cstheme="minorHAnsi"/>
                <w:b/>
                <w:bCs/>
                <w:color w:val="FFFFFF" w:themeColor="background1"/>
                <w:sz w:val="24"/>
                <w:szCs w:val="24"/>
                <w:lang w:eastAsia="en-GB"/>
              </w:rPr>
            </w:pPr>
            <w:r w:rsidRPr="00B701CE">
              <w:rPr>
                <w:rFonts w:eastAsia="Times New Roman" w:cstheme="minorHAnsi"/>
                <w:b/>
                <w:bCs/>
                <w:color w:val="FFFFFF" w:themeColor="background1"/>
                <w:sz w:val="24"/>
                <w:szCs w:val="24"/>
                <w:lang w:eastAsia="en-GB"/>
              </w:rPr>
              <w:t>Movement £000</w:t>
            </w:r>
          </w:p>
        </w:tc>
      </w:tr>
      <w:tr w:rsidR="00B4482D" w:rsidRPr="00B701CE" w:rsidTr="00F219EB">
        <w:trPr>
          <w:trHeight w:val="242"/>
        </w:trPr>
        <w:tc>
          <w:tcPr>
            <w:tcW w:w="4820" w:type="dxa"/>
            <w:tcBorders>
              <w:top w:val="single" w:sz="4" w:space="0" w:color="auto"/>
              <w:left w:val="single" w:sz="4" w:space="0" w:color="auto"/>
              <w:right w:val="single" w:sz="4" w:space="0" w:color="auto"/>
            </w:tcBorders>
            <w:noWrap/>
            <w:tcMar>
              <w:top w:w="0" w:type="dxa"/>
              <w:left w:w="108" w:type="dxa"/>
              <w:bottom w:w="0" w:type="dxa"/>
              <w:right w:w="108" w:type="dxa"/>
            </w:tcMar>
            <w:vAlign w:val="bottom"/>
            <w:hideMark/>
          </w:tcPr>
          <w:p w:rsidR="00B4482D" w:rsidRPr="00B701CE" w:rsidRDefault="00B4482D" w:rsidP="00B4482D">
            <w:pPr>
              <w:spacing w:after="0" w:line="240" w:lineRule="auto"/>
              <w:rPr>
                <w:rFonts w:eastAsia="Times New Roman" w:cstheme="minorHAnsi"/>
                <w:color w:val="000000"/>
                <w:sz w:val="24"/>
                <w:szCs w:val="24"/>
                <w:lang w:eastAsia="en-GB"/>
              </w:rPr>
            </w:pPr>
            <w:r w:rsidRPr="00B701CE">
              <w:rPr>
                <w:rFonts w:cstheme="minorHAnsi"/>
                <w:color w:val="000000"/>
                <w:sz w:val="24"/>
                <w:szCs w:val="24"/>
              </w:rPr>
              <w:t>Testing</w:t>
            </w:r>
          </w:p>
        </w:tc>
        <w:tc>
          <w:tcPr>
            <w:tcW w:w="1101" w:type="dxa"/>
            <w:tcBorders>
              <w:top w:val="single" w:sz="4" w:space="0" w:color="auto"/>
              <w:left w:val="single" w:sz="4" w:space="0" w:color="auto"/>
              <w:right w:val="single" w:sz="4" w:space="0" w:color="auto"/>
            </w:tcBorders>
            <w:noWrap/>
            <w:tcMar>
              <w:top w:w="0" w:type="dxa"/>
              <w:left w:w="108" w:type="dxa"/>
              <w:bottom w:w="0" w:type="dxa"/>
              <w:right w:w="108" w:type="dxa"/>
            </w:tcMar>
            <w:vAlign w:val="bottom"/>
            <w:hideMark/>
          </w:tcPr>
          <w:p w:rsidR="00B4482D" w:rsidRPr="00B701CE" w:rsidRDefault="00B4482D" w:rsidP="00B4482D">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single" w:sz="4" w:space="0" w:color="auto"/>
              <w:right w:val="single" w:sz="4" w:space="0" w:color="auto"/>
            </w:tcBorders>
            <w:shd w:val="clear" w:color="auto" w:fill="auto"/>
            <w:noWrap/>
            <w:tcMar>
              <w:top w:w="0" w:type="dxa"/>
              <w:left w:w="108" w:type="dxa"/>
              <w:bottom w:w="0" w:type="dxa"/>
              <w:right w:w="108" w:type="dxa"/>
            </w:tcMar>
            <w:vAlign w:val="bottom"/>
            <w:hideMark/>
          </w:tcPr>
          <w:p w:rsidR="00B4482D" w:rsidRPr="00B701CE" w:rsidRDefault="00B4482D" w:rsidP="00B4482D">
            <w:pPr>
              <w:spacing w:after="0" w:line="240" w:lineRule="auto"/>
              <w:jc w:val="right"/>
              <w:rPr>
                <w:rFonts w:eastAsia="Times New Roman" w:cstheme="minorHAnsi"/>
                <w:color w:val="000000"/>
                <w:sz w:val="24"/>
                <w:szCs w:val="24"/>
                <w:lang w:eastAsia="en-GB"/>
              </w:rPr>
            </w:pPr>
          </w:p>
        </w:tc>
        <w:tc>
          <w:tcPr>
            <w:tcW w:w="1417" w:type="dxa"/>
            <w:tcBorders>
              <w:top w:val="single" w:sz="4" w:space="0" w:color="auto"/>
              <w:left w:val="single" w:sz="4" w:space="0" w:color="auto"/>
              <w:right w:val="single" w:sz="4" w:space="0" w:color="auto"/>
            </w:tcBorders>
            <w:shd w:val="clear" w:color="auto" w:fill="auto"/>
            <w:noWrap/>
            <w:tcMar>
              <w:top w:w="0" w:type="dxa"/>
              <w:left w:w="108" w:type="dxa"/>
              <w:bottom w:w="0" w:type="dxa"/>
              <w:right w:w="108" w:type="dxa"/>
            </w:tcMar>
            <w:vAlign w:val="bottom"/>
            <w:hideMark/>
          </w:tcPr>
          <w:p w:rsidR="00B4482D" w:rsidRPr="00B701CE" w:rsidRDefault="00B4482D" w:rsidP="00B4482D">
            <w:pPr>
              <w:spacing w:after="0" w:line="240" w:lineRule="auto"/>
              <w:jc w:val="right"/>
              <w:rPr>
                <w:rFonts w:eastAsia="Times New Roman" w:cstheme="minorHAnsi"/>
                <w:color w:val="000000"/>
                <w:sz w:val="24"/>
                <w:szCs w:val="24"/>
                <w:lang w:eastAsia="en-GB"/>
              </w:rPr>
            </w:pPr>
          </w:p>
        </w:tc>
      </w:tr>
      <w:tr w:rsidR="00632C72" w:rsidRPr="00B701CE"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tcPr>
          <w:p w:rsidR="00632C72" w:rsidRPr="00B701CE" w:rsidRDefault="00632C72" w:rsidP="00632C72">
            <w:pPr>
              <w:spacing w:after="0" w:line="240" w:lineRule="auto"/>
              <w:rPr>
                <w:rFonts w:eastAsia="Times New Roman" w:cstheme="minorHAnsi"/>
                <w:color w:val="000000"/>
                <w:sz w:val="24"/>
                <w:szCs w:val="24"/>
                <w:lang w:eastAsia="en-GB"/>
              </w:rPr>
            </w:pPr>
            <w:r w:rsidRPr="00B701CE">
              <w:rPr>
                <w:rFonts w:cstheme="minorHAnsi"/>
                <w:color w:val="000000"/>
                <w:sz w:val="24"/>
                <w:szCs w:val="24"/>
              </w:rPr>
              <w:t xml:space="preserve">   COVID-19</w:t>
            </w:r>
            <w:r>
              <w:rPr>
                <w:rFonts w:cstheme="minorHAnsi"/>
                <w:color w:val="000000"/>
                <w:sz w:val="24"/>
                <w:szCs w:val="24"/>
              </w:rPr>
              <w:t xml:space="preserve"> Laboratory Testing</w:t>
            </w:r>
          </w:p>
        </w:tc>
        <w:tc>
          <w:tcPr>
            <w:tcW w:w="1101" w:type="dxa"/>
            <w:tcBorders>
              <w:left w:val="single" w:sz="4" w:space="0" w:color="auto"/>
              <w:right w:val="single" w:sz="4" w:space="0" w:color="auto"/>
            </w:tcBorders>
            <w:noWrap/>
            <w:tcMar>
              <w:top w:w="0" w:type="dxa"/>
              <w:left w:w="108" w:type="dxa"/>
              <w:bottom w:w="0" w:type="dxa"/>
              <w:right w:w="108" w:type="dxa"/>
            </w:tcMar>
            <w:vAlign w:val="bottom"/>
          </w:tcPr>
          <w:p w:rsidR="00632C72" w:rsidRPr="00632C72" w:rsidRDefault="00632C72" w:rsidP="00632C72">
            <w:pPr>
              <w:spacing w:after="0" w:line="240" w:lineRule="auto"/>
              <w:jc w:val="right"/>
              <w:rPr>
                <w:rFonts w:eastAsia="Times New Roman" w:cstheme="minorHAnsi"/>
                <w:color w:val="000000"/>
                <w:sz w:val="24"/>
                <w:szCs w:val="24"/>
                <w:lang w:eastAsia="en-GB"/>
              </w:rPr>
            </w:pPr>
            <w:r w:rsidRPr="00632C72">
              <w:rPr>
                <w:color w:val="000000"/>
              </w:rPr>
              <w:t>30,381</w:t>
            </w:r>
          </w:p>
        </w:tc>
        <w:tc>
          <w:tcPr>
            <w:tcW w:w="1276" w:type="dxa"/>
            <w:tcBorders>
              <w:left w:val="single" w:sz="4" w:space="0" w:color="auto"/>
              <w:right w:val="single" w:sz="4" w:space="0" w:color="auto"/>
            </w:tcBorders>
            <w:shd w:val="clear" w:color="auto" w:fill="auto"/>
            <w:noWrap/>
            <w:tcMar>
              <w:top w:w="0" w:type="dxa"/>
              <w:left w:w="108" w:type="dxa"/>
              <w:bottom w:w="0" w:type="dxa"/>
              <w:right w:w="108" w:type="dxa"/>
            </w:tcMar>
            <w:vAlign w:val="bottom"/>
          </w:tcPr>
          <w:p w:rsidR="00632C72" w:rsidRPr="00594EF7" w:rsidRDefault="00632C72" w:rsidP="00632C72">
            <w:pPr>
              <w:spacing w:after="0" w:line="240" w:lineRule="auto"/>
              <w:jc w:val="right"/>
              <w:rPr>
                <w:color w:val="000000"/>
              </w:rPr>
            </w:pPr>
            <w:r w:rsidRPr="00594EF7">
              <w:rPr>
                <w:color w:val="000000"/>
              </w:rPr>
              <w:t>1</w:t>
            </w:r>
            <w:r>
              <w:rPr>
                <w:color w:val="000000"/>
              </w:rPr>
              <w:t>3</w:t>
            </w:r>
            <w:r w:rsidRPr="00594EF7">
              <w:rPr>
                <w:color w:val="000000"/>
              </w:rPr>
              <w:t>,</w:t>
            </w:r>
            <w:r>
              <w:rPr>
                <w:color w:val="000000"/>
              </w:rPr>
              <w:t>703</w:t>
            </w:r>
          </w:p>
        </w:tc>
        <w:tc>
          <w:tcPr>
            <w:tcW w:w="1417" w:type="dxa"/>
            <w:tcBorders>
              <w:left w:val="single" w:sz="4" w:space="0" w:color="auto"/>
              <w:right w:val="single" w:sz="4" w:space="0" w:color="auto"/>
            </w:tcBorders>
            <w:shd w:val="clear" w:color="auto" w:fill="auto"/>
            <w:noWrap/>
            <w:tcMar>
              <w:top w:w="0" w:type="dxa"/>
              <w:left w:w="108" w:type="dxa"/>
              <w:bottom w:w="0" w:type="dxa"/>
              <w:right w:w="108" w:type="dxa"/>
            </w:tcMar>
            <w:vAlign w:val="bottom"/>
          </w:tcPr>
          <w:p w:rsidR="00632C72" w:rsidRPr="00594EF7" w:rsidRDefault="00632C72" w:rsidP="00632C72">
            <w:pPr>
              <w:spacing w:after="0" w:line="240" w:lineRule="auto"/>
              <w:jc w:val="right"/>
              <w:rPr>
                <w:color w:val="000000"/>
              </w:rPr>
            </w:pPr>
            <w:r w:rsidRPr="00594EF7">
              <w:rPr>
                <w:color w:val="000000"/>
              </w:rPr>
              <w:t>-1</w:t>
            </w:r>
            <w:r>
              <w:rPr>
                <w:color w:val="000000"/>
              </w:rPr>
              <w:t>6</w:t>
            </w:r>
            <w:r w:rsidRPr="00594EF7">
              <w:rPr>
                <w:color w:val="000000"/>
              </w:rPr>
              <w:t>,</w:t>
            </w:r>
            <w:r>
              <w:rPr>
                <w:color w:val="000000"/>
              </w:rPr>
              <w:t>678</w:t>
            </w:r>
          </w:p>
        </w:tc>
      </w:tr>
      <w:tr w:rsidR="00632C72" w:rsidRPr="00B701CE"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tcPr>
          <w:p w:rsidR="00632C72" w:rsidRPr="00B701CE" w:rsidRDefault="00632C72" w:rsidP="00632C72">
            <w:pPr>
              <w:spacing w:after="0" w:line="240" w:lineRule="auto"/>
              <w:rPr>
                <w:rFonts w:eastAsia="Times New Roman" w:cstheme="minorHAnsi"/>
                <w:color w:val="000000"/>
                <w:sz w:val="24"/>
                <w:szCs w:val="24"/>
                <w:lang w:eastAsia="en-GB"/>
              </w:rPr>
            </w:pPr>
            <w:r w:rsidRPr="00B701CE">
              <w:rPr>
                <w:rFonts w:cstheme="minorHAnsi"/>
                <w:color w:val="000000"/>
                <w:sz w:val="24"/>
                <w:szCs w:val="24"/>
              </w:rPr>
              <w:t xml:space="preserve">   Non COVID Rapid Testing &amp; Maintenance</w:t>
            </w:r>
          </w:p>
        </w:tc>
        <w:tc>
          <w:tcPr>
            <w:tcW w:w="1101" w:type="dxa"/>
            <w:tcBorders>
              <w:left w:val="single" w:sz="4" w:space="0" w:color="auto"/>
              <w:right w:val="single" w:sz="4" w:space="0" w:color="auto"/>
            </w:tcBorders>
            <w:noWrap/>
            <w:tcMar>
              <w:top w:w="0" w:type="dxa"/>
              <w:left w:w="108" w:type="dxa"/>
              <w:bottom w:w="0" w:type="dxa"/>
              <w:right w:w="108" w:type="dxa"/>
            </w:tcMar>
            <w:vAlign w:val="bottom"/>
          </w:tcPr>
          <w:p w:rsidR="00632C72" w:rsidRPr="00632C72" w:rsidRDefault="00632C72" w:rsidP="00632C72">
            <w:pPr>
              <w:spacing w:after="0" w:line="240" w:lineRule="auto"/>
              <w:jc w:val="right"/>
              <w:rPr>
                <w:rFonts w:eastAsia="Times New Roman" w:cstheme="minorHAnsi"/>
                <w:color w:val="000000"/>
                <w:sz w:val="24"/>
                <w:szCs w:val="24"/>
                <w:lang w:eastAsia="en-GB"/>
              </w:rPr>
            </w:pPr>
            <w:r w:rsidRPr="00632C72">
              <w:rPr>
                <w:color w:val="000000"/>
              </w:rPr>
              <w:t>7,509</w:t>
            </w:r>
          </w:p>
        </w:tc>
        <w:tc>
          <w:tcPr>
            <w:tcW w:w="1276" w:type="dxa"/>
            <w:tcBorders>
              <w:left w:val="single" w:sz="4" w:space="0" w:color="auto"/>
              <w:right w:val="single" w:sz="4" w:space="0" w:color="auto"/>
            </w:tcBorders>
            <w:shd w:val="clear" w:color="auto" w:fill="auto"/>
            <w:noWrap/>
            <w:tcMar>
              <w:top w:w="0" w:type="dxa"/>
              <w:left w:w="108" w:type="dxa"/>
              <w:bottom w:w="0" w:type="dxa"/>
              <w:right w:w="108" w:type="dxa"/>
            </w:tcMar>
            <w:vAlign w:val="bottom"/>
          </w:tcPr>
          <w:p w:rsidR="00632C72" w:rsidRPr="00594EF7" w:rsidRDefault="00632C72" w:rsidP="00632C72">
            <w:pPr>
              <w:spacing w:after="0" w:line="240" w:lineRule="auto"/>
              <w:jc w:val="right"/>
              <w:rPr>
                <w:color w:val="000000"/>
              </w:rPr>
            </w:pPr>
            <w:r w:rsidRPr="00594EF7">
              <w:rPr>
                <w:color w:val="000000"/>
              </w:rPr>
              <w:t>1,4</w:t>
            </w:r>
            <w:r>
              <w:rPr>
                <w:color w:val="000000"/>
              </w:rPr>
              <w:t>45</w:t>
            </w:r>
          </w:p>
        </w:tc>
        <w:tc>
          <w:tcPr>
            <w:tcW w:w="1417" w:type="dxa"/>
            <w:tcBorders>
              <w:left w:val="single" w:sz="4" w:space="0" w:color="auto"/>
              <w:right w:val="single" w:sz="4" w:space="0" w:color="auto"/>
            </w:tcBorders>
            <w:shd w:val="clear" w:color="auto" w:fill="auto"/>
            <w:noWrap/>
            <w:tcMar>
              <w:top w:w="0" w:type="dxa"/>
              <w:left w:w="108" w:type="dxa"/>
              <w:bottom w:w="0" w:type="dxa"/>
              <w:right w:w="108" w:type="dxa"/>
            </w:tcMar>
            <w:vAlign w:val="bottom"/>
          </w:tcPr>
          <w:p w:rsidR="00632C72" w:rsidRPr="00594EF7" w:rsidRDefault="00632C72" w:rsidP="00632C72">
            <w:pPr>
              <w:spacing w:after="0" w:line="240" w:lineRule="auto"/>
              <w:jc w:val="right"/>
              <w:rPr>
                <w:color w:val="000000"/>
              </w:rPr>
            </w:pPr>
            <w:r w:rsidRPr="00594EF7">
              <w:rPr>
                <w:color w:val="000000"/>
              </w:rPr>
              <w:t>-6,0</w:t>
            </w:r>
            <w:r>
              <w:rPr>
                <w:color w:val="000000"/>
              </w:rPr>
              <w:t>64</w:t>
            </w:r>
          </w:p>
        </w:tc>
      </w:tr>
      <w:tr w:rsidR="00632C72" w:rsidRPr="00B701CE"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tcPr>
          <w:p w:rsidR="00632C72" w:rsidRPr="00B701CE" w:rsidRDefault="00632C72" w:rsidP="00632C72">
            <w:pPr>
              <w:spacing w:after="0" w:line="240" w:lineRule="auto"/>
              <w:rPr>
                <w:rFonts w:eastAsia="Times New Roman" w:cstheme="minorHAnsi"/>
                <w:color w:val="000000"/>
                <w:sz w:val="24"/>
                <w:szCs w:val="24"/>
                <w:lang w:eastAsia="en-GB"/>
              </w:rPr>
            </w:pPr>
            <w:r w:rsidRPr="00B701CE">
              <w:rPr>
                <w:rFonts w:cstheme="minorHAnsi"/>
                <w:color w:val="000000"/>
                <w:sz w:val="24"/>
                <w:szCs w:val="24"/>
              </w:rPr>
              <w:t xml:space="preserve">   Genomics Sequencing for COVID-19</w:t>
            </w:r>
          </w:p>
        </w:tc>
        <w:tc>
          <w:tcPr>
            <w:tcW w:w="1101" w:type="dxa"/>
            <w:tcBorders>
              <w:left w:val="single" w:sz="4" w:space="0" w:color="auto"/>
              <w:bottom w:val="single" w:sz="4" w:space="0" w:color="auto"/>
              <w:right w:val="single" w:sz="4" w:space="0" w:color="auto"/>
            </w:tcBorders>
            <w:noWrap/>
            <w:tcMar>
              <w:top w:w="0" w:type="dxa"/>
              <w:left w:w="108" w:type="dxa"/>
              <w:bottom w:w="0" w:type="dxa"/>
              <w:right w:w="108" w:type="dxa"/>
            </w:tcMar>
            <w:vAlign w:val="bottom"/>
          </w:tcPr>
          <w:p w:rsidR="00632C72" w:rsidRPr="00632C72" w:rsidRDefault="00632C72" w:rsidP="00632C72">
            <w:pPr>
              <w:spacing w:after="0" w:line="240" w:lineRule="auto"/>
              <w:jc w:val="right"/>
              <w:rPr>
                <w:rFonts w:eastAsia="Times New Roman" w:cstheme="minorHAnsi"/>
                <w:color w:val="000000"/>
                <w:sz w:val="24"/>
                <w:szCs w:val="24"/>
                <w:lang w:eastAsia="en-GB"/>
              </w:rPr>
            </w:pPr>
            <w:r w:rsidRPr="00632C72">
              <w:rPr>
                <w:color w:val="000000"/>
              </w:rPr>
              <w:t>8,502</w:t>
            </w:r>
          </w:p>
        </w:tc>
        <w:tc>
          <w:tcPr>
            <w:tcW w:w="1276" w:type="dxa"/>
            <w:tcBorders>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32C72" w:rsidRPr="00594EF7" w:rsidRDefault="00632C72" w:rsidP="00632C72">
            <w:pPr>
              <w:spacing w:after="0" w:line="240" w:lineRule="auto"/>
              <w:jc w:val="right"/>
              <w:rPr>
                <w:color w:val="000000"/>
              </w:rPr>
            </w:pPr>
            <w:r>
              <w:rPr>
                <w:color w:val="000000"/>
              </w:rPr>
              <w:t>952</w:t>
            </w:r>
          </w:p>
        </w:tc>
        <w:tc>
          <w:tcPr>
            <w:tcW w:w="1417" w:type="dxa"/>
            <w:tcBorders>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32C72" w:rsidRPr="00594EF7" w:rsidRDefault="00632C72" w:rsidP="00632C72">
            <w:pPr>
              <w:spacing w:after="0" w:line="240" w:lineRule="auto"/>
              <w:jc w:val="right"/>
              <w:rPr>
                <w:color w:val="000000"/>
              </w:rPr>
            </w:pPr>
            <w:r w:rsidRPr="00594EF7">
              <w:rPr>
                <w:color w:val="000000"/>
              </w:rPr>
              <w:t>-7,5</w:t>
            </w:r>
            <w:r>
              <w:rPr>
                <w:color w:val="000000"/>
              </w:rPr>
              <w:t>5</w:t>
            </w:r>
            <w:r w:rsidRPr="00594EF7">
              <w:rPr>
                <w:color w:val="000000"/>
              </w:rPr>
              <w:t>0</w:t>
            </w:r>
          </w:p>
        </w:tc>
      </w:tr>
      <w:tr w:rsidR="00632C72" w:rsidRPr="00B701CE"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tcPr>
          <w:p w:rsidR="00632C72" w:rsidRPr="00B701CE" w:rsidRDefault="00632C72" w:rsidP="00632C72">
            <w:pPr>
              <w:spacing w:after="0" w:line="240" w:lineRule="auto"/>
              <w:rPr>
                <w:rFonts w:eastAsia="Times New Roman" w:cstheme="minorHAnsi"/>
                <w:color w:val="000000"/>
                <w:sz w:val="24"/>
                <w:szCs w:val="24"/>
                <w:lang w:eastAsia="en-GB"/>
              </w:rPr>
            </w:pPr>
            <w:r w:rsidRPr="00B701CE">
              <w:rPr>
                <w:rFonts w:cstheme="minorHAnsi"/>
                <w:color w:val="000000"/>
                <w:sz w:val="24"/>
                <w:szCs w:val="24"/>
              </w:rPr>
              <w:t>Testing TOTAL</w:t>
            </w:r>
          </w:p>
        </w:tc>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32C72" w:rsidRPr="00632C72" w:rsidRDefault="00632C72" w:rsidP="00632C72">
            <w:pPr>
              <w:spacing w:after="0" w:line="240" w:lineRule="auto"/>
              <w:jc w:val="right"/>
              <w:rPr>
                <w:rFonts w:eastAsia="Times New Roman" w:cstheme="minorHAnsi"/>
                <w:color w:val="000000"/>
                <w:sz w:val="24"/>
                <w:szCs w:val="24"/>
                <w:lang w:eastAsia="en-GB"/>
              </w:rPr>
            </w:pPr>
            <w:r w:rsidRPr="00632C72">
              <w:rPr>
                <w:color w:val="000000"/>
              </w:rPr>
              <w:t>46,392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32C72" w:rsidRPr="00594EF7" w:rsidRDefault="00632C72" w:rsidP="00632C72">
            <w:pPr>
              <w:spacing w:after="0" w:line="240" w:lineRule="auto"/>
              <w:jc w:val="right"/>
              <w:rPr>
                <w:color w:val="000000"/>
              </w:rPr>
            </w:pPr>
            <w:r w:rsidRPr="00594EF7">
              <w:rPr>
                <w:color w:val="000000"/>
              </w:rPr>
              <w:t>1</w:t>
            </w:r>
            <w:r>
              <w:rPr>
                <w:color w:val="000000"/>
              </w:rPr>
              <w:t>6</w:t>
            </w:r>
            <w:r w:rsidRPr="00594EF7">
              <w:rPr>
                <w:color w:val="000000"/>
              </w:rPr>
              <w:t>,</w:t>
            </w:r>
            <w:r>
              <w:rPr>
                <w:color w:val="00000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32C72" w:rsidRPr="00594EF7" w:rsidRDefault="00632C72" w:rsidP="00632C72">
            <w:pPr>
              <w:spacing w:after="0" w:line="240" w:lineRule="auto"/>
              <w:jc w:val="right"/>
              <w:rPr>
                <w:color w:val="000000"/>
              </w:rPr>
            </w:pPr>
            <w:r w:rsidRPr="00594EF7">
              <w:rPr>
                <w:color w:val="000000"/>
              </w:rPr>
              <w:t>-</w:t>
            </w:r>
            <w:r>
              <w:rPr>
                <w:color w:val="000000"/>
              </w:rPr>
              <w:t>30</w:t>
            </w:r>
            <w:r w:rsidRPr="00594EF7">
              <w:rPr>
                <w:color w:val="000000"/>
              </w:rPr>
              <w:t>,</w:t>
            </w:r>
            <w:r>
              <w:rPr>
                <w:color w:val="000000"/>
              </w:rPr>
              <w:t>292</w:t>
            </w:r>
          </w:p>
        </w:tc>
      </w:tr>
      <w:tr w:rsidR="00632C72" w:rsidRPr="00B701CE"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tcPr>
          <w:p w:rsidR="00632C72" w:rsidRPr="00B701CE" w:rsidRDefault="00632C72" w:rsidP="00632C72">
            <w:pPr>
              <w:spacing w:after="0" w:line="240" w:lineRule="auto"/>
              <w:rPr>
                <w:rFonts w:eastAsia="Times New Roman" w:cstheme="minorHAnsi"/>
                <w:color w:val="000000"/>
                <w:sz w:val="24"/>
                <w:szCs w:val="24"/>
                <w:lang w:eastAsia="en-GB"/>
              </w:rPr>
            </w:pPr>
          </w:p>
        </w:tc>
        <w:tc>
          <w:tcPr>
            <w:tcW w:w="1101" w:type="dxa"/>
            <w:tcBorders>
              <w:top w:val="single" w:sz="4" w:space="0" w:color="auto"/>
              <w:left w:val="single" w:sz="4" w:space="0" w:color="auto"/>
              <w:right w:val="single" w:sz="4" w:space="0" w:color="auto"/>
            </w:tcBorders>
            <w:noWrap/>
            <w:tcMar>
              <w:top w:w="0" w:type="dxa"/>
              <w:left w:w="108" w:type="dxa"/>
              <w:bottom w:w="0" w:type="dxa"/>
              <w:right w:w="108" w:type="dxa"/>
            </w:tcMar>
            <w:vAlign w:val="bottom"/>
          </w:tcPr>
          <w:p w:rsidR="00632C72" w:rsidRPr="00632C72" w:rsidRDefault="00632C72" w:rsidP="00632C72">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single" w:sz="4" w:space="0" w:color="auto"/>
              <w:right w:val="single" w:sz="4" w:space="0" w:color="auto"/>
            </w:tcBorders>
            <w:shd w:val="clear" w:color="auto" w:fill="auto"/>
            <w:noWrap/>
            <w:tcMar>
              <w:top w:w="0" w:type="dxa"/>
              <w:left w:w="108" w:type="dxa"/>
              <w:bottom w:w="0" w:type="dxa"/>
              <w:right w:w="108" w:type="dxa"/>
            </w:tcMar>
            <w:vAlign w:val="bottom"/>
          </w:tcPr>
          <w:p w:rsidR="00632C72" w:rsidRPr="00594EF7" w:rsidRDefault="00632C72" w:rsidP="00632C72">
            <w:pPr>
              <w:spacing w:after="0" w:line="240" w:lineRule="auto"/>
              <w:jc w:val="right"/>
              <w:rPr>
                <w:color w:val="000000"/>
              </w:rPr>
            </w:pPr>
          </w:p>
        </w:tc>
        <w:tc>
          <w:tcPr>
            <w:tcW w:w="1417" w:type="dxa"/>
            <w:tcBorders>
              <w:top w:val="single" w:sz="4" w:space="0" w:color="auto"/>
              <w:left w:val="single" w:sz="4" w:space="0" w:color="auto"/>
              <w:right w:val="single" w:sz="4" w:space="0" w:color="auto"/>
            </w:tcBorders>
            <w:shd w:val="clear" w:color="auto" w:fill="auto"/>
            <w:noWrap/>
            <w:tcMar>
              <w:top w:w="0" w:type="dxa"/>
              <w:left w:w="108" w:type="dxa"/>
              <w:bottom w:w="0" w:type="dxa"/>
              <w:right w:w="108" w:type="dxa"/>
            </w:tcMar>
            <w:vAlign w:val="bottom"/>
          </w:tcPr>
          <w:p w:rsidR="00632C72" w:rsidRPr="00594EF7" w:rsidRDefault="00632C72" w:rsidP="00632C72">
            <w:pPr>
              <w:spacing w:after="0" w:line="240" w:lineRule="auto"/>
              <w:jc w:val="right"/>
              <w:rPr>
                <w:color w:val="000000"/>
              </w:rPr>
            </w:pPr>
          </w:p>
        </w:tc>
      </w:tr>
      <w:tr w:rsidR="00632C72" w:rsidRPr="00B701CE"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hideMark/>
          </w:tcPr>
          <w:p w:rsidR="00632C72" w:rsidRPr="00B701CE" w:rsidRDefault="00632C72" w:rsidP="00632C72">
            <w:pPr>
              <w:spacing w:after="0" w:line="240" w:lineRule="auto"/>
              <w:rPr>
                <w:rFonts w:eastAsia="Times New Roman" w:cstheme="minorHAnsi"/>
                <w:color w:val="000000"/>
                <w:sz w:val="24"/>
                <w:szCs w:val="24"/>
                <w:lang w:eastAsia="en-GB"/>
              </w:rPr>
            </w:pPr>
            <w:r w:rsidRPr="00B701CE">
              <w:rPr>
                <w:rFonts w:eastAsia="Times New Roman" w:cstheme="minorHAnsi"/>
                <w:color w:val="000000"/>
                <w:sz w:val="24"/>
                <w:szCs w:val="24"/>
                <w:lang w:eastAsia="en-GB"/>
              </w:rPr>
              <w:t xml:space="preserve">TTP </w:t>
            </w:r>
            <w:r>
              <w:rPr>
                <w:rFonts w:eastAsia="Times New Roman" w:cstheme="minorHAnsi"/>
                <w:color w:val="000000"/>
                <w:sz w:val="24"/>
                <w:szCs w:val="24"/>
                <w:lang w:eastAsia="en-GB"/>
              </w:rPr>
              <w:t>Contact Tracing</w:t>
            </w:r>
          </w:p>
        </w:tc>
        <w:tc>
          <w:tcPr>
            <w:tcW w:w="1101" w:type="dxa"/>
            <w:tcBorders>
              <w:left w:val="single" w:sz="4" w:space="0" w:color="auto"/>
              <w:right w:val="single" w:sz="4" w:space="0" w:color="auto"/>
            </w:tcBorders>
            <w:noWrap/>
            <w:tcMar>
              <w:top w:w="0" w:type="dxa"/>
              <w:left w:w="108" w:type="dxa"/>
              <w:bottom w:w="0" w:type="dxa"/>
              <w:right w:w="108" w:type="dxa"/>
            </w:tcMar>
            <w:vAlign w:val="bottom"/>
            <w:hideMark/>
          </w:tcPr>
          <w:p w:rsidR="00632C72" w:rsidRPr="00632C72" w:rsidRDefault="00632C72" w:rsidP="00632C72">
            <w:pPr>
              <w:spacing w:after="0" w:line="240" w:lineRule="auto"/>
              <w:jc w:val="right"/>
              <w:rPr>
                <w:rFonts w:eastAsia="Times New Roman" w:cstheme="minorHAnsi"/>
                <w:color w:val="000000"/>
                <w:sz w:val="24"/>
                <w:szCs w:val="24"/>
                <w:lang w:eastAsia="en-GB"/>
              </w:rPr>
            </w:pPr>
            <w:r w:rsidRPr="00632C72">
              <w:rPr>
                <w:color w:val="000000"/>
              </w:rPr>
              <w:t xml:space="preserve">342 </w:t>
            </w:r>
          </w:p>
        </w:tc>
        <w:tc>
          <w:tcPr>
            <w:tcW w:w="1276" w:type="dxa"/>
            <w:tcBorders>
              <w:left w:val="single" w:sz="4" w:space="0" w:color="auto"/>
              <w:right w:val="single" w:sz="4" w:space="0" w:color="auto"/>
            </w:tcBorders>
            <w:shd w:val="clear" w:color="auto" w:fill="auto"/>
            <w:noWrap/>
            <w:tcMar>
              <w:top w:w="0" w:type="dxa"/>
              <w:left w:w="108" w:type="dxa"/>
              <w:bottom w:w="0" w:type="dxa"/>
              <w:right w:w="108" w:type="dxa"/>
            </w:tcMar>
            <w:vAlign w:val="bottom"/>
            <w:hideMark/>
          </w:tcPr>
          <w:p w:rsidR="00632C72" w:rsidRPr="00594EF7" w:rsidRDefault="00632C72" w:rsidP="00632C72">
            <w:pPr>
              <w:spacing w:after="0" w:line="240" w:lineRule="auto"/>
              <w:jc w:val="right"/>
              <w:rPr>
                <w:color w:val="000000"/>
              </w:rPr>
            </w:pPr>
            <w:r w:rsidRPr="00594EF7">
              <w:rPr>
                <w:color w:val="000000"/>
              </w:rPr>
              <w:t>6</w:t>
            </w:r>
            <w:r>
              <w:rPr>
                <w:color w:val="000000"/>
              </w:rPr>
              <w:t>35</w:t>
            </w:r>
          </w:p>
        </w:tc>
        <w:tc>
          <w:tcPr>
            <w:tcW w:w="1417" w:type="dxa"/>
            <w:tcBorders>
              <w:left w:val="single" w:sz="4" w:space="0" w:color="auto"/>
              <w:right w:val="single" w:sz="4" w:space="0" w:color="auto"/>
            </w:tcBorders>
            <w:shd w:val="clear" w:color="auto" w:fill="auto"/>
            <w:noWrap/>
            <w:tcMar>
              <w:top w:w="0" w:type="dxa"/>
              <w:left w:w="108" w:type="dxa"/>
              <w:bottom w:w="0" w:type="dxa"/>
              <w:right w:w="108" w:type="dxa"/>
            </w:tcMar>
            <w:vAlign w:val="bottom"/>
            <w:hideMark/>
          </w:tcPr>
          <w:p w:rsidR="00632C72" w:rsidRPr="00594EF7" w:rsidRDefault="00632C72" w:rsidP="00632C72">
            <w:pPr>
              <w:spacing w:after="0" w:line="240" w:lineRule="auto"/>
              <w:jc w:val="right"/>
              <w:rPr>
                <w:color w:val="000000"/>
              </w:rPr>
            </w:pPr>
            <w:r w:rsidRPr="00594EF7">
              <w:rPr>
                <w:color w:val="000000"/>
              </w:rPr>
              <w:t>+</w:t>
            </w:r>
            <w:r>
              <w:rPr>
                <w:color w:val="000000"/>
              </w:rPr>
              <w:t>293</w:t>
            </w:r>
            <w:r w:rsidRPr="00594EF7">
              <w:rPr>
                <w:color w:val="000000"/>
              </w:rPr>
              <w:t xml:space="preserve"> </w:t>
            </w:r>
          </w:p>
        </w:tc>
      </w:tr>
      <w:tr w:rsidR="00632C72" w:rsidRPr="00B701CE"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hideMark/>
          </w:tcPr>
          <w:p w:rsidR="00632C72" w:rsidRPr="00B701CE" w:rsidRDefault="00632C72" w:rsidP="00632C72">
            <w:pPr>
              <w:spacing w:after="0" w:line="240" w:lineRule="auto"/>
              <w:rPr>
                <w:rFonts w:eastAsia="Times New Roman" w:cstheme="minorHAnsi"/>
                <w:color w:val="000000"/>
                <w:sz w:val="24"/>
                <w:szCs w:val="24"/>
                <w:lang w:eastAsia="en-GB"/>
              </w:rPr>
            </w:pPr>
            <w:r w:rsidRPr="00B701CE">
              <w:rPr>
                <w:rFonts w:eastAsia="Times New Roman" w:cstheme="minorHAnsi"/>
                <w:color w:val="000000"/>
                <w:sz w:val="24"/>
                <w:szCs w:val="24"/>
                <w:lang w:eastAsia="en-GB"/>
              </w:rPr>
              <w:t>Vaccination Programme</w:t>
            </w:r>
          </w:p>
        </w:tc>
        <w:tc>
          <w:tcPr>
            <w:tcW w:w="1101" w:type="dxa"/>
            <w:tcBorders>
              <w:left w:val="single" w:sz="4" w:space="0" w:color="auto"/>
              <w:right w:val="single" w:sz="4" w:space="0" w:color="auto"/>
            </w:tcBorders>
            <w:noWrap/>
            <w:tcMar>
              <w:top w:w="0" w:type="dxa"/>
              <w:left w:w="108" w:type="dxa"/>
              <w:bottom w:w="0" w:type="dxa"/>
              <w:right w:w="108" w:type="dxa"/>
            </w:tcMar>
            <w:vAlign w:val="bottom"/>
            <w:hideMark/>
          </w:tcPr>
          <w:p w:rsidR="00632C72" w:rsidRPr="00632C72" w:rsidRDefault="00632C72" w:rsidP="00632C72">
            <w:pPr>
              <w:spacing w:after="0" w:line="240" w:lineRule="auto"/>
              <w:jc w:val="right"/>
              <w:rPr>
                <w:rFonts w:eastAsia="Times New Roman" w:cstheme="minorHAnsi"/>
                <w:color w:val="000000"/>
                <w:sz w:val="24"/>
                <w:szCs w:val="24"/>
                <w:lang w:eastAsia="en-GB"/>
              </w:rPr>
            </w:pPr>
            <w:r w:rsidRPr="00632C72">
              <w:rPr>
                <w:color w:val="000000"/>
              </w:rPr>
              <w:t xml:space="preserve">1,490 </w:t>
            </w:r>
          </w:p>
        </w:tc>
        <w:tc>
          <w:tcPr>
            <w:tcW w:w="1276" w:type="dxa"/>
            <w:tcBorders>
              <w:left w:val="single" w:sz="4" w:space="0" w:color="auto"/>
              <w:right w:val="single" w:sz="4" w:space="0" w:color="auto"/>
            </w:tcBorders>
            <w:shd w:val="clear" w:color="auto" w:fill="auto"/>
            <w:noWrap/>
            <w:tcMar>
              <w:top w:w="0" w:type="dxa"/>
              <w:left w:w="108" w:type="dxa"/>
              <w:bottom w:w="0" w:type="dxa"/>
              <w:right w:w="108" w:type="dxa"/>
            </w:tcMar>
            <w:vAlign w:val="bottom"/>
            <w:hideMark/>
          </w:tcPr>
          <w:p w:rsidR="00632C72" w:rsidRPr="00594EF7" w:rsidRDefault="00632C72" w:rsidP="00632C72">
            <w:pPr>
              <w:spacing w:after="0" w:line="240" w:lineRule="auto"/>
              <w:jc w:val="right"/>
              <w:rPr>
                <w:color w:val="000000"/>
              </w:rPr>
            </w:pPr>
            <w:r w:rsidRPr="00594EF7">
              <w:rPr>
                <w:color w:val="000000"/>
              </w:rPr>
              <w:t xml:space="preserve">1,490 </w:t>
            </w:r>
          </w:p>
        </w:tc>
        <w:tc>
          <w:tcPr>
            <w:tcW w:w="1417" w:type="dxa"/>
            <w:tcBorders>
              <w:left w:val="single" w:sz="4" w:space="0" w:color="auto"/>
              <w:right w:val="single" w:sz="4" w:space="0" w:color="auto"/>
            </w:tcBorders>
            <w:shd w:val="clear" w:color="auto" w:fill="auto"/>
            <w:noWrap/>
            <w:tcMar>
              <w:top w:w="0" w:type="dxa"/>
              <w:left w:w="108" w:type="dxa"/>
              <w:bottom w:w="0" w:type="dxa"/>
              <w:right w:w="108" w:type="dxa"/>
            </w:tcMar>
            <w:vAlign w:val="bottom"/>
            <w:hideMark/>
          </w:tcPr>
          <w:p w:rsidR="00632C72" w:rsidRPr="00594EF7" w:rsidRDefault="00632C72" w:rsidP="00632C72">
            <w:pPr>
              <w:spacing w:after="0" w:line="240" w:lineRule="auto"/>
              <w:jc w:val="right"/>
              <w:rPr>
                <w:color w:val="000000"/>
              </w:rPr>
            </w:pPr>
            <w:r w:rsidRPr="00594EF7">
              <w:rPr>
                <w:color w:val="000000"/>
              </w:rPr>
              <w:t xml:space="preserve">0 </w:t>
            </w:r>
          </w:p>
        </w:tc>
      </w:tr>
      <w:tr w:rsidR="00632C72" w:rsidRPr="00B701CE" w:rsidTr="00F219EB">
        <w:trPr>
          <w:trHeight w:val="242"/>
        </w:trPr>
        <w:tc>
          <w:tcPr>
            <w:tcW w:w="4820" w:type="dxa"/>
            <w:tcBorders>
              <w:left w:val="single" w:sz="4" w:space="0" w:color="auto"/>
              <w:right w:val="single" w:sz="4" w:space="0" w:color="auto"/>
            </w:tcBorders>
            <w:noWrap/>
            <w:tcMar>
              <w:top w:w="0" w:type="dxa"/>
              <w:left w:w="108" w:type="dxa"/>
              <w:bottom w:w="0" w:type="dxa"/>
              <w:right w:w="108" w:type="dxa"/>
            </w:tcMar>
            <w:vAlign w:val="bottom"/>
            <w:hideMark/>
          </w:tcPr>
          <w:p w:rsidR="00632C72" w:rsidRPr="00B701CE" w:rsidRDefault="00632C72" w:rsidP="00632C72">
            <w:pPr>
              <w:spacing w:after="0" w:line="240" w:lineRule="auto"/>
              <w:rPr>
                <w:rFonts w:eastAsia="Times New Roman" w:cstheme="minorHAnsi"/>
                <w:color w:val="000000"/>
                <w:sz w:val="24"/>
                <w:szCs w:val="24"/>
                <w:lang w:eastAsia="en-GB"/>
              </w:rPr>
            </w:pPr>
            <w:r w:rsidRPr="00B701CE">
              <w:rPr>
                <w:rFonts w:eastAsia="Times New Roman" w:cstheme="minorHAnsi"/>
                <w:color w:val="000000"/>
                <w:sz w:val="24"/>
                <w:szCs w:val="24"/>
                <w:lang w:eastAsia="en-GB"/>
              </w:rPr>
              <w:t xml:space="preserve">PPE </w:t>
            </w:r>
          </w:p>
        </w:tc>
        <w:tc>
          <w:tcPr>
            <w:tcW w:w="1101" w:type="dxa"/>
            <w:tcBorders>
              <w:left w:val="single" w:sz="4" w:space="0" w:color="auto"/>
              <w:right w:val="single" w:sz="4" w:space="0" w:color="auto"/>
            </w:tcBorders>
            <w:noWrap/>
            <w:tcMar>
              <w:top w:w="0" w:type="dxa"/>
              <w:left w:w="108" w:type="dxa"/>
              <w:bottom w:w="0" w:type="dxa"/>
              <w:right w:w="108" w:type="dxa"/>
            </w:tcMar>
            <w:vAlign w:val="bottom"/>
            <w:hideMark/>
          </w:tcPr>
          <w:p w:rsidR="00632C72" w:rsidRPr="00632C72" w:rsidRDefault="00632C72" w:rsidP="00632C72">
            <w:pPr>
              <w:spacing w:after="0" w:line="240" w:lineRule="auto"/>
              <w:jc w:val="right"/>
              <w:rPr>
                <w:rFonts w:eastAsia="Times New Roman" w:cstheme="minorHAnsi"/>
                <w:color w:val="000000"/>
                <w:sz w:val="24"/>
                <w:szCs w:val="24"/>
                <w:lang w:eastAsia="en-GB"/>
              </w:rPr>
            </w:pPr>
            <w:r w:rsidRPr="00632C72">
              <w:rPr>
                <w:color w:val="000000"/>
              </w:rPr>
              <w:t xml:space="preserve">90 </w:t>
            </w:r>
          </w:p>
        </w:tc>
        <w:tc>
          <w:tcPr>
            <w:tcW w:w="1276" w:type="dxa"/>
            <w:tcBorders>
              <w:left w:val="single" w:sz="4" w:space="0" w:color="auto"/>
              <w:right w:val="single" w:sz="4" w:space="0" w:color="auto"/>
            </w:tcBorders>
            <w:shd w:val="clear" w:color="auto" w:fill="auto"/>
            <w:noWrap/>
            <w:tcMar>
              <w:top w:w="0" w:type="dxa"/>
              <w:left w:w="108" w:type="dxa"/>
              <w:bottom w:w="0" w:type="dxa"/>
              <w:right w:w="108" w:type="dxa"/>
            </w:tcMar>
            <w:vAlign w:val="bottom"/>
            <w:hideMark/>
          </w:tcPr>
          <w:p w:rsidR="00632C72" w:rsidRPr="00594EF7" w:rsidRDefault="00632C72" w:rsidP="00632C72">
            <w:pPr>
              <w:spacing w:after="0" w:line="240" w:lineRule="auto"/>
              <w:jc w:val="right"/>
              <w:rPr>
                <w:color w:val="000000"/>
              </w:rPr>
            </w:pPr>
            <w:r w:rsidRPr="00594EF7">
              <w:rPr>
                <w:color w:val="000000"/>
              </w:rPr>
              <w:t>5</w:t>
            </w:r>
            <w:r>
              <w:rPr>
                <w:color w:val="000000"/>
              </w:rPr>
              <w:t>8</w:t>
            </w:r>
            <w:r w:rsidRPr="00594EF7">
              <w:rPr>
                <w:color w:val="000000"/>
              </w:rPr>
              <w:t xml:space="preserve"> </w:t>
            </w:r>
          </w:p>
        </w:tc>
        <w:tc>
          <w:tcPr>
            <w:tcW w:w="1417" w:type="dxa"/>
            <w:tcBorders>
              <w:left w:val="single" w:sz="4" w:space="0" w:color="auto"/>
              <w:right w:val="single" w:sz="4" w:space="0" w:color="auto"/>
            </w:tcBorders>
            <w:shd w:val="clear" w:color="auto" w:fill="auto"/>
            <w:noWrap/>
            <w:tcMar>
              <w:top w:w="0" w:type="dxa"/>
              <w:left w:w="108" w:type="dxa"/>
              <w:bottom w:w="0" w:type="dxa"/>
              <w:right w:w="108" w:type="dxa"/>
            </w:tcMar>
            <w:vAlign w:val="bottom"/>
            <w:hideMark/>
          </w:tcPr>
          <w:p w:rsidR="00632C72" w:rsidRPr="00594EF7" w:rsidRDefault="00632C72" w:rsidP="00632C72">
            <w:pPr>
              <w:spacing w:after="0" w:line="240" w:lineRule="auto"/>
              <w:jc w:val="right"/>
              <w:rPr>
                <w:color w:val="000000"/>
              </w:rPr>
            </w:pPr>
            <w:r w:rsidRPr="00594EF7">
              <w:rPr>
                <w:color w:val="000000"/>
              </w:rPr>
              <w:t>-3</w:t>
            </w:r>
            <w:r>
              <w:rPr>
                <w:color w:val="000000"/>
              </w:rPr>
              <w:t>2</w:t>
            </w:r>
            <w:r w:rsidRPr="00594EF7">
              <w:rPr>
                <w:color w:val="000000"/>
              </w:rPr>
              <w:t xml:space="preserve"> </w:t>
            </w:r>
          </w:p>
        </w:tc>
      </w:tr>
      <w:tr w:rsidR="00632C72" w:rsidRPr="000411A5" w:rsidTr="00F219EB">
        <w:trPr>
          <w:trHeight w:val="242"/>
        </w:trPr>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hideMark/>
          </w:tcPr>
          <w:p w:rsidR="00632C72" w:rsidRPr="00B701CE" w:rsidRDefault="00632C72" w:rsidP="00632C72">
            <w:pPr>
              <w:spacing w:after="0" w:line="240" w:lineRule="auto"/>
              <w:rPr>
                <w:rFonts w:eastAsia="Times New Roman" w:cstheme="minorHAnsi"/>
                <w:color w:val="000000"/>
                <w:sz w:val="24"/>
                <w:szCs w:val="24"/>
                <w:lang w:eastAsia="en-GB"/>
              </w:rPr>
            </w:pPr>
          </w:p>
        </w:tc>
        <w:tc>
          <w:tcPr>
            <w:tcW w:w="11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hideMark/>
          </w:tcPr>
          <w:p w:rsidR="00632C72" w:rsidRPr="00632C72" w:rsidRDefault="00632C72" w:rsidP="00632C72">
            <w:pPr>
              <w:spacing w:after="0" w:line="240" w:lineRule="auto"/>
              <w:jc w:val="right"/>
              <w:rPr>
                <w:rFonts w:cstheme="minorHAnsi"/>
                <w:b/>
                <w:bCs/>
                <w:color w:val="000000"/>
                <w:sz w:val="24"/>
                <w:szCs w:val="24"/>
                <w:lang w:eastAsia="en-GB"/>
              </w:rPr>
            </w:pPr>
            <w:r w:rsidRPr="00632C72">
              <w:rPr>
                <w:b/>
                <w:bCs/>
                <w:color w:val="000000"/>
              </w:rPr>
              <w:t xml:space="preserve">48,314 </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hideMark/>
          </w:tcPr>
          <w:p w:rsidR="00632C72" w:rsidRPr="00632C72" w:rsidRDefault="00632C72" w:rsidP="00632C72">
            <w:pPr>
              <w:spacing w:after="0" w:line="240" w:lineRule="auto"/>
              <w:jc w:val="right"/>
              <w:rPr>
                <w:b/>
                <w:color w:val="000000"/>
              </w:rPr>
            </w:pPr>
            <w:r w:rsidRPr="00632C72">
              <w:rPr>
                <w:b/>
                <w:color w:val="000000"/>
              </w:rPr>
              <w:t xml:space="preserve">18,283 </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hideMark/>
          </w:tcPr>
          <w:p w:rsidR="00632C72" w:rsidRPr="00632C72" w:rsidRDefault="00632C72" w:rsidP="00632C72">
            <w:pPr>
              <w:spacing w:after="0" w:line="240" w:lineRule="auto"/>
              <w:jc w:val="right"/>
              <w:rPr>
                <w:b/>
                <w:color w:val="000000"/>
              </w:rPr>
            </w:pPr>
            <w:r w:rsidRPr="00632C72">
              <w:rPr>
                <w:b/>
                <w:color w:val="000000"/>
              </w:rPr>
              <w:t xml:space="preserve">-30,031 </w:t>
            </w:r>
          </w:p>
        </w:tc>
      </w:tr>
    </w:tbl>
    <w:p w:rsidR="00402B6A" w:rsidRPr="000411A5" w:rsidRDefault="00402B6A" w:rsidP="00402B6A">
      <w:pPr>
        <w:spacing w:after="0" w:line="240" w:lineRule="auto"/>
        <w:ind w:left="862"/>
        <w:rPr>
          <w:rFonts w:ascii="Verdana" w:eastAsia="Times New Roman" w:hAnsi="Verdana" w:cs="Times New Roman"/>
          <w:sz w:val="24"/>
          <w:szCs w:val="24"/>
          <w:highlight w:val="magenta"/>
          <w:lang w:eastAsia="en-GB"/>
        </w:rPr>
      </w:pPr>
    </w:p>
    <w:p w:rsidR="00632C72" w:rsidRPr="00632C72" w:rsidRDefault="00DC4A84" w:rsidP="00632C72">
      <w:pPr>
        <w:rPr>
          <w:rFonts w:ascii="Verdana" w:eastAsia="Times New Roman" w:hAnsi="Verdana" w:cs="Times New Roman"/>
          <w:color w:val="000000" w:themeColor="text1"/>
          <w:kern w:val="24"/>
          <w:sz w:val="24"/>
          <w:szCs w:val="24"/>
          <w:lang w:eastAsia="en-GB"/>
        </w:rPr>
      </w:pPr>
      <w:r w:rsidRPr="00632C72">
        <w:rPr>
          <w:rFonts w:ascii="Verdana" w:eastAsia="Times New Roman" w:hAnsi="Verdana"/>
          <w:b/>
          <w:color w:val="000000" w:themeColor="text1"/>
          <w:kern w:val="24"/>
          <w:sz w:val="24"/>
        </w:rPr>
        <w:t>COVID-19</w:t>
      </w:r>
      <w:r w:rsidR="00130586" w:rsidRPr="00632C72">
        <w:rPr>
          <w:rFonts w:ascii="Verdana" w:eastAsia="Times New Roman" w:hAnsi="Verdana"/>
          <w:b/>
          <w:color w:val="000000" w:themeColor="text1"/>
          <w:kern w:val="24"/>
          <w:sz w:val="24"/>
        </w:rPr>
        <w:t xml:space="preserve"> Testing - </w:t>
      </w:r>
      <w:r w:rsidR="00632C72" w:rsidRPr="00632C72">
        <w:rPr>
          <w:rFonts w:ascii="Verdana" w:eastAsia="Times New Roman" w:hAnsi="Verdana" w:cs="Times New Roman"/>
          <w:color w:val="000000" w:themeColor="text1"/>
          <w:kern w:val="24"/>
          <w:sz w:val="24"/>
          <w:szCs w:val="24"/>
          <w:lang w:eastAsia="en-GB"/>
        </w:rPr>
        <w:t>£16.678m lower than forecast in month 1.  Whilst we saw a reduction in testing numbers in November to the lowest point of 2022/23, an average of 630 tests per day, December saw an increase to 856 tests per day on average as we experienced the peak of the winter respiratory season.  Activity is expected to remain around this level in January and will potentially reduce in the remaining months of 2022/23.  The full year forecast of £13</w:t>
      </w:r>
      <w:r w:rsidR="00632C72">
        <w:rPr>
          <w:rFonts w:ascii="Verdana" w:eastAsia="Times New Roman" w:hAnsi="Verdana" w:cs="Times New Roman"/>
          <w:color w:val="000000" w:themeColor="text1"/>
          <w:kern w:val="24"/>
          <w:sz w:val="24"/>
          <w:szCs w:val="24"/>
          <w:lang w:eastAsia="en-GB"/>
        </w:rPr>
        <w:t>.</w:t>
      </w:r>
      <w:r w:rsidR="00632C72" w:rsidRPr="00632C72">
        <w:rPr>
          <w:rFonts w:ascii="Verdana" w:eastAsia="Times New Roman" w:hAnsi="Verdana" w:cs="Times New Roman"/>
          <w:color w:val="000000" w:themeColor="text1"/>
          <w:kern w:val="24"/>
          <w:sz w:val="24"/>
          <w:szCs w:val="24"/>
          <w:lang w:eastAsia="en-GB"/>
        </w:rPr>
        <w:t>703m is based on revised forecast testing numbers of 900 per day for January and 700 per day for February and March.  The financial modelling has been reviewed with colleagues from the Finance Delivery Unit and a number of principles agreed which have been reflected in the month 9 forecast.</w:t>
      </w:r>
    </w:p>
    <w:p w:rsidR="00632C72" w:rsidRDefault="00130586" w:rsidP="00B37694">
      <w:pPr>
        <w:jc w:val="both"/>
        <w:rPr>
          <w:rFonts w:ascii="Verdana" w:eastAsia="Times New Roman" w:hAnsi="Verdana" w:cs="Times New Roman"/>
          <w:color w:val="000000" w:themeColor="text1"/>
          <w:kern w:val="24"/>
          <w:sz w:val="24"/>
          <w:szCs w:val="24"/>
          <w:lang w:eastAsia="en-GB"/>
        </w:rPr>
      </w:pPr>
      <w:r w:rsidRPr="00632C72">
        <w:rPr>
          <w:rFonts w:ascii="Verdana" w:eastAsia="Times New Roman" w:hAnsi="Verdana" w:cs="Times New Roman"/>
          <w:b/>
          <w:color w:val="000000" w:themeColor="text1"/>
          <w:kern w:val="24"/>
          <w:sz w:val="24"/>
          <w:szCs w:val="24"/>
          <w:lang w:eastAsia="en-GB"/>
        </w:rPr>
        <w:t>Non-C</w:t>
      </w:r>
      <w:r w:rsidR="00DC4A84" w:rsidRPr="00632C72">
        <w:rPr>
          <w:rFonts w:ascii="Verdana" w:eastAsia="Times New Roman" w:hAnsi="Verdana" w:cs="Times New Roman"/>
          <w:b/>
          <w:color w:val="000000" w:themeColor="text1"/>
          <w:kern w:val="24"/>
          <w:sz w:val="24"/>
          <w:szCs w:val="24"/>
          <w:lang w:eastAsia="en-GB"/>
        </w:rPr>
        <w:t>OVID</w:t>
      </w:r>
      <w:r w:rsidRPr="00632C72">
        <w:rPr>
          <w:rFonts w:ascii="Verdana" w:eastAsia="Times New Roman" w:hAnsi="Verdana" w:cs="Times New Roman"/>
          <w:b/>
          <w:color w:val="000000" w:themeColor="text1"/>
          <w:kern w:val="24"/>
          <w:sz w:val="24"/>
          <w:szCs w:val="24"/>
          <w:lang w:eastAsia="en-GB"/>
        </w:rPr>
        <w:t xml:space="preserve"> Rapid Testing</w:t>
      </w:r>
      <w:r w:rsidRPr="00632C72">
        <w:rPr>
          <w:rFonts w:ascii="Verdana" w:eastAsia="Times New Roman" w:hAnsi="Verdana" w:cs="Times New Roman"/>
          <w:color w:val="000000" w:themeColor="text1"/>
          <w:kern w:val="24"/>
          <w:sz w:val="24"/>
          <w:szCs w:val="24"/>
          <w:lang w:eastAsia="en-GB"/>
        </w:rPr>
        <w:t xml:space="preserve"> - </w:t>
      </w:r>
      <w:r w:rsidR="00632C72" w:rsidRPr="00632C72">
        <w:rPr>
          <w:rFonts w:ascii="Verdana" w:eastAsia="Times New Roman" w:hAnsi="Verdana" w:cs="Times New Roman"/>
          <w:color w:val="000000" w:themeColor="text1"/>
          <w:kern w:val="24"/>
          <w:sz w:val="24"/>
          <w:szCs w:val="24"/>
          <w:lang w:eastAsia="en-GB"/>
        </w:rPr>
        <w:t>£6.064m lower than forecast in month 1.  Full roll out remains anticipated for February 2023.  The delay has been a result of necessary changes to test sets within the Laboratory Information Management System which are being completed by DHCW.  These changes will avoid manual reporting and the associated risks.  This timeline has been reflected in the forecast.</w:t>
      </w:r>
    </w:p>
    <w:p w:rsidR="00632C72" w:rsidRDefault="00130586" w:rsidP="00632C72">
      <w:pPr>
        <w:jc w:val="both"/>
        <w:rPr>
          <w:rFonts w:ascii="Verdana" w:eastAsia="Times New Roman" w:hAnsi="Verdana" w:cs="Times New Roman"/>
          <w:color w:val="000000" w:themeColor="text1"/>
          <w:kern w:val="24"/>
          <w:sz w:val="24"/>
          <w:lang w:eastAsia="en-GB"/>
        </w:rPr>
      </w:pPr>
      <w:r w:rsidRPr="00632C72">
        <w:rPr>
          <w:rFonts w:ascii="Verdana" w:eastAsia="Times New Roman" w:hAnsi="Verdana" w:cs="Times New Roman"/>
          <w:b/>
          <w:color w:val="000000" w:themeColor="text1"/>
          <w:kern w:val="24"/>
          <w:sz w:val="24"/>
          <w:lang w:eastAsia="en-GB"/>
        </w:rPr>
        <w:t>Genomics Sequencing</w:t>
      </w:r>
      <w:r w:rsidR="00DC4A84" w:rsidRPr="00632C72">
        <w:rPr>
          <w:rFonts w:ascii="Verdana" w:eastAsia="Times New Roman" w:hAnsi="Verdana" w:cs="Times New Roman"/>
          <w:b/>
          <w:color w:val="000000" w:themeColor="text1"/>
          <w:kern w:val="24"/>
          <w:sz w:val="24"/>
          <w:lang w:eastAsia="en-GB"/>
        </w:rPr>
        <w:t xml:space="preserve"> for COVID-19</w:t>
      </w:r>
      <w:r w:rsidRPr="00632C72">
        <w:rPr>
          <w:rFonts w:ascii="Verdana" w:eastAsia="Times New Roman" w:hAnsi="Verdana" w:cs="Times New Roman"/>
          <w:color w:val="000000" w:themeColor="text1"/>
          <w:kern w:val="24"/>
          <w:sz w:val="24"/>
          <w:lang w:eastAsia="en-GB"/>
        </w:rPr>
        <w:t xml:space="preserve"> - </w:t>
      </w:r>
      <w:r w:rsidR="00632C72" w:rsidRPr="00632C72">
        <w:rPr>
          <w:rFonts w:ascii="Verdana" w:eastAsia="Times New Roman" w:hAnsi="Verdana" w:cs="Times New Roman"/>
          <w:color w:val="000000" w:themeColor="text1"/>
          <w:kern w:val="24"/>
          <w:sz w:val="24"/>
          <w:lang w:eastAsia="en-GB"/>
        </w:rPr>
        <w:t xml:space="preserve">£7.550m lower than forecast in month 1.  The original plan was predicated on maximum capacity of the service.  Forecasts have since been updated to recognise the significant reduction in testing, and therefore in samples sequenced in </w:t>
      </w:r>
      <w:r w:rsidR="00632C72">
        <w:rPr>
          <w:rFonts w:ascii="Verdana" w:eastAsia="Times New Roman" w:hAnsi="Verdana" w:cs="Times New Roman"/>
          <w:color w:val="000000" w:themeColor="text1"/>
          <w:kern w:val="24"/>
          <w:sz w:val="24"/>
          <w:lang w:eastAsia="en-GB"/>
        </w:rPr>
        <w:t>2022/23</w:t>
      </w:r>
      <w:r w:rsidR="00632C72" w:rsidRPr="00632C72">
        <w:rPr>
          <w:rFonts w:ascii="Verdana" w:eastAsia="Times New Roman" w:hAnsi="Verdana" w:cs="Times New Roman"/>
          <w:color w:val="000000" w:themeColor="text1"/>
          <w:kern w:val="24"/>
          <w:sz w:val="24"/>
          <w:lang w:eastAsia="en-GB"/>
        </w:rPr>
        <w:t>.</w:t>
      </w:r>
      <w:r w:rsidR="00632C72" w:rsidRPr="00632C72">
        <w:t xml:space="preserve"> </w:t>
      </w:r>
      <w:r w:rsidR="00632C72">
        <w:t xml:space="preserve"> </w:t>
      </w:r>
      <w:r w:rsidR="00632C72" w:rsidRPr="00632C72">
        <w:rPr>
          <w:rFonts w:ascii="Verdana" w:eastAsia="Times New Roman" w:hAnsi="Verdana" w:cs="Times New Roman"/>
          <w:color w:val="000000" w:themeColor="text1"/>
          <w:kern w:val="24"/>
          <w:sz w:val="24"/>
          <w:lang w:eastAsia="en-GB"/>
        </w:rPr>
        <w:t>A total of 2,137 Covid positive samples were genome sequenced in October.   Genomics Sequencing costs are profiled in line with COVID-19 testing numbers and positivity rates.</w:t>
      </w:r>
    </w:p>
    <w:p w:rsidR="00402B6A" w:rsidRPr="00F52B2D" w:rsidRDefault="00402B6A" w:rsidP="00632C72">
      <w:pPr>
        <w:jc w:val="both"/>
        <w:rPr>
          <w:rFonts w:ascii="Verdana" w:eastAsia="Times New Roman" w:hAnsi="Verdana" w:cs="Times New Roman"/>
          <w:color w:val="000000" w:themeColor="text1"/>
          <w:kern w:val="24"/>
          <w:sz w:val="24"/>
          <w:szCs w:val="24"/>
          <w:highlight w:val="cyan"/>
          <w:lang w:eastAsia="en-GB"/>
        </w:rPr>
      </w:pPr>
      <w:r w:rsidRPr="00632C72">
        <w:rPr>
          <w:rFonts w:ascii="Verdana" w:eastAsia="Times New Roman" w:hAnsi="Verdana" w:cs="Times New Roman"/>
          <w:b/>
          <w:color w:val="000000" w:themeColor="text1"/>
          <w:kern w:val="24"/>
          <w:sz w:val="24"/>
          <w:szCs w:val="24"/>
          <w:lang w:eastAsia="en-GB"/>
        </w:rPr>
        <w:t>TTP Contact Tracing</w:t>
      </w:r>
      <w:r w:rsidRPr="00632C72">
        <w:rPr>
          <w:rFonts w:ascii="Verdana" w:eastAsia="Times New Roman" w:hAnsi="Verdana" w:cs="Times New Roman"/>
          <w:color w:val="000000" w:themeColor="text1"/>
          <w:kern w:val="24"/>
          <w:sz w:val="24"/>
          <w:szCs w:val="24"/>
          <w:lang w:eastAsia="en-GB"/>
        </w:rPr>
        <w:t xml:space="preserve"> - </w:t>
      </w:r>
      <w:r w:rsidR="00632C72" w:rsidRPr="00632C72">
        <w:rPr>
          <w:rFonts w:ascii="Verdana" w:eastAsia="Times New Roman" w:hAnsi="Verdana" w:cs="Times New Roman"/>
          <w:color w:val="000000" w:themeColor="text1"/>
          <w:kern w:val="24"/>
          <w:sz w:val="24"/>
          <w:szCs w:val="24"/>
          <w:lang w:eastAsia="en-GB"/>
        </w:rPr>
        <w:t>£0.293m higher than forecast in month 1.  Welsh Government policy colleagues confirmed in June 2022 total funding of £800k would be available to continue Contact Tracing activity in 2022/23.  As the service prepares to cease by 31st March 2023 forecasts have been revised showing a reduced funding requirement of £635k.</w:t>
      </w:r>
    </w:p>
    <w:p w:rsidR="00AC2C4F" w:rsidRPr="00F52B2D" w:rsidRDefault="00AC2C4F" w:rsidP="00AC2C4F">
      <w:pPr>
        <w:spacing w:after="240" w:line="257" w:lineRule="auto"/>
        <w:jc w:val="both"/>
        <w:rPr>
          <w:rFonts w:ascii="Verdana" w:eastAsia="Times New Roman" w:hAnsi="Verdana" w:cs="Times New Roman"/>
          <w:color w:val="000000" w:themeColor="text1"/>
          <w:kern w:val="24"/>
          <w:sz w:val="24"/>
          <w:szCs w:val="24"/>
          <w:highlight w:val="cyan"/>
          <w:lang w:eastAsia="en-GB"/>
        </w:rPr>
      </w:pPr>
      <w:r w:rsidRPr="00632C72">
        <w:rPr>
          <w:rFonts w:ascii="Verdana" w:eastAsia="Times New Roman" w:hAnsi="Verdana" w:cs="Times New Roman"/>
          <w:b/>
          <w:color w:val="000000" w:themeColor="text1"/>
          <w:kern w:val="24"/>
          <w:sz w:val="24"/>
          <w:szCs w:val="24"/>
          <w:lang w:eastAsia="en-GB"/>
        </w:rPr>
        <w:t>Vaccination Programme</w:t>
      </w:r>
      <w:r w:rsidRPr="00632C72">
        <w:rPr>
          <w:rFonts w:ascii="Verdana" w:eastAsia="Times New Roman" w:hAnsi="Verdana" w:cs="Times New Roman"/>
          <w:color w:val="000000" w:themeColor="text1"/>
          <w:kern w:val="24"/>
          <w:sz w:val="24"/>
          <w:szCs w:val="24"/>
          <w:lang w:eastAsia="en-GB"/>
        </w:rPr>
        <w:t xml:space="preserve"> – no change – Forecast costs for the COVID-19 Vaccination Programme are currently in line with the original forecast and the full £1.490m is expected to be spent.</w:t>
      </w:r>
      <w:r w:rsidR="00632C72" w:rsidRPr="00632C72">
        <w:t xml:space="preserve"> </w:t>
      </w:r>
      <w:r w:rsidR="00632C72" w:rsidRPr="00632C72">
        <w:rPr>
          <w:rFonts w:ascii="Verdana" w:eastAsia="Times New Roman" w:hAnsi="Verdana" w:cs="Times New Roman"/>
          <w:color w:val="000000" w:themeColor="text1"/>
          <w:kern w:val="24"/>
          <w:sz w:val="24"/>
          <w:szCs w:val="24"/>
          <w:lang w:eastAsia="en-GB"/>
        </w:rPr>
        <w:t xml:space="preserve">It should be noted that £0.160m is included in this forecast for a Spring booster campaign.  If the campaign does not go ahead </w:t>
      </w:r>
      <w:r w:rsidR="00632C72">
        <w:rPr>
          <w:rFonts w:ascii="Verdana" w:eastAsia="Times New Roman" w:hAnsi="Verdana" w:cs="Times New Roman"/>
          <w:color w:val="000000" w:themeColor="text1"/>
          <w:kern w:val="24"/>
          <w:sz w:val="24"/>
          <w:szCs w:val="24"/>
          <w:lang w:eastAsia="en-GB"/>
        </w:rPr>
        <w:t xml:space="preserve">expenditure will be lower and </w:t>
      </w:r>
      <w:r w:rsidR="00632C72" w:rsidRPr="00632C72">
        <w:rPr>
          <w:rFonts w:ascii="Verdana" w:eastAsia="Times New Roman" w:hAnsi="Verdana" w:cs="Times New Roman"/>
          <w:color w:val="000000" w:themeColor="text1"/>
          <w:kern w:val="24"/>
          <w:sz w:val="24"/>
          <w:szCs w:val="24"/>
          <w:lang w:eastAsia="en-GB"/>
        </w:rPr>
        <w:t>the funding of £0.160m will not be required.</w:t>
      </w:r>
    </w:p>
    <w:p w:rsidR="00632C72" w:rsidRDefault="00632C72" w:rsidP="00A65E18">
      <w:pPr>
        <w:jc w:val="both"/>
        <w:rPr>
          <w:rFonts w:ascii="Verdana" w:hAnsi="Verdana"/>
          <w:b/>
          <w:sz w:val="24"/>
          <w:szCs w:val="24"/>
          <w:u w:val="single"/>
        </w:rPr>
      </w:pPr>
    </w:p>
    <w:p w:rsidR="00FF7411" w:rsidRPr="007A7A8B" w:rsidRDefault="00FF7411" w:rsidP="00A65E18">
      <w:pPr>
        <w:jc w:val="both"/>
        <w:rPr>
          <w:rFonts w:ascii="Verdana" w:hAnsi="Verdana"/>
          <w:b/>
          <w:sz w:val="24"/>
          <w:szCs w:val="24"/>
          <w:u w:val="single"/>
        </w:rPr>
      </w:pPr>
      <w:r w:rsidRPr="007A7A8B">
        <w:rPr>
          <w:rFonts w:ascii="Verdana" w:hAnsi="Verdana"/>
          <w:b/>
          <w:sz w:val="24"/>
          <w:szCs w:val="24"/>
          <w:u w:val="single"/>
        </w:rPr>
        <w:t>Capital</w:t>
      </w:r>
    </w:p>
    <w:p w:rsidR="00AC1EBB" w:rsidRPr="007A7A8B" w:rsidRDefault="00FF7411" w:rsidP="00130586">
      <w:pPr>
        <w:spacing w:after="240" w:line="257" w:lineRule="auto"/>
        <w:jc w:val="both"/>
        <w:rPr>
          <w:rFonts w:ascii="Verdana" w:eastAsia="Times New Roman" w:hAnsi="Verdana" w:cs="Times New Roman"/>
          <w:color w:val="000000" w:themeColor="text1"/>
          <w:kern w:val="24"/>
          <w:sz w:val="24"/>
          <w:szCs w:val="24"/>
          <w:lang w:eastAsia="en-GB"/>
        </w:rPr>
      </w:pPr>
      <w:r w:rsidRPr="007A7A8B">
        <w:rPr>
          <w:rFonts w:ascii="Verdana" w:eastAsia="Times New Roman" w:hAnsi="Verdana" w:cs="Times New Roman"/>
          <w:color w:val="000000" w:themeColor="text1"/>
          <w:kern w:val="24"/>
          <w:sz w:val="24"/>
          <w:szCs w:val="24"/>
          <w:lang w:eastAsia="en-GB"/>
        </w:rPr>
        <w:t>Public Health Wales capita</w:t>
      </w:r>
      <w:r w:rsidR="005E3042" w:rsidRPr="007A7A8B">
        <w:rPr>
          <w:rFonts w:ascii="Verdana" w:eastAsia="Times New Roman" w:hAnsi="Verdana" w:cs="Times New Roman"/>
          <w:color w:val="000000" w:themeColor="text1"/>
          <w:kern w:val="24"/>
          <w:sz w:val="24"/>
          <w:szCs w:val="24"/>
          <w:lang w:eastAsia="en-GB"/>
        </w:rPr>
        <w:t>l funding f</w:t>
      </w:r>
      <w:r w:rsidR="00FB0A10" w:rsidRPr="007A7A8B">
        <w:rPr>
          <w:rFonts w:ascii="Verdana" w:eastAsia="Times New Roman" w:hAnsi="Verdana" w:cs="Times New Roman"/>
          <w:color w:val="000000" w:themeColor="text1"/>
          <w:kern w:val="24"/>
          <w:sz w:val="24"/>
          <w:szCs w:val="24"/>
          <w:lang w:eastAsia="en-GB"/>
        </w:rPr>
        <w:t>or 202</w:t>
      </w:r>
      <w:r w:rsidR="00402B6A" w:rsidRPr="007A7A8B">
        <w:rPr>
          <w:rFonts w:ascii="Verdana" w:eastAsia="Times New Roman" w:hAnsi="Verdana" w:cs="Times New Roman"/>
          <w:color w:val="000000" w:themeColor="text1"/>
          <w:kern w:val="24"/>
          <w:sz w:val="24"/>
          <w:szCs w:val="24"/>
          <w:lang w:eastAsia="en-GB"/>
        </w:rPr>
        <w:t>2</w:t>
      </w:r>
      <w:r w:rsidR="00FB0A10" w:rsidRPr="007A7A8B">
        <w:rPr>
          <w:rFonts w:ascii="Verdana" w:eastAsia="Times New Roman" w:hAnsi="Verdana" w:cs="Times New Roman"/>
          <w:color w:val="000000" w:themeColor="text1"/>
          <w:kern w:val="24"/>
          <w:sz w:val="24"/>
          <w:szCs w:val="24"/>
          <w:lang w:eastAsia="en-GB"/>
        </w:rPr>
        <w:t>/2</w:t>
      </w:r>
      <w:r w:rsidR="00402B6A" w:rsidRPr="007A7A8B">
        <w:rPr>
          <w:rFonts w:ascii="Verdana" w:eastAsia="Times New Roman" w:hAnsi="Verdana" w:cs="Times New Roman"/>
          <w:color w:val="000000" w:themeColor="text1"/>
          <w:kern w:val="24"/>
          <w:sz w:val="24"/>
          <w:szCs w:val="24"/>
          <w:lang w:eastAsia="en-GB"/>
        </w:rPr>
        <w:t>3</w:t>
      </w:r>
      <w:r w:rsidR="007A7A8B" w:rsidRPr="007A7A8B">
        <w:rPr>
          <w:rFonts w:ascii="Verdana" w:eastAsia="Times New Roman" w:hAnsi="Verdana" w:cs="Times New Roman"/>
          <w:color w:val="000000" w:themeColor="text1"/>
          <w:kern w:val="24"/>
          <w:sz w:val="24"/>
          <w:szCs w:val="24"/>
          <w:lang w:eastAsia="en-GB"/>
        </w:rPr>
        <w:t xml:space="preserve"> totals £6.827</w:t>
      </w:r>
      <w:r w:rsidR="00511DA0" w:rsidRPr="007A7A8B">
        <w:rPr>
          <w:rFonts w:ascii="Verdana" w:eastAsia="Times New Roman" w:hAnsi="Verdana" w:cs="Times New Roman"/>
          <w:color w:val="000000" w:themeColor="text1"/>
          <w:kern w:val="24"/>
          <w:sz w:val="24"/>
          <w:szCs w:val="24"/>
          <w:lang w:eastAsia="en-GB"/>
        </w:rPr>
        <w:t>m,</w:t>
      </w:r>
      <w:r w:rsidR="000A7F62" w:rsidRPr="007A7A8B">
        <w:rPr>
          <w:rFonts w:ascii="Verdana" w:eastAsia="Times New Roman" w:hAnsi="Verdana" w:cs="Times New Roman"/>
          <w:color w:val="000000" w:themeColor="text1"/>
          <w:kern w:val="24"/>
          <w:sz w:val="24"/>
          <w:szCs w:val="24"/>
          <w:lang w:eastAsia="en-GB"/>
        </w:rPr>
        <w:t xml:space="preserve"> </w:t>
      </w:r>
      <w:r w:rsidR="00AC30CB" w:rsidRPr="007A7A8B">
        <w:rPr>
          <w:rFonts w:ascii="Verdana" w:eastAsia="Times New Roman" w:hAnsi="Verdana" w:cs="Times New Roman"/>
          <w:color w:val="000000" w:themeColor="text1"/>
          <w:kern w:val="24"/>
          <w:sz w:val="24"/>
          <w:szCs w:val="24"/>
          <w:lang w:eastAsia="en-GB"/>
        </w:rPr>
        <w:t xml:space="preserve">£1.158m of Discretionary capital and </w:t>
      </w:r>
      <w:r w:rsidR="00AC1EBB" w:rsidRPr="007A7A8B">
        <w:rPr>
          <w:rFonts w:ascii="Verdana" w:eastAsia="Times New Roman" w:hAnsi="Verdana" w:cs="Times New Roman"/>
          <w:color w:val="000000" w:themeColor="text1"/>
          <w:kern w:val="24"/>
          <w:sz w:val="24"/>
          <w:szCs w:val="24"/>
          <w:lang w:eastAsia="en-GB"/>
        </w:rPr>
        <w:t>£5</w:t>
      </w:r>
      <w:r w:rsidR="00481B44" w:rsidRPr="007A7A8B">
        <w:rPr>
          <w:rFonts w:ascii="Verdana" w:eastAsia="Times New Roman" w:hAnsi="Verdana" w:cs="Times New Roman"/>
          <w:color w:val="000000" w:themeColor="text1"/>
          <w:kern w:val="24"/>
          <w:sz w:val="24"/>
          <w:szCs w:val="24"/>
          <w:lang w:eastAsia="en-GB"/>
        </w:rPr>
        <w:t>.</w:t>
      </w:r>
      <w:r w:rsidR="007A7A8B" w:rsidRPr="007A7A8B">
        <w:rPr>
          <w:rFonts w:ascii="Verdana" w:eastAsia="Times New Roman" w:hAnsi="Verdana" w:cs="Times New Roman"/>
          <w:color w:val="000000" w:themeColor="text1"/>
          <w:kern w:val="24"/>
          <w:sz w:val="24"/>
          <w:szCs w:val="24"/>
          <w:lang w:eastAsia="en-GB"/>
        </w:rPr>
        <w:t>669m of Strategic Capital. £3.356</w:t>
      </w:r>
      <w:r w:rsidR="00481B44" w:rsidRPr="007A7A8B">
        <w:rPr>
          <w:rFonts w:ascii="Verdana" w:eastAsia="Times New Roman" w:hAnsi="Verdana" w:cs="Times New Roman"/>
          <w:color w:val="000000" w:themeColor="text1"/>
          <w:kern w:val="24"/>
          <w:sz w:val="24"/>
          <w:szCs w:val="24"/>
          <w:lang w:eastAsia="en-GB"/>
        </w:rPr>
        <w:t>m of Strategic capital relates to Public Health Wales</w:t>
      </w:r>
      <w:r w:rsidR="00B66BF4">
        <w:rPr>
          <w:rFonts w:ascii="Verdana" w:eastAsia="Times New Roman" w:hAnsi="Verdana" w:cs="Times New Roman"/>
          <w:color w:val="000000" w:themeColor="text1"/>
          <w:kern w:val="24"/>
          <w:sz w:val="24"/>
          <w:szCs w:val="24"/>
          <w:lang w:eastAsia="en-GB"/>
        </w:rPr>
        <w:t xml:space="preserve"> and t</w:t>
      </w:r>
      <w:r w:rsidR="00481B44" w:rsidRPr="007A7A8B">
        <w:rPr>
          <w:rFonts w:ascii="Verdana" w:eastAsia="Times New Roman" w:hAnsi="Verdana" w:cs="Times New Roman"/>
          <w:color w:val="000000" w:themeColor="text1"/>
          <w:kern w:val="24"/>
          <w:sz w:val="24"/>
          <w:szCs w:val="24"/>
          <w:lang w:eastAsia="en-GB"/>
        </w:rPr>
        <w:t xml:space="preserve">he remaining </w:t>
      </w:r>
      <w:r w:rsidR="00AC1EBB" w:rsidRPr="007A7A8B">
        <w:rPr>
          <w:rFonts w:ascii="Verdana" w:eastAsia="Times New Roman" w:hAnsi="Verdana" w:cs="Times New Roman"/>
          <w:color w:val="000000" w:themeColor="text1"/>
          <w:kern w:val="24"/>
          <w:sz w:val="24"/>
          <w:szCs w:val="24"/>
          <w:lang w:eastAsia="en-GB"/>
        </w:rPr>
        <w:t xml:space="preserve">£2.313m </w:t>
      </w:r>
      <w:r w:rsidR="00481B44" w:rsidRPr="007A7A8B">
        <w:rPr>
          <w:rFonts w:ascii="Verdana" w:eastAsia="Times New Roman" w:hAnsi="Verdana" w:cs="Times New Roman"/>
          <w:color w:val="000000" w:themeColor="text1"/>
          <w:kern w:val="24"/>
          <w:sz w:val="24"/>
          <w:szCs w:val="24"/>
          <w:lang w:eastAsia="en-GB"/>
        </w:rPr>
        <w:t>relat</w:t>
      </w:r>
      <w:r w:rsidR="00B66BF4">
        <w:rPr>
          <w:rFonts w:ascii="Verdana" w:eastAsia="Times New Roman" w:hAnsi="Verdana" w:cs="Times New Roman"/>
          <w:color w:val="000000" w:themeColor="text1"/>
          <w:kern w:val="24"/>
          <w:sz w:val="24"/>
          <w:szCs w:val="24"/>
          <w:lang w:eastAsia="en-GB"/>
        </w:rPr>
        <w:t>ing</w:t>
      </w:r>
      <w:r w:rsidR="00481B44" w:rsidRPr="007A7A8B">
        <w:rPr>
          <w:rFonts w:ascii="Verdana" w:eastAsia="Times New Roman" w:hAnsi="Verdana" w:cs="Times New Roman"/>
          <w:color w:val="000000" w:themeColor="text1"/>
          <w:kern w:val="24"/>
          <w:sz w:val="24"/>
          <w:szCs w:val="24"/>
          <w:lang w:eastAsia="en-GB"/>
        </w:rPr>
        <w:t xml:space="preserve"> </w:t>
      </w:r>
      <w:r w:rsidR="00B66BF4">
        <w:rPr>
          <w:rFonts w:ascii="Verdana" w:eastAsia="Times New Roman" w:hAnsi="Verdana" w:cs="Times New Roman"/>
          <w:color w:val="000000" w:themeColor="text1"/>
          <w:kern w:val="24"/>
          <w:sz w:val="24"/>
          <w:szCs w:val="24"/>
          <w:lang w:eastAsia="en-GB"/>
        </w:rPr>
        <w:t>to o</w:t>
      </w:r>
      <w:r w:rsidR="00481B44" w:rsidRPr="007A7A8B">
        <w:rPr>
          <w:rFonts w:ascii="Verdana" w:eastAsia="Times New Roman" w:hAnsi="Verdana" w:cs="Times New Roman"/>
          <w:color w:val="000000" w:themeColor="text1"/>
          <w:kern w:val="24"/>
          <w:sz w:val="24"/>
          <w:szCs w:val="24"/>
          <w:lang w:eastAsia="en-GB"/>
        </w:rPr>
        <w:t>ur Hosted Organisation, The NHS</w:t>
      </w:r>
      <w:r w:rsidR="00B66BF4">
        <w:rPr>
          <w:rFonts w:ascii="Verdana" w:eastAsia="Times New Roman" w:hAnsi="Verdana" w:cs="Times New Roman"/>
          <w:color w:val="000000" w:themeColor="text1"/>
          <w:kern w:val="24"/>
          <w:sz w:val="24"/>
          <w:szCs w:val="24"/>
          <w:lang w:eastAsia="en-GB"/>
        </w:rPr>
        <w:t xml:space="preserve"> Wales Health</w:t>
      </w:r>
      <w:r w:rsidR="00481B44" w:rsidRPr="007A7A8B">
        <w:rPr>
          <w:rFonts w:ascii="Verdana" w:eastAsia="Times New Roman" w:hAnsi="Verdana" w:cs="Times New Roman"/>
          <w:color w:val="000000" w:themeColor="text1"/>
          <w:kern w:val="24"/>
          <w:sz w:val="24"/>
          <w:szCs w:val="24"/>
          <w:lang w:eastAsia="en-GB"/>
        </w:rPr>
        <w:t xml:space="preserve"> Collaborative.</w:t>
      </w:r>
      <w:r w:rsidR="00730F6A">
        <w:rPr>
          <w:rFonts w:ascii="Verdana" w:eastAsia="Times New Roman" w:hAnsi="Verdana" w:cs="Times New Roman"/>
          <w:color w:val="000000" w:themeColor="text1"/>
          <w:kern w:val="24"/>
          <w:sz w:val="24"/>
          <w:szCs w:val="24"/>
          <w:lang w:eastAsia="en-GB"/>
        </w:rPr>
        <w:t xml:space="preserve">  </w:t>
      </w:r>
      <w:r w:rsidR="00B66BF4">
        <w:rPr>
          <w:rFonts w:ascii="Verdana" w:eastAsia="Times New Roman" w:hAnsi="Verdana" w:cs="Times New Roman"/>
          <w:color w:val="000000" w:themeColor="text1"/>
          <w:kern w:val="24"/>
          <w:sz w:val="24"/>
          <w:szCs w:val="24"/>
          <w:lang w:eastAsia="en-GB"/>
        </w:rPr>
        <w:t xml:space="preserve">We are anticipating that the </w:t>
      </w:r>
      <w:r w:rsidR="00730F6A">
        <w:rPr>
          <w:rFonts w:ascii="Verdana" w:eastAsia="Times New Roman" w:hAnsi="Verdana" w:cs="Times New Roman"/>
          <w:color w:val="000000" w:themeColor="text1"/>
          <w:kern w:val="24"/>
          <w:sz w:val="24"/>
          <w:szCs w:val="24"/>
          <w:lang w:eastAsia="en-GB"/>
        </w:rPr>
        <w:t xml:space="preserve">£2.313m </w:t>
      </w:r>
      <w:r w:rsidR="00B66BF4">
        <w:rPr>
          <w:rFonts w:ascii="Verdana" w:eastAsia="Times New Roman" w:hAnsi="Verdana" w:cs="Times New Roman"/>
          <w:color w:val="000000" w:themeColor="text1"/>
          <w:kern w:val="24"/>
          <w:sz w:val="24"/>
          <w:szCs w:val="24"/>
          <w:lang w:eastAsia="en-GB"/>
        </w:rPr>
        <w:t>will transfer</w:t>
      </w:r>
      <w:r w:rsidR="00730F6A">
        <w:rPr>
          <w:rFonts w:ascii="Verdana" w:eastAsia="Times New Roman" w:hAnsi="Verdana" w:cs="Times New Roman"/>
          <w:color w:val="000000" w:themeColor="text1"/>
          <w:kern w:val="24"/>
          <w:sz w:val="24"/>
          <w:szCs w:val="24"/>
          <w:lang w:eastAsia="en-GB"/>
        </w:rPr>
        <w:t xml:space="preserve"> to DHCW</w:t>
      </w:r>
      <w:r w:rsidR="00B66BF4">
        <w:rPr>
          <w:rFonts w:ascii="Verdana" w:eastAsia="Times New Roman" w:hAnsi="Verdana" w:cs="Times New Roman"/>
          <w:color w:val="000000" w:themeColor="text1"/>
          <w:kern w:val="24"/>
          <w:sz w:val="24"/>
          <w:szCs w:val="24"/>
          <w:lang w:eastAsia="en-GB"/>
        </w:rPr>
        <w:t xml:space="preserve"> to reflect the transfer of the LINC and RISP programmes on 1</w:t>
      </w:r>
      <w:r w:rsidR="00B66BF4" w:rsidRPr="00B66BF4">
        <w:rPr>
          <w:rFonts w:ascii="Verdana" w:eastAsia="Times New Roman" w:hAnsi="Verdana" w:cs="Times New Roman"/>
          <w:color w:val="000000" w:themeColor="text1"/>
          <w:kern w:val="24"/>
          <w:sz w:val="24"/>
          <w:szCs w:val="24"/>
          <w:vertAlign w:val="superscript"/>
          <w:lang w:eastAsia="en-GB"/>
        </w:rPr>
        <w:t>st</w:t>
      </w:r>
      <w:r w:rsidR="00B66BF4">
        <w:rPr>
          <w:rFonts w:ascii="Verdana" w:eastAsia="Times New Roman" w:hAnsi="Verdana" w:cs="Times New Roman"/>
          <w:color w:val="000000" w:themeColor="text1"/>
          <w:kern w:val="24"/>
          <w:sz w:val="24"/>
          <w:szCs w:val="24"/>
          <w:lang w:eastAsia="en-GB"/>
        </w:rPr>
        <w:t xml:space="preserve"> January 2023.</w:t>
      </w:r>
    </w:p>
    <w:p w:rsidR="00AC1EBB" w:rsidRPr="00F52B2D" w:rsidRDefault="00AC1EBB" w:rsidP="00FF7411">
      <w:pPr>
        <w:spacing w:after="0" w:line="240" w:lineRule="auto"/>
        <w:jc w:val="both"/>
        <w:rPr>
          <w:rFonts w:ascii="Verdana" w:eastAsia="Times New Roman" w:hAnsi="Verdana" w:cs="Times New Roman"/>
          <w:color w:val="000000" w:themeColor="text1"/>
          <w:kern w:val="24"/>
          <w:sz w:val="24"/>
          <w:szCs w:val="24"/>
          <w:highlight w:val="cyan"/>
          <w:lang w:eastAsia="en-GB"/>
        </w:rPr>
      </w:pPr>
    </w:p>
    <w:p w:rsidR="00DE1B5F" w:rsidRPr="007A7A8B" w:rsidRDefault="00481B44" w:rsidP="00FF7411">
      <w:pPr>
        <w:spacing w:after="0" w:line="240" w:lineRule="auto"/>
        <w:jc w:val="both"/>
        <w:rPr>
          <w:rFonts w:ascii="Verdana" w:eastAsia="Times New Roman" w:hAnsi="Verdana" w:cs="Times New Roman"/>
          <w:color w:val="000000" w:themeColor="text1"/>
          <w:kern w:val="24"/>
          <w:sz w:val="24"/>
          <w:szCs w:val="24"/>
          <w:lang w:eastAsia="en-GB"/>
        </w:rPr>
      </w:pPr>
      <w:r w:rsidRPr="007A7A8B">
        <w:rPr>
          <w:rFonts w:ascii="Verdana" w:eastAsia="Times New Roman" w:hAnsi="Verdana" w:cs="Times New Roman"/>
          <w:color w:val="000000" w:themeColor="text1"/>
          <w:kern w:val="24"/>
          <w:sz w:val="24"/>
          <w:szCs w:val="24"/>
          <w:lang w:eastAsia="en-GB"/>
        </w:rPr>
        <w:t>Details of the schemes</w:t>
      </w:r>
      <w:r w:rsidR="00F06628" w:rsidRPr="007A7A8B">
        <w:rPr>
          <w:rFonts w:ascii="Verdana" w:eastAsia="Times New Roman" w:hAnsi="Verdana" w:cs="Times New Roman"/>
          <w:color w:val="000000" w:themeColor="text1"/>
          <w:kern w:val="24"/>
          <w:sz w:val="24"/>
          <w:szCs w:val="24"/>
          <w:lang w:eastAsia="en-GB"/>
        </w:rPr>
        <w:t xml:space="preserve"> are shown in</w:t>
      </w:r>
      <w:r w:rsidR="000A7F62" w:rsidRPr="007A7A8B">
        <w:rPr>
          <w:rFonts w:ascii="Verdana" w:eastAsia="Times New Roman" w:hAnsi="Verdana" w:cs="Times New Roman"/>
          <w:color w:val="000000" w:themeColor="text1"/>
          <w:kern w:val="24"/>
          <w:sz w:val="24"/>
          <w:szCs w:val="24"/>
          <w:lang w:eastAsia="en-GB"/>
        </w:rPr>
        <w:t xml:space="preserve"> Table </w:t>
      </w:r>
      <w:r w:rsidR="00F06628" w:rsidRPr="007A7A8B">
        <w:rPr>
          <w:rFonts w:ascii="Verdana" w:eastAsia="Times New Roman" w:hAnsi="Verdana" w:cs="Times New Roman"/>
          <w:color w:val="000000" w:themeColor="text1"/>
          <w:kern w:val="24"/>
          <w:sz w:val="24"/>
          <w:szCs w:val="24"/>
          <w:lang w:eastAsia="en-GB"/>
        </w:rPr>
        <w:t>E</w:t>
      </w:r>
      <w:r w:rsidR="000A7F62" w:rsidRPr="007A7A8B">
        <w:rPr>
          <w:rFonts w:ascii="Verdana" w:eastAsia="Times New Roman" w:hAnsi="Verdana" w:cs="Times New Roman"/>
          <w:color w:val="000000" w:themeColor="text1"/>
          <w:kern w:val="24"/>
          <w:sz w:val="24"/>
          <w:szCs w:val="24"/>
          <w:lang w:eastAsia="en-GB"/>
        </w:rPr>
        <w:t xml:space="preserve">.  </w:t>
      </w:r>
    </w:p>
    <w:p w:rsidR="00DE1B5F" w:rsidRPr="00F52B2D" w:rsidRDefault="00DE1B5F" w:rsidP="00FF7411">
      <w:pPr>
        <w:spacing w:after="0" w:line="240" w:lineRule="auto"/>
        <w:jc w:val="both"/>
        <w:rPr>
          <w:rFonts w:ascii="Verdana" w:hAnsi="Verdana"/>
          <w:sz w:val="24"/>
          <w:szCs w:val="24"/>
          <w:highlight w:val="cyan"/>
        </w:rPr>
      </w:pPr>
    </w:p>
    <w:p w:rsidR="00163E3F" w:rsidRPr="007A7A8B" w:rsidRDefault="00FB0A10" w:rsidP="00FF7411">
      <w:pPr>
        <w:spacing w:after="0" w:line="240" w:lineRule="auto"/>
        <w:jc w:val="both"/>
        <w:rPr>
          <w:rFonts w:ascii="Verdana" w:hAnsi="Verdana"/>
          <w:b/>
          <w:sz w:val="24"/>
          <w:szCs w:val="24"/>
        </w:rPr>
      </w:pPr>
      <w:r w:rsidRPr="007A7A8B">
        <w:rPr>
          <w:rFonts w:ascii="Verdana" w:hAnsi="Verdana"/>
          <w:b/>
          <w:sz w:val="24"/>
          <w:szCs w:val="24"/>
        </w:rPr>
        <w:t xml:space="preserve">Table </w:t>
      </w:r>
      <w:r w:rsidR="00F06628" w:rsidRPr="007A7A8B">
        <w:rPr>
          <w:rFonts w:ascii="Verdana" w:hAnsi="Verdana"/>
          <w:b/>
          <w:sz w:val="24"/>
          <w:szCs w:val="24"/>
        </w:rPr>
        <w:t>E</w:t>
      </w:r>
      <w:r w:rsidRPr="007A7A8B">
        <w:rPr>
          <w:rFonts w:ascii="Verdana" w:hAnsi="Verdana"/>
          <w:b/>
          <w:sz w:val="24"/>
          <w:szCs w:val="24"/>
        </w:rPr>
        <w:t xml:space="preserve"> – Summary of Capital schemes</w:t>
      </w:r>
    </w:p>
    <w:p w:rsidR="00A9629E" w:rsidRPr="00F52B2D" w:rsidRDefault="00A9629E" w:rsidP="00FF7411">
      <w:pPr>
        <w:spacing w:after="0" w:line="240" w:lineRule="auto"/>
        <w:jc w:val="both"/>
        <w:rPr>
          <w:rFonts w:ascii="Verdana" w:hAnsi="Verdana"/>
          <w:b/>
          <w:sz w:val="24"/>
          <w:szCs w:val="24"/>
          <w:highlight w:val="cyan"/>
        </w:rPr>
      </w:pPr>
    </w:p>
    <w:tbl>
      <w:tblPr>
        <w:tblW w:w="7920" w:type="dxa"/>
        <w:tblLook w:val="04A0" w:firstRow="1" w:lastRow="0" w:firstColumn="1" w:lastColumn="0" w:noHBand="0" w:noVBand="1"/>
      </w:tblPr>
      <w:tblGrid>
        <w:gridCol w:w="1158"/>
        <w:gridCol w:w="1340"/>
        <w:gridCol w:w="2829"/>
        <w:gridCol w:w="1003"/>
        <w:gridCol w:w="759"/>
        <w:gridCol w:w="964"/>
      </w:tblGrid>
      <w:tr w:rsidR="007A7A8B" w:rsidRPr="007A7A8B" w:rsidTr="007A7A8B">
        <w:trPr>
          <w:trHeight w:val="1020"/>
        </w:trPr>
        <w:tc>
          <w:tcPr>
            <w:tcW w:w="1158" w:type="dxa"/>
            <w:tcBorders>
              <w:top w:val="nil"/>
              <w:left w:val="nil"/>
              <w:bottom w:val="single" w:sz="4" w:space="0" w:color="95B3D7"/>
              <w:right w:val="nil"/>
            </w:tcBorders>
            <w:shd w:val="clear" w:color="000000" w:fill="538DD5"/>
            <w:vAlign w:val="bottom"/>
            <w:hideMark/>
          </w:tcPr>
          <w:p w:rsidR="007A7A8B" w:rsidRPr="007A7A8B" w:rsidRDefault="007A7A8B" w:rsidP="007A7A8B">
            <w:pPr>
              <w:spacing w:after="0" w:line="240" w:lineRule="auto"/>
              <w:jc w:val="center"/>
              <w:rPr>
                <w:rFonts w:ascii="Calibri" w:eastAsia="Times New Roman" w:hAnsi="Calibri" w:cs="Calibri"/>
                <w:b/>
                <w:bCs/>
                <w:color w:val="FFFFFF"/>
                <w:sz w:val="16"/>
                <w:szCs w:val="16"/>
                <w:lang w:eastAsia="en-GB"/>
              </w:rPr>
            </w:pPr>
            <w:r w:rsidRPr="007A7A8B">
              <w:rPr>
                <w:rFonts w:ascii="Calibri" w:eastAsia="Times New Roman" w:hAnsi="Calibri" w:cs="Calibri"/>
                <w:b/>
                <w:bCs/>
                <w:color w:val="FFFFFF"/>
                <w:sz w:val="16"/>
                <w:szCs w:val="16"/>
                <w:lang w:eastAsia="en-GB"/>
              </w:rPr>
              <w:t>Fund</w:t>
            </w:r>
          </w:p>
        </w:tc>
        <w:tc>
          <w:tcPr>
            <w:tcW w:w="1340" w:type="dxa"/>
            <w:tcBorders>
              <w:top w:val="nil"/>
              <w:left w:val="nil"/>
              <w:bottom w:val="single" w:sz="4" w:space="0" w:color="95B3D7"/>
              <w:right w:val="nil"/>
            </w:tcBorders>
            <w:shd w:val="clear" w:color="000000" w:fill="538DD5"/>
            <w:vAlign w:val="bottom"/>
            <w:hideMark/>
          </w:tcPr>
          <w:p w:rsidR="007A7A8B" w:rsidRPr="007A7A8B" w:rsidRDefault="007A7A8B" w:rsidP="007A7A8B">
            <w:pPr>
              <w:spacing w:after="0" w:line="240" w:lineRule="auto"/>
              <w:jc w:val="center"/>
              <w:rPr>
                <w:rFonts w:ascii="Calibri" w:eastAsia="Times New Roman" w:hAnsi="Calibri" w:cs="Calibri"/>
                <w:b/>
                <w:bCs/>
                <w:color w:val="FFFFFF"/>
                <w:sz w:val="16"/>
                <w:szCs w:val="16"/>
                <w:lang w:eastAsia="en-GB"/>
              </w:rPr>
            </w:pPr>
            <w:r w:rsidRPr="007A7A8B">
              <w:rPr>
                <w:rFonts w:ascii="Calibri" w:eastAsia="Times New Roman" w:hAnsi="Calibri" w:cs="Calibri"/>
                <w:b/>
                <w:bCs/>
                <w:color w:val="FFFFFF"/>
                <w:sz w:val="16"/>
                <w:szCs w:val="16"/>
                <w:lang w:eastAsia="en-GB"/>
              </w:rPr>
              <w:t>Service Area</w:t>
            </w:r>
          </w:p>
        </w:tc>
        <w:tc>
          <w:tcPr>
            <w:tcW w:w="2829" w:type="dxa"/>
            <w:tcBorders>
              <w:top w:val="nil"/>
              <w:left w:val="nil"/>
              <w:bottom w:val="single" w:sz="4" w:space="0" w:color="95B3D7"/>
              <w:right w:val="nil"/>
            </w:tcBorders>
            <w:shd w:val="clear" w:color="000000" w:fill="538DD5"/>
            <w:vAlign w:val="bottom"/>
            <w:hideMark/>
          </w:tcPr>
          <w:p w:rsidR="007A7A8B" w:rsidRPr="007A7A8B" w:rsidRDefault="007A7A8B" w:rsidP="007A7A8B">
            <w:pPr>
              <w:spacing w:after="0" w:line="240" w:lineRule="auto"/>
              <w:jc w:val="center"/>
              <w:rPr>
                <w:rFonts w:ascii="Calibri" w:eastAsia="Times New Roman" w:hAnsi="Calibri" w:cs="Calibri"/>
                <w:b/>
                <w:bCs/>
                <w:color w:val="FFFFFF"/>
                <w:sz w:val="16"/>
                <w:szCs w:val="16"/>
                <w:lang w:eastAsia="en-GB"/>
              </w:rPr>
            </w:pPr>
            <w:r w:rsidRPr="007A7A8B">
              <w:rPr>
                <w:rFonts w:ascii="Calibri" w:eastAsia="Times New Roman" w:hAnsi="Calibri" w:cs="Calibri"/>
                <w:b/>
                <w:bCs/>
                <w:color w:val="FFFFFF"/>
                <w:sz w:val="16"/>
                <w:szCs w:val="16"/>
                <w:lang w:eastAsia="en-GB"/>
              </w:rPr>
              <w:t>Details</w:t>
            </w:r>
          </w:p>
        </w:tc>
        <w:tc>
          <w:tcPr>
            <w:tcW w:w="1003" w:type="dxa"/>
            <w:tcBorders>
              <w:top w:val="nil"/>
              <w:left w:val="nil"/>
              <w:bottom w:val="single" w:sz="4" w:space="0" w:color="95B3D7"/>
              <w:right w:val="nil"/>
            </w:tcBorders>
            <w:shd w:val="clear" w:color="000000" w:fill="538DD5"/>
            <w:vAlign w:val="bottom"/>
            <w:hideMark/>
          </w:tcPr>
          <w:p w:rsidR="007A7A8B" w:rsidRPr="007A7A8B" w:rsidRDefault="007A7A8B" w:rsidP="007A7A8B">
            <w:pPr>
              <w:spacing w:after="0" w:line="240" w:lineRule="auto"/>
              <w:jc w:val="center"/>
              <w:rPr>
                <w:rFonts w:ascii="Calibri" w:eastAsia="Times New Roman" w:hAnsi="Calibri" w:cs="Calibri"/>
                <w:b/>
                <w:bCs/>
                <w:color w:val="FFFFFF"/>
                <w:sz w:val="16"/>
                <w:szCs w:val="16"/>
                <w:lang w:eastAsia="en-GB"/>
              </w:rPr>
            </w:pPr>
            <w:r w:rsidRPr="007A7A8B">
              <w:rPr>
                <w:rFonts w:ascii="Calibri" w:eastAsia="Times New Roman" w:hAnsi="Calibri" w:cs="Calibri"/>
                <w:b/>
                <w:bCs/>
                <w:color w:val="FFFFFF"/>
                <w:sz w:val="16"/>
                <w:szCs w:val="16"/>
                <w:lang w:eastAsia="en-GB"/>
              </w:rPr>
              <w:t>2022/23 Allocation £000s</w:t>
            </w:r>
          </w:p>
        </w:tc>
        <w:tc>
          <w:tcPr>
            <w:tcW w:w="759" w:type="dxa"/>
            <w:tcBorders>
              <w:top w:val="nil"/>
              <w:left w:val="nil"/>
              <w:bottom w:val="single" w:sz="4" w:space="0" w:color="95B3D7"/>
              <w:right w:val="nil"/>
            </w:tcBorders>
            <w:shd w:val="clear" w:color="000000" w:fill="538DD5"/>
            <w:vAlign w:val="bottom"/>
            <w:hideMark/>
          </w:tcPr>
          <w:p w:rsidR="007A7A8B" w:rsidRPr="007A7A8B" w:rsidRDefault="007A7A8B" w:rsidP="007A7A8B">
            <w:pPr>
              <w:spacing w:after="0" w:line="240" w:lineRule="auto"/>
              <w:jc w:val="center"/>
              <w:rPr>
                <w:rFonts w:ascii="Calibri" w:eastAsia="Times New Roman" w:hAnsi="Calibri" w:cs="Calibri"/>
                <w:b/>
                <w:bCs/>
                <w:color w:val="FFFFFF"/>
                <w:sz w:val="16"/>
                <w:szCs w:val="16"/>
                <w:lang w:eastAsia="en-GB"/>
              </w:rPr>
            </w:pPr>
            <w:r w:rsidRPr="007A7A8B">
              <w:rPr>
                <w:rFonts w:ascii="Calibri" w:eastAsia="Times New Roman" w:hAnsi="Calibri" w:cs="Calibri"/>
                <w:b/>
                <w:bCs/>
                <w:color w:val="FFFFFF"/>
                <w:sz w:val="16"/>
                <w:szCs w:val="16"/>
                <w:lang w:eastAsia="en-GB"/>
              </w:rPr>
              <w:t>Year To Date spend 22/23</w:t>
            </w:r>
          </w:p>
        </w:tc>
        <w:tc>
          <w:tcPr>
            <w:tcW w:w="831" w:type="dxa"/>
            <w:tcBorders>
              <w:top w:val="nil"/>
              <w:left w:val="nil"/>
              <w:bottom w:val="single" w:sz="4" w:space="0" w:color="95B3D7"/>
              <w:right w:val="nil"/>
            </w:tcBorders>
            <w:shd w:val="clear" w:color="000000" w:fill="538DD5"/>
            <w:vAlign w:val="bottom"/>
            <w:hideMark/>
          </w:tcPr>
          <w:p w:rsidR="007A7A8B" w:rsidRPr="007A7A8B" w:rsidRDefault="007A7A8B" w:rsidP="007A7A8B">
            <w:pPr>
              <w:spacing w:after="0" w:line="240" w:lineRule="auto"/>
              <w:jc w:val="center"/>
              <w:rPr>
                <w:rFonts w:ascii="Calibri" w:eastAsia="Times New Roman" w:hAnsi="Calibri" w:cs="Calibri"/>
                <w:b/>
                <w:bCs/>
                <w:color w:val="FFFFFF"/>
                <w:sz w:val="16"/>
                <w:szCs w:val="16"/>
                <w:lang w:eastAsia="en-GB"/>
              </w:rPr>
            </w:pPr>
            <w:r w:rsidRPr="007A7A8B">
              <w:rPr>
                <w:rFonts w:ascii="Calibri" w:eastAsia="Times New Roman" w:hAnsi="Calibri" w:cs="Calibri"/>
                <w:b/>
                <w:bCs/>
                <w:color w:val="FFFFFF"/>
                <w:sz w:val="16"/>
                <w:szCs w:val="16"/>
                <w:lang w:eastAsia="en-GB"/>
              </w:rPr>
              <w:t>Committed via Purchase Order £000s</w:t>
            </w:r>
          </w:p>
        </w:tc>
      </w:tr>
      <w:tr w:rsidR="007A7A8B" w:rsidRPr="007A7A8B" w:rsidTr="007A7A8B">
        <w:trPr>
          <w:trHeight w:val="42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Contingency</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Contingency</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207</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42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Estates</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 xml:space="preserve">Additional work to No 18 cathedral Road roof </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10</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43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Estates</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North Wales Estates - Clwydian House refurbishment</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350</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337</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57</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Estates</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IP5 - Electrical Work</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10</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IT</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Air gapped back ups</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212</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212</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IT</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Clinical System Printers</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22</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9</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IT</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IT equipment for investment posts</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51</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IT</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Mitel call recording</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19</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IT</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SQL Server Licences for 18 Cathedral Rd Site</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10</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IT</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UPS purchases not possible in 21/22</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16</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Microbiology</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Benchmark autoclave</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12</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12</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Microbiology</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Replace anaerobic workstation</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100</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Microbiology</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Air Con Unit - Mycology Lab</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6</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6</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43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Microbiology</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Refurbishment of UGF Rm 82 - CAPITAL TFR TO C&amp;V</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11</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Microbiology</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Extra Heavy duty powered stair climber</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5</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5</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Screening</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Work to Counselling room - BTW Cardiff</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6</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Screening</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BTW Specimen cabinet</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79</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79</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Screening</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BSW - C02 insufflator x 2 (GGH &amp; WGH)</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25</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13</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Discretionary</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Screening</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DESW - replacement doors</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7</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8</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2498" w:type="dxa"/>
            <w:gridSpan w:val="2"/>
            <w:tcBorders>
              <w:top w:val="single" w:sz="4" w:space="0" w:color="4F81BD"/>
              <w:left w:val="nil"/>
              <w:bottom w:val="single" w:sz="4" w:space="0" w:color="4F81BD"/>
              <w:right w:val="nil"/>
            </w:tcBorders>
            <w:shd w:val="clear" w:color="000000" w:fill="F2F2F2"/>
            <w:noWrap/>
            <w:vAlign w:val="bottom"/>
            <w:hideMark/>
          </w:tcPr>
          <w:p w:rsidR="007A7A8B" w:rsidRPr="007A7A8B" w:rsidRDefault="007A7A8B" w:rsidP="007A7A8B">
            <w:pPr>
              <w:spacing w:after="0" w:line="240" w:lineRule="auto"/>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Discretionary Total</w:t>
            </w:r>
          </w:p>
        </w:tc>
        <w:tc>
          <w:tcPr>
            <w:tcW w:w="2829" w:type="dxa"/>
            <w:tcBorders>
              <w:top w:val="single" w:sz="4" w:space="0" w:color="4F81BD"/>
              <w:left w:val="nil"/>
              <w:bottom w:val="single" w:sz="4" w:space="0" w:color="4F81BD"/>
              <w:right w:val="nil"/>
            </w:tcBorders>
            <w:shd w:val="clear" w:color="000000" w:fill="F2F2F2"/>
            <w:vAlign w:val="bottom"/>
            <w:hideMark/>
          </w:tcPr>
          <w:p w:rsidR="007A7A8B" w:rsidRPr="007A7A8B" w:rsidRDefault="007A7A8B" w:rsidP="007A7A8B">
            <w:pPr>
              <w:spacing w:after="0" w:line="240" w:lineRule="auto"/>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 </w:t>
            </w:r>
          </w:p>
        </w:tc>
        <w:tc>
          <w:tcPr>
            <w:tcW w:w="1003" w:type="dxa"/>
            <w:tcBorders>
              <w:top w:val="single" w:sz="4" w:space="0" w:color="4F81BD"/>
              <w:left w:val="nil"/>
              <w:bottom w:val="single" w:sz="4" w:space="0" w:color="4F81BD"/>
              <w:right w:val="nil"/>
            </w:tcBorders>
            <w:shd w:val="clear" w:color="000000" w:fill="F2F2F2"/>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1,158</w:t>
            </w:r>
          </w:p>
        </w:tc>
        <w:tc>
          <w:tcPr>
            <w:tcW w:w="759" w:type="dxa"/>
            <w:tcBorders>
              <w:top w:val="single" w:sz="4" w:space="0" w:color="4F81BD"/>
              <w:left w:val="nil"/>
              <w:bottom w:val="single" w:sz="4" w:space="0" w:color="4F81BD"/>
              <w:right w:val="nil"/>
            </w:tcBorders>
            <w:shd w:val="clear" w:color="000000" w:fill="F2F2F2"/>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609</w:t>
            </w:r>
          </w:p>
        </w:tc>
        <w:tc>
          <w:tcPr>
            <w:tcW w:w="831" w:type="dxa"/>
            <w:tcBorders>
              <w:top w:val="single" w:sz="4" w:space="0" w:color="4F81BD"/>
              <w:left w:val="nil"/>
              <w:bottom w:val="single" w:sz="4" w:space="0" w:color="4F81BD"/>
              <w:right w:val="nil"/>
            </w:tcBorders>
            <w:shd w:val="clear" w:color="000000" w:fill="F2F2F2"/>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148</w:t>
            </w:r>
          </w:p>
        </w:tc>
      </w:tr>
      <w:tr w:rsidR="007A7A8B" w:rsidRPr="007A7A8B" w:rsidTr="007A7A8B">
        <w:trPr>
          <w:trHeight w:val="34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Strategic - PHW</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Microbiology</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proofErr w:type="spellStart"/>
            <w:r w:rsidRPr="007A7A8B">
              <w:rPr>
                <w:rFonts w:ascii="Calibri" w:eastAsia="Times New Roman" w:hAnsi="Calibri" w:cs="Calibri"/>
                <w:sz w:val="16"/>
                <w:szCs w:val="16"/>
                <w:lang w:eastAsia="en-GB"/>
              </w:rPr>
              <w:t>Maldi-Tof</w:t>
            </w:r>
            <w:proofErr w:type="spellEnd"/>
            <w:r w:rsidRPr="007A7A8B">
              <w:rPr>
                <w:rFonts w:ascii="Calibri" w:eastAsia="Times New Roman" w:hAnsi="Calibri" w:cs="Calibri"/>
                <w:sz w:val="16"/>
                <w:szCs w:val="16"/>
                <w:lang w:eastAsia="en-GB"/>
              </w:rPr>
              <w:t xml:space="preserve"> MS</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38</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8</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59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Strategic - PHW</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Screening</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Screening Equipment Replacement (BTW Imaging Equip)</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2,909</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1,171</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1,416</w:t>
            </w:r>
          </w:p>
        </w:tc>
      </w:tr>
      <w:tr w:rsidR="007A7A8B" w:rsidRPr="007A7A8B" w:rsidTr="007A7A8B">
        <w:trPr>
          <w:trHeight w:val="59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Strategic - PHW</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Improvement Cymru</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Discovery Phase of the Maternity and Neonatal Safety Support Programme - IT equipment</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26</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59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Strategic - PHW</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Screening</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DP medical - CSW investment hardware replacement</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204</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59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Strategic - PHW</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Microbiology</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Replacement of 6 x safety cabinet</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179</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330"/>
        </w:trPr>
        <w:tc>
          <w:tcPr>
            <w:tcW w:w="2498" w:type="dxa"/>
            <w:gridSpan w:val="2"/>
            <w:tcBorders>
              <w:top w:val="single" w:sz="4" w:space="0" w:color="4F81BD"/>
              <w:left w:val="nil"/>
              <w:bottom w:val="single" w:sz="4" w:space="0" w:color="4F81BD"/>
              <w:right w:val="nil"/>
            </w:tcBorders>
            <w:shd w:val="clear" w:color="000000" w:fill="F2F2F2"/>
            <w:noWrap/>
            <w:vAlign w:val="bottom"/>
            <w:hideMark/>
          </w:tcPr>
          <w:p w:rsidR="007A7A8B" w:rsidRPr="007A7A8B" w:rsidRDefault="007A7A8B" w:rsidP="007A7A8B">
            <w:pPr>
              <w:spacing w:after="0" w:line="240" w:lineRule="auto"/>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Strategic - PHW Total</w:t>
            </w:r>
          </w:p>
        </w:tc>
        <w:tc>
          <w:tcPr>
            <w:tcW w:w="2829" w:type="dxa"/>
            <w:tcBorders>
              <w:top w:val="single" w:sz="4" w:space="0" w:color="4F81BD"/>
              <w:left w:val="nil"/>
              <w:bottom w:val="single" w:sz="4" w:space="0" w:color="4F81BD"/>
              <w:right w:val="nil"/>
            </w:tcBorders>
            <w:shd w:val="clear" w:color="000000" w:fill="F2F2F2"/>
            <w:vAlign w:val="bottom"/>
            <w:hideMark/>
          </w:tcPr>
          <w:p w:rsidR="007A7A8B" w:rsidRPr="007A7A8B" w:rsidRDefault="007A7A8B" w:rsidP="007A7A8B">
            <w:pPr>
              <w:spacing w:after="0" w:line="240" w:lineRule="auto"/>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 </w:t>
            </w:r>
          </w:p>
        </w:tc>
        <w:tc>
          <w:tcPr>
            <w:tcW w:w="1003" w:type="dxa"/>
            <w:tcBorders>
              <w:top w:val="single" w:sz="4" w:space="0" w:color="4F81BD"/>
              <w:left w:val="nil"/>
              <w:bottom w:val="single" w:sz="4" w:space="0" w:color="4F81BD"/>
              <w:right w:val="nil"/>
            </w:tcBorders>
            <w:shd w:val="clear" w:color="000000" w:fill="F2F2F2"/>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3,356</w:t>
            </w:r>
          </w:p>
        </w:tc>
        <w:tc>
          <w:tcPr>
            <w:tcW w:w="759" w:type="dxa"/>
            <w:tcBorders>
              <w:top w:val="single" w:sz="4" w:space="0" w:color="4F81BD"/>
              <w:left w:val="nil"/>
              <w:bottom w:val="single" w:sz="4" w:space="0" w:color="4F81BD"/>
              <w:right w:val="nil"/>
            </w:tcBorders>
            <w:shd w:val="clear" w:color="000000" w:fill="F2F2F2"/>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1,179</w:t>
            </w:r>
          </w:p>
        </w:tc>
        <w:tc>
          <w:tcPr>
            <w:tcW w:w="831" w:type="dxa"/>
            <w:tcBorders>
              <w:top w:val="single" w:sz="4" w:space="0" w:color="4F81BD"/>
              <w:left w:val="nil"/>
              <w:bottom w:val="single" w:sz="4" w:space="0" w:color="4F81BD"/>
              <w:right w:val="nil"/>
            </w:tcBorders>
            <w:shd w:val="clear" w:color="000000" w:fill="F2F2F2"/>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1,416</w:t>
            </w:r>
          </w:p>
        </w:tc>
      </w:tr>
      <w:tr w:rsidR="007A7A8B" w:rsidRPr="007A7A8B" w:rsidTr="007A7A8B">
        <w:trPr>
          <w:trHeight w:val="330"/>
        </w:trPr>
        <w:tc>
          <w:tcPr>
            <w:tcW w:w="5327" w:type="dxa"/>
            <w:gridSpan w:val="3"/>
            <w:tcBorders>
              <w:top w:val="single" w:sz="4" w:space="0" w:color="95B3D7"/>
              <w:left w:val="nil"/>
              <w:bottom w:val="nil"/>
              <w:right w:val="nil"/>
            </w:tcBorders>
            <w:shd w:val="clear" w:color="DCE6F1" w:fill="DCE6F1"/>
            <w:noWrap/>
            <w:vAlign w:val="bottom"/>
            <w:hideMark/>
          </w:tcPr>
          <w:p w:rsidR="007A7A8B" w:rsidRPr="007A7A8B" w:rsidRDefault="007A7A8B" w:rsidP="007A7A8B">
            <w:pPr>
              <w:spacing w:after="0" w:line="240" w:lineRule="auto"/>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Total Public Health Wales Capital</w:t>
            </w:r>
          </w:p>
        </w:tc>
        <w:tc>
          <w:tcPr>
            <w:tcW w:w="1003" w:type="dxa"/>
            <w:tcBorders>
              <w:top w:val="single" w:sz="4" w:space="0" w:color="95B3D7"/>
              <w:left w:val="nil"/>
              <w:bottom w:val="nil"/>
              <w:right w:val="nil"/>
            </w:tcBorders>
            <w:shd w:val="clear" w:color="DCE6F1" w:fill="DCE6F1"/>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4,514</w:t>
            </w:r>
          </w:p>
        </w:tc>
        <w:tc>
          <w:tcPr>
            <w:tcW w:w="759" w:type="dxa"/>
            <w:tcBorders>
              <w:top w:val="single" w:sz="4" w:space="0" w:color="95B3D7"/>
              <w:left w:val="nil"/>
              <w:bottom w:val="nil"/>
              <w:right w:val="nil"/>
            </w:tcBorders>
            <w:shd w:val="clear" w:color="DCE6F1" w:fill="DCE6F1"/>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1,788</w:t>
            </w:r>
          </w:p>
        </w:tc>
        <w:tc>
          <w:tcPr>
            <w:tcW w:w="831" w:type="dxa"/>
            <w:tcBorders>
              <w:top w:val="single" w:sz="4" w:space="0" w:color="95B3D7"/>
              <w:left w:val="nil"/>
              <w:bottom w:val="nil"/>
              <w:right w:val="nil"/>
            </w:tcBorders>
            <w:shd w:val="clear" w:color="DCE6F1" w:fill="DCE6F1"/>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1,564</w:t>
            </w:r>
          </w:p>
        </w:tc>
      </w:tr>
      <w:tr w:rsidR="007A7A8B" w:rsidRPr="007A7A8B" w:rsidTr="007A7A8B">
        <w:trPr>
          <w:trHeight w:val="480"/>
        </w:trPr>
        <w:tc>
          <w:tcPr>
            <w:tcW w:w="1158" w:type="dxa"/>
            <w:tcBorders>
              <w:top w:val="nil"/>
              <w:left w:val="nil"/>
              <w:bottom w:val="nil"/>
              <w:right w:val="nil"/>
            </w:tcBorders>
            <w:shd w:val="clear" w:color="DCE6F1" w:fill="FFFFFF"/>
            <w:noWrap/>
            <w:vAlign w:val="bottom"/>
            <w:hideMark/>
          </w:tcPr>
          <w:p w:rsidR="007A7A8B" w:rsidRPr="007A7A8B" w:rsidRDefault="007A7A8B" w:rsidP="007A7A8B">
            <w:pPr>
              <w:spacing w:after="0" w:line="240" w:lineRule="auto"/>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 </w:t>
            </w:r>
          </w:p>
        </w:tc>
        <w:tc>
          <w:tcPr>
            <w:tcW w:w="1340" w:type="dxa"/>
            <w:tcBorders>
              <w:top w:val="nil"/>
              <w:left w:val="nil"/>
              <w:bottom w:val="nil"/>
              <w:right w:val="nil"/>
            </w:tcBorders>
            <w:shd w:val="clear" w:color="DCE6F1" w:fill="FFFFFF"/>
            <w:noWrap/>
            <w:vAlign w:val="bottom"/>
            <w:hideMark/>
          </w:tcPr>
          <w:p w:rsidR="007A7A8B" w:rsidRPr="007A7A8B" w:rsidRDefault="007A7A8B" w:rsidP="007A7A8B">
            <w:pPr>
              <w:spacing w:after="0" w:line="240" w:lineRule="auto"/>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 </w:t>
            </w:r>
          </w:p>
        </w:tc>
        <w:tc>
          <w:tcPr>
            <w:tcW w:w="2829" w:type="dxa"/>
            <w:tcBorders>
              <w:top w:val="nil"/>
              <w:left w:val="nil"/>
              <w:bottom w:val="nil"/>
              <w:right w:val="nil"/>
            </w:tcBorders>
            <w:shd w:val="clear" w:color="DCE6F1" w:fill="FFFFFF"/>
            <w:vAlign w:val="bottom"/>
            <w:hideMark/>
          </w:tcPr>
          <w:p w:rsidR="007A7A8B" w:rsidRPr="007A7A8B" w:rsidRDefault="007A7A8B" w:rsidP="007A7A8B">
            <w:pPr>
              <w:spacing w:after="0" w:line="240" w:lineRule="auto"/>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 </w:t>
            </w:r>
          </w:p>
        </w:tc>
        <w:tc>
          <w:tcPr>
            <w:tcW w:w="1003" w:type="dxa"/>
            <w:tcBorders>
              <w:top w:val="nil"/>
              <w:left w:val="nil"/>
              <w:bottom w:val="nil"/>
              <w:right w:val="nil"/>
            </w:tcBorders>
            <w:shd w:val="clear" w:color="DCE6F1" w:fill="FFFFFF"/>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 </w:t>
            </w:r>
          </w:p>
        </w:tc>
        <w:tc>
          <w:tcPr>
            <w:tcW w:w="759" w:type="dxa"/>
            <w:tcBorders>
              <w:top w:val="nil"/>
              <w:left w:val="nil"/>
              <w:bottom w:val="nil"/>
              <w:right w:val="nil"/>
            </w:tcBorders>
            <w:shd w:val="clear" w:color="DCE6F1" w:fill="FFFFFF"/>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 </w:t>
            </w:r>
          </w:p>
        </w:tc>
        <w:tc>
          <w:tcPr>
            <w:tcW w:w="831" w:type="dxa"/>
            <w:tcBorders>
              <w:top w:val="nil"/>
              <w:left w:val="nil"/>
              <w:bottom w:val="nil"/>
              <w:right w:val="nil"/>
            </w:tcBorders>
            <w:shd w:val="clear" w:color="DCE6F1" w:fill="FFFFFF"/>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 </w:t>
            </w:r>
          </w:p>
        </w:tc>
      </w:tr>
      <w:tr w:rsidR="007A7A8B" w:rsidRPr="007A7A8B" w:rsidTr="007A7A8B">
        <w:trPr>
          <w:trHeight w:val="1050"/>
        </w:trPr>
        <w:tc>
          <w:tcPr>
            <w:tcW w:w="1158" w:type="dxa"/>
            <w:tcBorders>
              <w:top w:val="nil"/>
              <w:left w:val="nil"/>
              <w:bottom w:val="single" w:sz="4" w:space="0" w:color="95B3D7"/>
              <w:right w:val="nil"/>
            </w:tcBorders>
            <w:shd w:val="clear" w:color="000000" w:fill="538DD5"/>
            <w:vAlign w:val="bottom"/>
            <w:hideMark/>
          </w:tcPr>
          <w:p w:rsidR="007A7A8B" w:rsidRPr="007A7A8B" w:rsidRDefault="007A7A8B" w:rsidP="007A7A8B">
            <w:pPr>
              <w:spacing w:after="0" w:line="240" w:lineRule="auto"/>
              <w:jc w:val="center"/>
              <w:rPr>
                <w:rFonts w:ascii="Calibri" w:eastAsia="Times New Roman" w:hAnsi="Calibri" w:cs="Calibri"/>
                <w:b/>
                <w:bCs/>
                <w:color w:val="FFFFFF"/>
                <w:sz w:val="16"/>
                <w:szCs w:val="16"/>
                <w:lang w:eastAsia="en-GB"/>
              </w:rPr>
            </w:pPr>
            <w:r w:rsidRPr="007A7A8B">
              <w:rPr>
                <w:rFonts w:ascii="Calibri" w:eastAsia="Times New Roman" w:hAnsi="Calibri" w:cs="Calibri"/>
                <w:b/>
                <w:bCs/>
                <w:color w:val="FFFFFF"/>
                <w:sz w:val="16"/>
                <w:szCs w:val="16"/>
                <w:lang w:eastAsia="en-GB"/>
              </w:rPr>
              <w:t>Fund</w:t>
            </w:r>
          </w:p>
        </w:tc>
        <w:tc>
          <w:tcPr>
            <w:tcW w:w="1340" w:type="dxa"/>
            <w:tcBorders>
              <w:top w:val="nil"/>
              <w:left w:val="nil"/>
              <w:bottom w:val="single" w:sz="4" w:space="0" w:color="95B3D7"/>
              <w:right w:val="nil"/>
            </w:tcBorders>
            <w:shd w:val="clear" w:color="000000" w:fill="538DD5"/>
            <w:vAlign w:val="bottom"/>
            <w:hideMark/>
          </w:tcPr>
          <w:p w:rsidR="007A7A8B" w:rsidRPr="007A7A8B" w:rsidRDefault="007A7A8B" w:rsidP="007A7A8B">
            <w:pPr>
              <w:spacing w:after="0" w:line="240" w:lineRule="auto"/>
              <w:jc w:val="center"/>
              <w:rPr>
                <w:rFonts w:ascii="Calibri" w:eastAsia="Times New Roman" w:hAnsi="Calibri" w:cs="Calibri"/>
                <w:b/>
                <w:bCs/>
                <w:color w:val="FFFFFF"/>
                <w:sz w:val="16"/>
                <w:szCs w:val="16"/>
                <w:lang w:eastAsia="en-GB"/>
              </w:rPr>
            </w:pPr>
            <w:r w:rsidRPr="007A7A8B">
              <w:rPr>
                <w:rFonts w:ascii="Calibri" w:eastAsia="Times New Roman" w:hAnsi="Calibri" w:cs="Calibri"/>
                <w:b/>
                <w:bCs/>
                <w:color w:val="FFFFFF"/>
                <w:sz w:val="16"/>
                <w:szCs w:val="16"/>
                <w:lang w:eastAsia="en-GB"/>
              </w:rPr>
              <w:t>Service Area</w:t>
            </w:r>
          </w:p>
        </w:tc>
        <w:tc>
          <w:tcPr>
            <w:tcW w:w="2829" w:type="dxa"/>
            <w:tcBorders>
              <w:top w:val="nil"/>
              <w:left w:val="nil"/>
              <w:bottom w:val="single" w:sz="4" w:space="0" w:color="95B3D7"/>
              <w:right w:val="nil"/>
            </w:tcBorders>
            <w:shd w:val="clear" w:color="000000" w:fill="538DD5"/>
            <w:vAlign w:val="bottom"/>
            <w:hideMark/>
          </w:tcPr>
          <w:p w:rsidR="007A7A8B" w:rsidRPr="007A7A8B" w:rsidRDefault="007A7A8B" w:rsidP="007A7A8B">
            <w:pPr>
              <w:spacing w:after="0" w:line="240" w:lineRule="auto"/>
              <w:jc w:val="center"/>
              <w:rPr>
                <w:rFonts w:ascii="Calibri" w:eastAsia="Times New Roman" w:hAnsi="Calibri" w:cs="Calibri"/>
                <w:b/>
                <w:bCs/>
                <w:color w:val="FFFFFF"/>
                <w:sz w:val="16"/>
                <w:szCs w:val="16"/>
                <w:lang w:eastAsia="en-GB"/>
              </w:rPr>
            </w:pPr>
            <w:r w:rsidRPr="007A7A8B">
              <w:rPr>
                <w:rFonts w:ascii="Calibri" w:eastAsia="Times New Roman" w:hAnsi="Calibri" w:cs="Calibri"/>
                <w:b/>
                <w:bCs/>
                <w:color w:val="FFFFFF"/>
                <w:sz w:val="16"/>
                <w:szCs w:val="16"/>
                <w:lang w:eastAsia="en-GB"/>
              </w:rPr>
              <w:t>Details</w:t>
            </w:r>
          </w:p>
        </w:tc>
        <w:tc>
          <w:tcPr>
            <w:tcW w:w="1003" w:type="dxa"/>
            <w:tcBorders>
              <w:top w:val="nil"/>
              <w:left w:val="nil"/>
              <w:bottom w:val="single" w:sz="4" w:space="0" w:color="95B3D7"/>
              <w:right w:val="nil"/>
            </w:tcBorders>
            <w:shd w:val="clear" w:color="000000" w:fill="538DD5"/>
            <w:vAlign w:val="bottom"/>
            <w:hideMark/>
          </w:tcPr>
          <w:p w:rsidR="007A7A8B" w:rsidRPr="007A7A8B" w:rsidRDefault="007A7A8B" w:rsidP="007A7A8B">
            <w:pPr>
              <w:spacing w:after="0" w:line="240" w:lineRule="auto"/>
              <w:jc w:val="center"/>
              <w:rPr>
                <w:rFonts w:ascii="Calibri" w:eastAsia="Times New Roman" w:hAnsi="Calibri" w:cs="Calibri"/>
                <w:b/>
                <w:bCs/>
                <w:color w:val="FFFFFF"/>
                <w:sz w:val="16"/>
                <w:szCs w:val="16"/>
                <w:lang w:eastAsia="en-GB"/>
              </w:rPr>
            </w:pPr>
            <w:r w:rsidRPr="007A7A8B">
              <w:rPr>
                <w:rFonts w:ascii="Calibri" w:eastAsia="Times New Roman" w:hAnsi="Calibri" w:cs="Calibri"/>
                <w:b/>
                <w:bCs/>
                <w:color w:val="FFFFFF"/>
                <w:sz w:val="16"/>
                <w:szCs w:val="16"/>
                <w:lang w:eastAsia="en-GB"/>
              </w:rPr>
              <w:t>2022/23 Allocation £000s</w:t>
            </w:r>
          </w:p>
        </w:tc>
        <w:tc>
          <w:tcPr>
            <w:tcW w:w="759" w:type="dxa"/>
            <w:tcBorders>
              <w:top w:val="nil"/>
              <w:left w:val="nil"/>
              <w:bottom w:val="single" w:sz="4" w:space="0" w:color="95B3D7"/>
              <w:right w:val="nil"/>
            </w:tcBorders>
            <w:shd w:val="clear" w:color="000000" w:fill="538DD5"/>
            <w:vAlign w:val="bottom"/>
            <w:hideMark/>
          </w:tcPr>
          <w:p w:rsidR="007A7A8B" w:rsidRPr="007A7A8B" w:rsidRDefault="007A7A8B" w:rsidP="007A7A8B">
            <w:pPr>
              <w:spacing w:after="0" w:line="240" w:lineRule="auto"/>
              <w:jc w:val="center"/>
              <w:rPr>
                <w:rFonts w:ascii="Calibri" w:eastAsia="Times New Roman" w:hAnsi="Calibri" w:cs="Calibri"/>
                <w:b/>
                <w:bCs/>
                <w:color w:val="FFFFFF"/>
                <w:sz w:val="16"/>
                <w:szCs w:val="16"/>
                <w:lang w:eastAsia="en-GB"/>
              </w:rPr>
            </w:pPr>
            <w:r w:rsidRPr="007A7A8B">
              <w:rPr>
                <w:rFonts w:ascii="Calibri" w:eastAsia="Times New Roman" w:hAnsi="Calibri" w:cs="Calibri"/>
                <w:b/>
                <w:bCs/>
                <w:color w:val="FFFFFF"/>
                <w:sz w:val="16"/>
                <w:szCs w:val="16"/>
                <w:lang w:eastAsia="en-GB"/>
              </w:rPr>
              <w:t>Year To Date spend 22/23</w:t>
            </w:r>
          </w:p>
        </w:tc>
        <w:tc>
          <w:tcPr>
            <w:tcW w:w="831" w:type="dxa"/>
            <w:tcBorders>
              <w:top w:val="nil"/>
              <w:left w:val="nil"/>
              <w:bottom w:val="single" w:sz="4" w:space="0" w:color="95B3D7"/>
              <w:right w:val="nil"/>
            </w:tcBorders>
            <w:shd w:val="clear" w:color="000000" w:fill="538DD5"/>
            <w:vAlign w:val="bottom"/>
            <w:hideMark/>
          </w:tcPr>
          <w:p w:rsidR="007A7A8B" w:rsidRPr="007A7A8B" w:rsidRDefault="007A7A8B" w:rsidP="007A7A8B">
            <w:pPr>
              <w:spacing w:after="0" w:line="240" w:lineRule="auto"/>
              <w:jc w:val="center"/>
              <w:rPr>
                <w:rFonts w:ascii="Calibri" w:eastAsia="Times New Roman" w:hAnsi="Calibri" w:cs="Calibri"/>
                <w:b/>
                <w:bCs/>
                <w:color w:val="FFFFFF"/>
                <w:sz w:val="16"/>
                <w:szCs w:val="16"/>
                <w:lang w:eastAsia="en-GB"/>
              </w:rPr>
            </w:pPr>
            <w:r w:rsidRPr="007A7A8B">
              <w:rPr>
                <w:rFonts w:ascii="Calibri" w:eastAsia="Times New Roman" w:hAnsi="Calibri" w:cs="Calibri"/>
                <w:b/>
                <w:bCs/>
                <w:color w:val="FFFFFF"/>
                <w:sz w:val="16"/>
                <w:szCs w:val="16"/>
                <w:lang w:eastAsia="en-GB"/>
              </w:rPr>
              <w:t>Committed via Purchase Order £000s</w:t>
            </w:r>
          </w:p>
        </w:tc>
      </w:tr>
      <w:tr w:rsidR="007A7A8B" w:rsidRPr="007A7A8B" w:rsidTr="007A7A8B">
        <w:trPr>
          <w:trHeight w:val="33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Strategic - Hosted</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Collaborative</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Digital - LINC</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2,054</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1,356</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330"/>
        </w:trPr>
        <w:tc>
          <w:tcPr>
            <w:tcW w:w="1158"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Strategic - Hosted</w:t>
            </w:r>
          </w:p>
        </w:tc>
        <w:tc>
          <w:tcPr>
            <w:tcW w:w="1340"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Collaborative</w:t>
            </w:r>
          </w:p>
        </w:tc>
        <w:tc>
          <w:tcPr>
            <w:tcW w:w="2829" w:type="dxa"/>
            <w:tcBorders>
              <w:top w:val="nil"/>
              <w:left w:val="nil"/>
              <w:bottom w:val="nil"/>
              <w:right w:val="nil"/>
            </w:tcBorders>
            <w:shd w:val="clear" w:color="000000" w:fill="FFFFFF"/>
            <w:vAlign w:val="bottom"/>
            <w:hideMark/>
          </w:tcPr>
          <w:p w:rsidR="007A7A8B" w:rsidRPr="007A7A8B" w:rsidRDefault="007A7A8B" w:rsidP="007A7A8B">
            <w:pPr>
              <w:spacing w:after="0" w:line="240" w:lineRule="auto"/>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Digital - RISP</w:t>
            </w:r>
          </w:p>
        </w:tc>
        <w:tc>
          <w:tcPr>
            <w:tcW w:w="1003"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259</w:t>
            </w:r>
          </w:p>
        </w:tc>
        <w:tc>
          <w:tcPr>
            <w:tcW w:w="759"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77</w:t>
            </w:r>
          </w:p>
        </w:tc>
        <w:tc>
          <w:tcPr>
            <w:tcW w:w="831" w:type="dxa"/>
            <w:tcBorders>
              <w:top w:val="nil"/>
              <w:left w:val="nil"/>
              <w:bottom w:val="nil"/>
              <w:right w:val="nil"/>
            </w:tcBorders>
            <w:shd w:val="clear" w:color="000000" w:fill="FFFFFF"/>
            <w:noWrap/>
            <w:vAlign w:val="bottom"/>
            <w:hideMark/>
          </w:tcPr>
          <w:p w:rsidR="007A7A8B" w:rsidRPr="007A7A8B" w:rsidRDefault="007A7A8B" w:rsidP="007A7A8B">
            <w:pPr>
              <w:spacing w:after="0" w:line="240" w:lineRule="auto"/>
              <w:jc w:val="center"/>
              <w:rPr>
                <w:rFonts w:ascii="Calibri" w:eastAsia="Times New Roman" w:hAnsi="Calibri" w:cs="Calibri"/>
                <w:sz w:val="16"/>
                <w:szCs w:val="16"/>
                <w:lang w:eastAsia="en-GB"/>
              </w:rPr>
            </w:pPr>
            <w:r w:rsidRPr="007A7A8B">
              <w:rPr>
                <w:rFonts w:ascii="Calibri" w:eastAsia="Times New Roman" w:hAnsi="Calibri" w:cs="Calibri"/>
                <w:sz w:val="16"/>
                <w:szCs w:val="16"/>
                <w:lang w:eastAsia="en-GB"/>
              </w:rPr>
              <w:t>0</w:t>
            </w:r>
          </w:p>
        </w:tc>
      </w:tr>
      <w:tr w:rsidR="007A7A8B" w:rsidRPr="007A7A8B" w:rsidTr="007A7A8B">
        <w:trPr>
          <w:trHeight w:val="280"/>
        </w:trPr>
        <w:tc>
          <w:tcPr>
            <w:tcW w:w="2498" w:type="dxa"/>
            <w:gridSpan w:val="2"/>
            <w:tcBorders>
              <w:top w:val="single" w:sz="4" w:space="0" w:color="4F81BD"/>
              <w:left w:val="nil"/>
              <w:bottom w:val="single" w:sz="4" w:space="0" w:color="4F81BD"/>
              <w:right w:val="nil"/>
            </w:tcBorders>
            <w:shd w:val="clear" w:color="000000" w:fill="F2F2F2"/>
            <w:noWrap/>
            <w:vAlign w:val="bottom"/>
            <w:hideMark/>
          </w:tcPr>
          <w:p w:rsidR="007A7A8B" w:rsidRPr="007A7A8B" w:rsidRDefault="007A7A8B" w:rsidP="007A7A8B">
            <w:pPr>
              <w:spacing w:after="0" w:line="240" w:lineRule="auto"/>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Strategic - Hosted Total</w:t>
            </w:r>
          </w:p>
        </w:tc>
        <w:tc>
          <w:tcPr>
            <w:tcW w:w="2829" w:type="dxa"/>
            <w:tcBorders>
              <w:top w:val="single" w:sz="4" w:space="0" w:color="4F81BD"/>
              <w:left w:val="nil"/>
              <w:bottom w:val="single" w:sz="4" w:space="0" w:color="4F81BD"/>
              <w:right w:val="nil"/>
            </w:tcBorders>
            <w:shd w:val="clear" w:color="000000" w:fill="F2F2F2"/>
            <w:vAlign w:val="bottom"/>
            <w:hideMark/>
          </w:tcPr>
          <w:p w:rsidR="007A7A8B" w:rsidRPr="007A7A8B" w:rsidRDefault="007A7A8B" w:rsidP="007A7A8B">
            <w:pPr>
              <w:spacing w:after="0" w:line="240" w:lineRule="auto"/>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 </w:t>
            </w:r>
          </w:p>
        </w:tc>
        <w:tc>
          <w:tcPr>
            <w:tcW w:w="1003" w:type="dxa"/>
            <w:tcBorders>
              <w:top w:val="single" w:sz="4" w:space="0" w:color="4F81BD"/>
              <w:left w:val="nil"/>
              <w:bottom w:val="single" w:sz="4" w:space="0" w:color="4F81BD"/>
              <w:right w:val="nil"/>
            </w:tcBorders>
            <w:shd w:val="clear" w:color="000000" w:fill="F2F2F2"/>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2,313</w:t>
            </w:r>
          </w:p>
        </w:tc>
        <w:tc>
          <w:tcPr>
            <w:tcW w:w="759" w:type="dxa"/>
            <w:tcBorders>
              <w:top w:val="single" w:sz="4" w:space="0" w:color="4F81BD"/>
              <w:left w:val="nil"/>
              <w:bottom w:val="single" w:sz="4" w:space="0" w:color="4F81BD"/>
              <w:right w:val="nil"/>
            </w:tcBorders>
            <w:shd w:val="clear" w:color="000000" w:fill="F2F2F2"/>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1,433</w:t>
            </w:r>
          </w:p>
        </w:tc>
        <w:tc>
          <w:tcPr>
            <w:tcW w:w="831" w:type="dxa"/>
            <w:tcBorders>
              <w:top w:val="single" w:sz="4" w:space="0" w:color="4F81BD"/>
              <w:left w:val="nil"/>
              <w:bottom w:val="single" w:sz="4" w:space="0" w:color="4F81BD"/>
              <w:right w:val="nil"/>
            </w:tcBorders>
            <w:shd w:val="clear" w:color="000000" w:fill="F2F2F2"/>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0</w:t>
            </w:r>
          </w:p>
        </w:tc>
      </w:tr>
      <w:tr w:rsidR="007A7A8B" w:rsidRPr="007A7A8B" w:rsidTr="007A7A8B">
        <w:trPr>
          <w:trHeight w:val="280"/>
        </w:trPr>
        <w:tc>
          <w:tcPr>
            <w:tcW w:w="2498" w:type="dxa"/>
            <w:gridSpan w:val="2"/>
            <w:tcBorders>
              <w:top w:val="single" w:sz="4" w:space="0" w:color="4F81BD"/>
              <w:left w:val="nil"/>
              <w:bottom w:val="nil"/>
              <w:right w:val="nil"/>
            </w:tcBorders>
            <w:shd w:val="clear" w:color="DCE6F1" w:fill="DCE6F1"/>
            <w:noWrap/>
            <w:vAlign w:val="bottom"/>
            <w:hideMark/>
          </w:tcPr>
          <w:p w:rsidR="007A7A8B" w:rsidRPr="007A7A8B" w:rsidRDefault="007A7A8B" w:rsidP="007A7A8B">
            <w:pPr>
              <w:spacing w:after="0" w:line="240" w:lineRule="auto"/>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Total Hosted Capital</w:t>
            </w:r>
          </w:p>
        </w:tc>
        <w:tc>
          <w:tcPr>
            <w:tcW w:w="2829" w:type="dxa"/>
            <w:tcBorders>
              <w:top w:val="single" w:sz="4" w:space="0" w:color="95B3D7"/>
              <w:left w:val="nil"/>
              <w:bottom w:val="nil"/>
              <w:right w:val="nil"/>
            </w:tcBorders>
            <w:shd w:val="clear" w:color="DCE6F1" w:fill="DCE6F1"/>
            <w:vAlign w:val="bottom"/>
            <w:hideMark/>
          </w:tcPr>
          <w:p w:rsidR="007A7A8B" w:rsidRPr="007A7A8B" w:rsidRDefault="007A7A8B" w:rsidP="007A7A8B">
            <w:pPr>
              <w:spacing w:after="0" w:line="240" w:lineRule="auto"/>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 </w:t>
            </w:r>
          </w:p>
        </w:tc>
        <w:tc>
          <w:tcPr>
            <w:tcW w:w="1003" w:type="dxa"/>
            <w:tcBorders>
              <w:top w:val="single" w:sz="4" w:space="0" w:color="95B3D7"/>
              <w:left w:val="nil"/>
              <w:bottom w:val="nil"/>
              <w:right w:val="nil"/>
            </w:tcBorders>
            <w:shd w:val="clear" w:color="DCE6F1" w:fill="DCE6F1"/>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2,313</w:t>
            </w:r>
          </w:p>
        </w:tc>
        <w:tc>
          <w:tcPr>
            <w:tcW w:w="759" w:type="dxa"/>
            <w:tcBorders>
              <w:top w:val="single" w:sz="4" w:space="0" w:color="95B3D7"/>
              <w:left w:val="nil"/>
              <w:bottom w:val="nil"/>
              <w:right w:val="nil"/>
            </w:tcBorders>
            <w:shd w:val="clear" w:color="DCE6F1" w:fill="DCE6F1"/>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1,433</w:t>
            </w:r>
          </w:p>
        </w:tc>
        <w:tc>
          <w:tcPr>
            <w:tcW w:w="831" w:type="dxa"/>
            <w:tcBorders>
              <w:top w:val="single" w:sz="4" w:space="0" w:color="95B3D7"/>
              <w:left w:val="nil"/>
              <w:bottom w:val="nil"/>
              <w:right w:val="nil"/>
            </w:tcBorders>
            <w:shd w:val="clear" w:color="DCE6F1" w:fill="DCE6F1"/>
            <w:noWrap/>
            <w:vAlign w:val="bottom"/>
            <w:hideMark/>
          </w:tcPr>
          <w:p w:rsidR="007A7A8B" w:rsidRPr="007A7A8B" w:rsidRDefault="007A7A8B" w:rsidP="007A7A8B">
            <w:pPr>
              <w:spacing w:after="0" w:line="240" w:lineRule="auto"/>
              <w:jc w:val="center"/>
              <w:rPr>
                <w:rFonts w:ascii="Calibri" w:eastAsia="Times New Roman" w:hAnsi="Calibri" w:cs="Calibri"/>
                <w:b/>
                <w:bCs/>
                <w:color w:val="000000"/>
                <w:sz w:val="16"/>
                <w:szCs w:val="16"/>
                <w:lang w:eastAsia="en-GB"/>
              </w:rPr>
            </w:pPr>
            <w:r w:rsidRPr="007A7A8B">
              <w:rPr>
                <w:rFonts w:ascii="Calibri" w:eastAsia="Times New Roman" w:hAnsi="Calibri" w:cs="Calibri"/>
                <w:b/>
                <w:bCs/>
                <w:color w:val="000000"/>
                <w:sz w:val="16"/>
                <w:szCs w:val="16"/>
                <w:lang w:eastAsia="en-GB"/>
              </w:rPr>
              <w:t>0</w:t>
            </w:r>
          </w:p>
        </w:tc>
      </w:tr>
    </w:tbl>
    <w:p w:rsidR="003F024D" w:rsidRPr="00F52B2D" w:rsidRDefault="003F024D" w:rsidP="00481B44">
      <w:pPr>
        <w:jc w:val="both"/>
        <w:rPr>
          <w:rFonts w:ascii="Verdana" w:hAnsi="Verdana" w:cs="Times New Roman"/>
          <w:sz w:val="20"/>
          <w:szCs w:val="20"/>
          <w:highlight w:val="cyan"/>
          <w:lang w:eastAsia="en-GB"/>
        </w:rPr>
      </w:pPr>
    </w:p>
    <w:p w:rsidR="005F450F" w:rsidRPr="00F52B2D" w:rsidRDefault="00E74823" w:rsidP="00E455B9">
      <w:pPr>
        <w:spacing w:before="120" w:after="120"/>
        <w:jc w:val="both"/>
        <w:rPr>
          <w:rFonts w:ascii="Verdana" w:hAnsi="Verdana" w:cs="Times New Roman"/>
          <w:sz w:val="24"/>
          <w:szCs w:val="24"/>
          <w:highlight w:val="cyan"/>
          <w:lang w:eastAsia="en-GB"/>
        </w:rPr>
      </w:pPr>
      <w:r w:rsidRPr="00361493">
        <w:rPr>
          <w:rFonts w:ascii="Verdana" w:hAnsi="Verdana" w:cs="Times New Roman"/>
          <w:sz w:val="24"/>
          <w:szCs w:val="24"/>
          <w:lang w:eastAsia="en-GB"/>
        </w:rPr>
        <w:t>Th</w:t>
      </w:r>
      <w:r w:rsidR="007A7A8B" w:rsidRPr="00361493">
        <w:rPr>
          <w:rFonts w:ascii="Verdana" w:hAnsi="Verdana" w:cs="Times New Roman"/>
          <w:sz w:val="24"/>
          <w:szCs w:val="24"/>
          <w:lang w:eastAsia="en-GB"/>
        </w:rPr>
        <w:t>e total capital spend at month 9</w:t>
      </w:r>
      <w:r w:rsidRPr="00361493">
        <w:rPr>
          <w:rFonts w:ascii="Verdana" w:hAnsi="Verdana" w:cs="Times New Roman"/>
          <w:sz w:val="24"/>
          <w:szCs w:val="24"/>
          <w:lang w:eastAsia="en-GB"/>
        </w:rPr>
        <w:t xml:space="preserve"> on P</w:t>
      </w:r>
      <w:r w:rsidR="004A1779" w:rsidRPr="00361493">
        <w:rPr>
          <w:rFonts w:ascii="Verdana" w:hAnsi="Verdana" w:cs="Times New Roman"/>
          <w:sz w:val="24"/>
          <w:szCs w:val="24"/>
          <w:lang w:eastAsia="en-GB"/>
        </w:rPr>
        <w:t>ublic Health Wales</w:t>
      </w:r>
      <w:r w:rsidRPr="00361493">
        <w:rPr>
          <w:rFonts w:ascii="Verdana" w:hAnsi="Verdana" w:cs="Times New Roman"/>
          <w:sz w:val="24"/>
          <w:szCs w:val="24"/>
          <w:lang w:eastAsia="en-GB"/>
        </w:rPr>
        <w:t xml:space="preserve"> Discretionary</w:t>
      </w:r>
      <w:r w:rsidR="004A1779" w:rsidRPr="00361493">
        <w:rPr>
          <w:rFonts w:ascii="Verdana" w:hAnsi="Verdana" w:cs="Times New Roman"/>
          <w:sz w:val="24"/>
          <w:szCs w:val="24"/>
          <w:lang w:eastAsia="en-GB"/>
        </w:rPr>
        <w:t xml:space="preserve"> and Strategic capital </w:t>
      </w:r>
      <w:r w:rsidR="00361493" w:rsidRPr="00361493">
        <w:rPr>
          <w:rFonts w:ascii="Verdana" w:hAnsi="Verdana" w:cs="Times New Roman"/>
          <w:sz w:val="24"/>
          <w:szCs w:val="24"/>
          <w:lang w:eastAsia="en-GB"/>
        </w:rPr>
        <w:t>is 53% and 35</w:t>
      </w:r>
      <w:r w:rsidRPr="00361493">
        <w:rPr>
          <w:rFonts w:ascii="Verdana" w:hAnsi="Verdana" w:cs="Times New Roman"/>
          <w:sz w:val="24"/>
          <w:szCs w:val="24"/>
          <w:lang w:eastAsia="en-GB"/>
        </w:rPr>
        <w:t>%</w:t>
      </w:r>
      <w:r w:rsidR="004A1779" w:rsidRPr="00361493">
        <w:rPr>
          <w:rFonts w:ascii="Verdana" w:hAnsi="Verdana" w:cs="Times New Roman"/>
          <w:sz w:val="24"/>
          <w:szCs w:val="24"/>
          <w:lang w:eastAsia="en-GB"/>
        </w:rPr>
        <w:t xml:space="preserve"> respectively, </w:t>
      </w:r>
      <w:r w:rsidR="009F57D8" w:rsidRPr="00361493">
        <w:rPr>
          <w:rFonts w:ascii="Verdana" w:hAnsi="Verdana" w:cs="Times New Roman"/>
          <w:sz w:val="24"/>
          <w:szCs w:val="24"/>
          <w:lang w:eastAsia="en-GB"/>
        </w:rPr>
        <w:t xml:space="preserve">which equates to </w:t>
      </w:r>
      <w:r w:rsidR="00E00E36" w:rsidRPr="00361493">
        <w:rPr>
          <w:rFonts w:ascii="Verdana" w:hAnsi="Verdana" w:cs="Times New Roman"/>
          <w:sz w:val="24"/>
          <w:szCs w:val="24"/>
          <w:lang w:eastAsia="en-GB"/>
        </w:rPr>
        <w:t>approx</w:t>
      </w:r>
      <w:r w:rsidR="00361493" w:rsidRPr="00361493">
        <w:rPr>
          <w:rFonts w:ascii="Verdana" w:hAnsi="Verdana" w:cs="Times New Roman"/>
          <w:sz w:val="24"/>
          <w:szCs w:val="24"/>
          <w:lang w:eastAsia="en-GB"/>
        </w:rPr>
        <w:t>imately 40</w:t>
      </w:r>
      <w:r w:rsidR="0076343D" w:rsidRPr="00361493">
        <w:rPr>
          <w:rFonts w:ascii="Verdana" w:hAnsi="Verdana" w:cs="Times New Roman"/>
          <w:sz w:val="24"/>
          <w:szCs w:val="24"/>
          <w:lang w:eastAsia="en-GB"/>
        </w:rPr>
        <w:t>% of the overall</w:t>
      </w:r>
      <w:r w:rsidR="009F57D8" w:rsidRPr="00361493">
        <w:rPr>
          <w:rFonts w:ascii="Verdana" w:hAnsi="Verdana" w:cs="Times New Roman"/>
          <w:sz w:val="24"/>
          <w:szCs w:val="24"/>
          <w:lang w:eastAsia="en-GB"/>
        </w:rPr>
        <w:t xml:space="preserve"> </w:t>
      </w:r>
      <w:r w:rsidR="004A1779" w:rsidRPr="00361493">
        <w:rPr>
          <w:rFonts w:ascii="Verdana" w:hAnsi="Verdana" w:cs="Times New Roman"/>
          <w:sz w:val="24"/>
          <w:szCs w:val="24"/>
          <w:lang w:eastAsia="en-GB"/>
        </w:rPr>
        <w:t xml:space="preserve">Public Health Wales </w:t>
      </w:r>
      <w:r w:rsidR="009F57D8" w:rsidRPr="00361493">
        <w:rPr>
          <w:rFonts w:ascii="Verdana" w:hAnsi="Verdana" w:cs="Times New Roman"/>
          <w:sz w:val="24"/>
          <w:szCs w:val="24"/>
          <w:lang w:eastAsia="en-GB"/>
        </w:rPr>
        <w:t xml:space="preserve">capital allocation.  </w:t>
      </w:r>
      <w:r w:rsidR="0076343D" w:rsidRPr="00361493">
        <w:rPr>
          <w:rFonts w:ascii="Verdana" w:hAnsi="Verdana" w:cs="Times New Roman"/>
          <w:sz w:val="24"/>
          <w:szCs w:val="24"/>
          <w:lang w:eastAsia="en-GB"/>
        </w:rPr>
        <w:t>Total capital committe</w:t>
      </w:r>
      <w:r w:rsidR="00830CDE" w:rsidRPr="00361493">
        <w:rPr>
          <w:rFonts w:ascii="Verdana" w:hAnsi="Verdana" w:cs="Times New Roman"/>
          <w:sz w:val="24"/>
          <w:szCs w:val="24"/>
          <w:lang w:eastAsia="en-GB"/>
        </w:rPr>
        <w:t>d via Purc</w:t>
      </w:r>
      <w:r w:rsidR="00361493" w:rsidRPr="00361493">
        <w:rPr>
          <w:rFonts w:ascii="Verdana" w:hAnsi="Verdana" w:cs="Times New Roman"/>
          <w:sz w:val="24"/>
          <w:szCs w:val="24"/>
          <w:lang w:eastAsia="en-GB"/>
        </w:rPr>
        <w:t>hase orders at month 9</w:t>
      </w:r>
      <w:r w:rsidR="00026405" w:rsidRPr="00361493">
        <w:rPr>
          <w:rFonts w:ascii="Verdana" w:hAnsi="Verdana" w:cs="Times New Roman"/>
          <w:sz w:val="24"/>
          <w:szCs w:val="24"/>
          <w:lang w:eastAsia="en-GB"/>
        </w:rPr>
        <w:t xml:space="preserve"> </w:t>
      </w:r>
      <w:r w:rsidR="00361493" w:rsidRPr="00361493">
        <w:rPr>
          <w:rFonts w:ascii="Verdana" w:hAnsi="Verdana" w:cs="Times New Roman"/>
          <w:sz w:val="24"/>
          <w:szCs w:val="24"/>
          <w:lang w:eastAsia="en-GB"/>
        </w:rPr>
        <w:t>is £1.564</w:t>
      </w:r>
      <w:r w:rsidR="0076343D" w:rsidRPr="00361493">
        <w:rPr>
          <w:rFonts w:ascii="Verdana" w:hAnsi="Verdana" w:cs="Times New Roman"/>
          <w:sz w:val="24"/>
          <w:szCs w:val="24"/>
          <w:lang w:eastAsia="en-GB"/>
        </w:rPr>
        <w:t>m, which combined with ac</w:t>
      </w:r>
      <w:r w:rsidR="00A92A02" w:rsidRPr="00361493">
        <w:rPr>
          <w:rFonts w:ascii="Verdana" w:hAnsi="Verdana" w:cs="Times New Roman"/>
          <w:sz w:val="24"/>
          <w:szCs w:val="24"/>
          <w:lang w:eastAsia="en-GB"/>
        </w:rPr>
        <w:t xml:space="preserve">tual spend equates </w:t>
      </w:r>
      <w:r w:rsidR="00E00E36" w:rsidRPr="00361493">
        <w:rPr>
          <w:rFonts w:ascii="Verdana" w:hAnsi="Verdana" w:cs="Times New Roman"/>
          <w:sz w:val="24"/>
          <w:szCs w:val="24"/>
          <w:lang w:eastAsia="en-GB"/>
        </w:rPr>
        <w:t>to approx</w:t>
      </w:r>
      <w:r w:rsidR="00361493" w:rsidRPr="00361493">
        <w:rPr>
          <w:rFonts w:ascii="Verdana" w:hAnsi="Verdana" w:cs="Times New Roman"/>
          <w:sz w:val="24"/>
          <w:szCs w:val="24"/>
          <w:lang w:eastAsia="en-GB"/>
        </w:rPr>
        <w:t>imately 74</w:t>
      </w:r>
      <w:r w:rsidR="0076343D" w:rsidRPr="00361493">
        <w:rPr>
          <w:rFonts w:ascii="Verdana" w:hAnsi="Verdana" w:cs="Times New Roman"/>
          <w:sz w:val="24"/>
          <w:szCs w:val="24"/>
          <w:lang w:eastAsia="en-GB"/>
        </w:rPr>
        <w:t>% of overall capital allocation.</w:t>
      </w:r>
      <w:r w:rsidR="00E455B9" w:rsidRPr="00361493">
        <w:rPr>
          <w:rFonts w:ascii="Verdana" w:hAnsi="Verdana" w:cs="Times New Roman"/>
          <w:sz w:val="24"/>
          <w:szCs w:val="24"/>
          <w:lang w:eastAsia="en-GB"/>
        </w:rPr>
        <w:t xml:space="preserve">  </w:t>
      </w:r>
      <w:r w:rsidR="00B608B3" w:rsidRPr="00361493">
        <w:rPr>
          <w:rFonts w:ascii="Verdana" w:hAnsi="Verdana" w:cs="Times New Roman"/>
          <w:sz w:val="24"/>
          <w:szCs w:val="24"/>
          <w:lang w:eastAsia="en-GB"/>
        </w:rPr>
        <w:t>There is an agreed plan to sp</w:t>
      </w:r>
      <w:r w:rsidR="00361493" w:rsidRPr="00361493">
        <w:rPr>
          <w:rFonts w:ascii="Verdana" w:hAnsi="Verdana" w:cs="Times New Roman"/>
          <w:sz w:val="24"/>
          <w:szCs w:val="24"/>
          <w:lang w:eastAsia="en-GB"/>
        </w:rPr>
        <w:t>end the full contingency of £207</w:t>
      </w:r>
      <w:r w:rsidR="00B608B3" w:rsidRPr="00361493">
        <w:rPr>
          <w:rFonts w:ascii="Verdana" w:hAnsi="Verdana" w:cs="Times New Roman"/>
          <w:sz w:val="24"/>
          <w:szCs w:val="24"/>
          <w:lang w:eastAsia="en-GB"/>
        </w:rPr>
        <w:t>k before the year-end.</w:t>
      </w:r>
    </w:p>
    <w:p w:rsidR="00EC1D5D" w:rsidRPr="00361493" w:rsidRDefault="00EC1D5D" w:rsidP="00EC1D5D">
      <w:pPr>
        <w:spacing w:before="120" w:after="120"/>
        <w:jc w:val="both"/>
        <w:rPr>
          <w:rFonts w:ascii="Verdana" w:hAnsi="Verdana"/>
          <w:sz w:val="24"/>
          <w:szCs w:val="24"/>
        </w:rPr>
      </w:pPr>
      <w:r w:rsidRPr="00361493">
        <w:rPr>
          <w:rFonts w:ascii="Verdana" w:hAnsi="Verdana"/>
          <w:sz w:val="24"/>
          <w:szCs w:val="24"/>
        </w:rPr>
        <w:t xml:space="preserve">There remains a clear </w:t>
      </w:r>
      <w:r w:rsidR="006E4EE9" w:rsidRPr="00361493">
        <w:rPr>
          <w:rFonts w:ascii="Verdana" w:hAnsi="Verdana"/>
          <w:sz w:val="24"/>
          <w:szCs w:val="24"/>
        </w:rPr>
        <w:t>f</w:t>
      </w:r>
      <w:r w:rsidRPr="00361493">
        <w:rPr>
          <w:rFonts w:ascii="Verdana" w:hAnsi="Verdana"/>
          <w:sz w:val="24"/>
          <w:szCs w:val="24"/>
        </w:rPr>
        <w:t xml:space="preserve">ocus to ensure a breakeven </w:t>
      </w:r>
      <w:r w:rsidR="006E4EE9" w:rsidRPr="00361493">
        <w:rPr>
          <w:rFonts w:ascii="Verdana" w:hAnsi="Verdana"/>
          <w:sz w:val="24"/>
          <w:szCs w:val="24"/>
        </w:rPr>
        <w:t xml:space="preserve">capital </w:t>
      </w:r>
      <w:r w:rsidRPr="00361493">
        <w:rPr>
          <w:rFonts w:ascii="Verdana" w:hAnsi="Verdana"/>
          <w:sz w:val="24"/>
          <w:szCs w:val="24"/>
        </w:rPr>
        <w:t xml:space="preserve">position is </w:t>
      </w:r>
      <w:r w:rsidR="006E4EE9" w:rsidRPr="00361493">
        <w:rPr>
          <w:rFonts w:ascii="Verdana" w:hAnsi="Verdana"/>
          <w:sz w:val="24"/>
          <w:szCs w:val="24"/>
        </w:rPr>
        <w:t>delivered in</w:t>
      </w:r>
      <w:r w:rsidRPr="00361493">
        <w:rPr>
          <w:rFonts w:ascii="Verdana" w:hAnsi="Verdana"/>
          <w:sz w:val="24"/>
          <w:szCs w:val="24"/>
        </w:rPr>
        <w:t xml:space="preserve"> 2022/23.</w:t>
      </w:r>
    </w:p>
    <w:p w:rsidR="00AC2C4F" w:rsidRPr="00361493" w:rsidRDefault="004A1779" w:rsidP="004A1779">
      <w:pPr>
        <w:spacing w:before="120" w:after="120"/>
        <w:jc w:val="both"/>
        <w:rPr>
          <w:rFonts w:ascii="Verdana" w:hAnsi="Verdana"/>
          <w:sz w:val="24"/>
          <w:szCs w:val="24"/>
        </w:rPr>
      </w:pPr>
      <w:r w:rsidRPr="00361493">
        <w:rPr>
          <w:rFonts w:ascii="Verdana" w:hAnsi="Verdana"/>
          <w:sz w:val="24"/>
          <w:szCs w:val="24"/>
        </w:rPr>
        <w:t>The hosted capital position is currently being worked through as part of the transfer of the LINC and RISP programmes to DHCW with effect from 1</w:t>
      </w:r>
      <w:r w:rsidRPr="00361493">
        <w:rPr>
          <w:rFonts w:ascii="Verdana" w:hAnsi="Verdana"/>
          <w:sz w:val="24"/>
          <w:szCs w:val="24"/>
          <w:vertAlign w:val="superscript"/>
        </w:rPr>
        <w:t>st</w:t>
      </w:r>
      <w:r w:rsidRPr="00361493">
        <w:rPr>
          <w:rFonts w:ascii="Verdana" w:hAnsi="Verdana"/>
          <w:sz w:val="24"/>
          <w:szCs w:val="24"/>
        </w:rPr>
        <w:t xml:space="preserve"> January 2023. </w:t>
      </w:r>
    </w:p>
    <w:p w:rsidR="004A1779" w:rsidRDefault="004A1779" w:rsidP="004A1779">
      <w:pPr>
        <w:spacing w:before="120" w:after="120"/>
        <w:jc w:val="both"/>
        <w:rPr>
          <w:rFonts w:ascii="Verdana" w:hAnsi="Verdana"/>
          <w:b/>
          <w:sz w:val="24"/>
          <w:szCs w:val="24"/>
          <w:highlight w:val="cyan"/>
          <w:u w:val="single"/>
        </w:rPr>
      </w:pPr>
    </w:p>
    <w:p w:rsidR="00632C72" w:rsidRDefault="00632C72" w:rsidP="004A1779">
      <w:pPr>
        <w:spacing w:before="120" w:after="120"/>
        <w:jc w:val="both"/>
        <w:rPr>
          <w:rFonts w:ascii="Verdana" w:hAnsi="Verdana"/>
          <w:b/>
          <w:sz w:val="24"/>
          <w:szCs w:val="24"/>
          <w:highlight w:val="cyan"/>
          <w:u w:val="single"/>
        </w:rPr>
      </w:pPr>
    </w:p>
    <w:p w:rsidR="00632C72" w:rsidRDefault="00632C72" w:rsidP="004A1779">
      <w:pPr>
        <w:spacing w:before="120" w:after="120"/>
        <w:jc w:val="both"/>
        <w:rPr>
          <w:rFonts w:ascii="Verdana" w:hAnsi="Verdana"/>
          <w:b/>
          <w:sz w:val="24"/>
          <w:szCs w:val="24"/>
          <w:highlight w:val="cyan"/>
          <w:u w:val="single"/>
        </w:rPr>
      </w:pPr>
    </w:p>
    <w:p w:rsidR="00632C72" w:rsidRPr="00F52B2D" w:rsidRDefault="00632C72" w:rsidP="004A1779">
      <w:pPr>
        <w:spacing w:before="120" w:after="120"/>
        <w:jc w:val="both"/>
        <w:rPr>
          <w:rFonts w:ascii="Verdana" w:hAnsi="Verdana"/>
          <w:b/>
          <w:sz w:val="24"/>
          <w:szCs w:val="24"/>
          <w:highlight w:val="cyan"/>
          <w:u w:val="single"/>
        </w:rPr>
      </w:pPr>
    </w:p>
    <w:p w:rsidR="00A470E5" w:rsidRPr="00DB2A38" w:rsidRDefault="00A470E5" w:rsidP="00AC2C4F">
      <w:pPr>
        <w:jc w:val="both"/>
        <w:rPr>
          <w:rFonts w:ascii="Verdana" w:hAnsi="Verdana" w:cs="Times New Roman"/>
          <w:sz w:val="24"/>
          <w:szCs w:val="24"/>
          <w:lang w:eastAsia="en-GB"/>
        </w:rPr>
      </w:pPr>
      <w:r w:rsidRPr="00DB2A38">
        <w:rPr>
          <w:rFonts w:ascii="Verdana" w:hAnsi="Verdana"/>
          <w:b/>
          <w:sz w:val="24"/>
          <w:szCs w:val="24"/>
          <w:u w:val="single"/>
        </w:rPr>
        <w:t>Balance Sheet</w:t>
      </w:r>
    </w:p>
    <w:p w:rsidR="00A470E5" w:rsidRPr="00DB2A38" w:rsidRDefault="00A470E5" w:rsidP="00AC2C4F">
      <w:pPr>
        <w:spacing w:before="120" w:after="120"/>
        <w:jc w:val="both"/>
        <w:rPr>
          <w:rFonts w:ascii="Verdana" w:hAnsi="Verdana" w:cs="Times New Roman"/>
          <w:sz w:val="24"/>
          <w:szCs w:val="24"/>
          <w:lang w:eastAsia="en-GB"/>
        </w:rPr>
      </w:pPr>
      <w:r w:rsidRPr="00DB2A38">
        <w:rPr>
          <w:rFonts w:ascii="Verdana" w:hAnsi="Verdana" w:cs="Times New Roman"/>
          <w:sz w:val="24"/>
          <w:szCs w:val="24"/>
          <w:lang w:eastAsia="en-GB"/>
        </w:rPr>
        <w:t xml:space="preserve">The Balance Sheet, or Statement of Financial Position, reports the assets, liabilities and reserves of the organisation at a specific point in time. </w:t>
      </w:r>
      <w:r w:rsidR="00F06628" w:rsidRPr="00DB2A38">
        <w:rPr>
          <w:rFonts w:ascii="Verdana" w:hAnsi="Verdana" w:cs="Times New Roman"/>
          <w:sz w:val="24"/>
          <w:szCs w:val="24"/>
          <w:lang w:eastAsia="en-GB"/>
        </w:rPr>
        <w:t>Table F</w:t>
      </w:r>
      <w:r w:rsidR="007F611C" w:rsidRPr="00DB2A38">
        <w:rPr>
          <w:rFonts w:ascii="Verdana" w:hAnsi="Verdana" w:cs="Times New Roman"/>
          <w:sz w:val="24"/>
          <w:szCs w:val="24"/>
          <w:lang w:eastAsia="en-GB"/>
        </w:rPr>
        <w:t xml:space="preserve"> provides a summary as at </w:t>
      </w:r>
      <w:r w:rsidR="00DB2A38" w:rsidRPr="00DB2A38">
        <w:rPr>
          <w:rFonts w:ascii="Verdana" w:hAnsi="Verdana" w:cs="Times New Roman"/>
          <w:sz w:val="24"/>
          <w:szCs w:val="24"/>
          <w:lang w:eastAsia="en-GB"/>
        </w:rPr>
        <w:t>31</w:t>
      </w:r>
      <w:r w:rsidR="00DB2A38" w:rsidRPr="00DB2A38">
        <w:rPr>
          <w:rFonts w:ascii="Verdana" w:hAnsi="Verdana" w:cs="Times New Roman"/>
          <w:sz w:val="24"/>
          <w:szCs w:val="24"/>
          <w:vertAlign w:val="superscript"/>
          <w:lang w:eastAsia="en-GB"/>
        </w:rPr>
        <w:t>st</w:t>
      </w:r>
      <w:r w:rsidR="001D7CD9" w:rsidRPr="00DB2A38">
        <w:rPr>
          <w:rFonts w:ascii="Verdana" w:hAnsi="Verdana" w:cs="Times New Roman"/>
          <w:sz w:val="24"/>
          <w:szCs w:val="24"/>
          <w:lang w:eastAsia="en-GB"/>
        </w:rPr>
        <w:t xml:space="preserve"> </w:t>
      </w:r>
      <w:r w:rsidR="00DB2A38" w:rsidRPr="00DB2A38">
        <w:rPr>
          <w:rFonts w:ascii="Verdana" w:hAnsi="Verdana" w:cs="Times New Roman"/>
          <w:sz w:val="24"/>
          <w:szCs w:val="24"/>
          <w:lang w:eastAsia="en-GB"/>
        </w:rPr>
        <w:t>Dec</w:t>
      </w:r>
      <w:r w:rsidR="005C006E" w:rsidRPr="00DB2A38">
        <w:rPr>
          <w:rFonts w:ascii="Verdana" w:hAnsi="Verdana" w:cs="Times New Roman"/>
          <w:sz w:val="24"/>
          <w:szCs w:val="24"/>
          <w:lang w:eastAsia="en-GB"/>
        </w:rPr>
        <w:t>em</w:t>
      </w:r>
      <w:r w:rsidR="001D7CD9" w:rsidRPr="00DB2A38">
        <w:rPr>
          <w:rFonts w:ascii="Verdana" w:hAnsi="Verdana" w:cs="Times New Roman"/>
          <w:sz w:val="24"/>
          <w:szCs w:val="24"/>
          <w:lang w:eastAsia="en-GB"/>
        </w:rPr>
        <w:t>ber</w:t>
      </w:r>
      <w:r w:rsidR="00B3613B" w:rsidRPr="00DB2A38">
        <w:rPr>
          <w:rFonts w:ascii="Verdana" w:hAnsi="Verdana" w:cs="Times New Roman"/>
          <w:sz w:val="24"/>
          <w:szCs w:val="24"/>
          <w:lang w:eastAsia="en-GB"/>
        </w:rPr>
        <w:t xml:space="preserve"> </w:t>
      </w:r>
      <w:r w:rsidR="005C3EE6" w:rsidRPr="00DB2A38">
        <w:rPr>
          <w:rFonts w:ascii="Verdana" w:hAnsi="Verdana" w:cs="Times New Roman"/>
          <w:sz w:val="24"/>
          <w:szCs w:val="24"/>
          <w:lang w:eastAsia="en-GB"/>
        </w:rPr>
        <w:t>202</w:t>
      </w:r>
      <w:r w:rsidR="00D71DD6" w:rsidRPr="00DB2A38">
        <w:rPr>
          <w:rFonts w:ascii="Verdana" w:hAnsi="Verdana" w:cs="Times New Roman"/>
          <w:sz w:val="24"/>
          <w:szCs w:val="24"/>
          <w:lang w:eastAsia="en-GB"/>
        </w:rPr>
        <w:t>2</w:t>
      </w:r>
      <w:r w:rsidR="007F611C" w:rsidRPr="00DB2A38">
        <w:rPr>
          <w:rFonts w:ascii="Verdana" w:hAnsi="Verdana" w:cs="Times New Roman"/>
          <w:sz w:val="24"/>
          <w:szCs w:val="24"/>
          <w:lang w:eastAsia="en-GB"/>
        </w:rPr>
        <w:t>.</w:t>
      </w:r>
    </w:p>
    <w:p w:rsidR="004A1779" w:rsidRPr="00F52B2D" w:rsidRDefault="004A1779" w:rsidP="007F611C">
      <w:pPr>
        <w:pStyle w:val="ListParagraph"/>
        <w:ind w:left="0"/>
        <w:jc w:val="both"/>
        <w:rPr>
          <w:rFonts w:ascii="Verdana" w:hAnsi="Verdana"/>
          <w:b/>
          <w:highlight w:val="cyan"/>
          <w:u w:val="single"/>
        </w:rPr>
      </w:pPr>
    </w:p>
    <w:p w:rsidR="007F611C" w:rsidRPr="00DB2A38" w:rsidRDefault="007F611C" w:rsidP="007F611C">
      <w:pPr>
        <w:pStyle w:val="ListParagraph"/>
        <w:ind w:left="0"/>
        <w:jc w:val="both"/>
        <w:rPr>
          <w:rFonts w:ascii="Verdana" w:hAnsi="Verdana"/>
          <w:b/>
        </w:rPr>
      </w:pPr>
      <w:r w:rsidRPr="00DB2A38">
        <w:rPr>
          <w:rFonts w:ascii="Verdana" w:hAnsi="Verdana"/>
          <w:b/>
        </w:rPr>
        <w:t xml:space="preserve">Table </w:t>
      </w:r>
      <w:r w:rsidR="00F06628" w:rsidRPr="00DB2A38">
        <w:rPr>
          <w:rFonts w:ascii="Verdana" w:hAnsi="Verdana"/>
          <w:b/>
        </w:rPr>
        <w:t>F</w:t>
      </w:r>
      <w:r w:rsidRPr="00DB2A38">
        <w:rPr>
          <w:rFonts w:ascii="Verdana" w:hAnsi="Verdana"/>
          <w:b/>
        </w:rPr>
        <w:t xml:space="preserve"> – Balance Sheet as at </w:t>
      </w:r>
      <w:r w:rsidR="00DB2A38" w:rsidRPr="00DB2A38">
        <w:rPr>
          <w:rFonts w:ascii="Verdana" w:hAnsi="Verdana"/>
          <w:b/>
        </w:rPr>
        <w:t>31</w:t>
      </w:r>
      <w:r w:rsidR="00DB2A38" w:rsidRPr="00DB2A38">
        <w:rPr>
          <w:rFonts w:ascii="Verdana" w:hAnsi="Verdana"/>
          <w:b/>
          <w:vertAlign w:val="superscript"/>
        </w:rPr>
        <w:t>st</w:t>
      </w:r>
      <w:r w:rsidR="005C006E" w:rsidRPr="00DB2A38">
        <w:rPr>
          <w:rFonts w:ascii="Verdana" w:hAnsi="Verdana"/>
          <w:b/>
        </w:rPr>
        <w:t xml:space="preserve"> </w:t>
      </w:r>
      <w:r w:rsidR="00DB2A38" w:rsidRPr="00DB2A38">
        <w:rPr>
          <w:rFonts w:ascii="Verdana" w:hAnsi="Verdana"/>
          <w:b/>
        </w:rPr>
        <w:t>Dec</w:t>
      </w:r>
      <w:r w:rsidR="005C006E" w:rsidRPr="00DB2A38">
        <w:rPr>
          <w:rFonts w:ascii="Verdana" w:hAnsi="Verdana"/>
          <w:b/>
        </w:rPr>
        <w:t>em</w:t>
      </w:r>
      <w:r w:rsidR="001D7CD9" w:rsidRPr="00DB2A38">
        <w:rPr>
          <w:rFonts w:ascii="Verdana" w:hAnsi="Verdana"/>
          <w:b/>
        </w:rPr>
        <w:t>ber</w:t>
      </w:r>
      <w:r w:rsidR="005C3EE6" w:rsidRPr="00DB2A38">
        <w:rPr>
          <w:rFonts w:ascii="Verdana" w:hAnsi="Verdana"/>
          <w:b/>
        </w:rPr>
        <w:t xml:space="preserve"> 202</w:t>
      </w:r>
      <w:r w:rsidR="00D71DD6" w:rsidRPr="00DB2A38">
        <w:rPr>
          <w:rFonts w:ascii="Verdana" w:hAnsi="Verdana"/>
          <w:b/>
        </w:rPr>
        <w:t>2</w:t>
      </w:r>
    </w:p>
    <w:p w:rsidR="007F611C" w:rsidRPr="00F52B2D" w:rsidRDefault="007F611C" w:rsidP="00A470E5">
      <w:pPr>
        <w:pStyle w:val="ListParagraph"/>
        <w:ind w:left="360"/>
        <w:jc w:val="both"/>
        <w:rPr>
          <w:rFonts w:ascii="Verdana" w:hAnsi="Verdana"/>
          <w:b/>
          <w:highlight w:val="cyan"/>
          <w:u w:val="single"/>
        </w:rPr>
      </w:pPr>
    </w:p>
    <w:tbl>
      <w:tblPr>
        <w:tblW w:w="8020" w:type="dxa"/>
        <w:tblLook w:val="04A0" w:firstRow="1" w:lastRow="0" w:firstColumn="1" w:lastColumn="0" w:noHBand="0" w:noVBand="1"/>
      </w:tblPr>
      <w:tblGrid>
        <w:gridCol w:w="4480"/>
        <w:gridCol w:w="1180"/>
        <w:gridCol w:w="1180"/>
        <w:gridCol w:w="1180"/>
      </w:tblGrid>
      <w:tr w:rsidR="009336E2" w:rsidRPr="00F52B2D" w:rsidTr="009336E2">
        <w:trPr>
          <w:trHeight w:val="816"/>
        </w:trPr>
        <w:tc>
          <w:tcPr>
            <w:tcW w:w="4480" w:type="dxa"/>
            <w:tcBorders>
              <w:top w:val="dotted" w:sz="4" w:space="0" w:color="5B9BD5"/>
              <w:left w:val="dotted" w:sz="4" w:space="0" w:color="5B9BD5"/>
              <w:bottom w:val="dotted" w:sz="4" w:space="0" w:color="5B9BD5"/>
              <w:right w:val="dotted" w:sz="4" w:space="0" w:color="5B9BD5"/>
            </w:tcBorders>
            <w:shd w:val="clear" w:color="000000" w:fill="5B9BD5"/>
            <w:noWrap/>
            <w:vAlign w:val="center"/>
            <w:hideMark/>
          </w:tcPr>
          <w:p w:rsidR="009336E2" w:rsidRPr="00DB2A38" w:rsidRDefault="009336E2" w:rsidP="009336E2">
            <w:pPr>
              <w:spacing w:after="0" w:line="240" w:lineRule="auto"/>
              <w:rPr>
                <w:rFonts w:ascii="Verdana" w:eastAsia="Times New Roman" w:hAnsi="Verdana" w:cs="Arial"/>
                <w:b/>
                <w:bCs/>
                <w:color w:val="FFFFFF"/>
                <w:sz w:val="16"/>
                <w:szCs w:val="16"/>
                <w:lang w:eastAsia="en-GB"/>
              </w:rPr>
            </w:pPr>
            <w:r w:rsidRPr="00DB2A38">
              <w:rPr>
                <w:rFonts w:ascii="Verdana" w:eastAsia="Times New Roman" w:hAnsi="Verdana" w:cs="Arial"/>
                <w:b/>
                <w:bCs/>
                <w:color w:val="FFFFFF"/>
                <w:sz w:val="16"/>
                <w:szCs w:val="16"/>
                <w:lang w:eastAsia="en-GB"/>
              </w:rPr>
              <w:t> </w:t>
            </w:r>
          </w:p>
        </w:tc>
        <w:tc>
          <w:tcPr>
            <w:tcW w:w="1180" w:type="dxa"/>
            <w:tcBorders>
              <w:top w:val="dotted" w:sz="4" w:space="0" w:color="5B9BD5"/>
              <w:left w:val="nil"/>
              <w:bottom w:val="dotted" w:sz="4" w:space="0" w:color="5B9BD5"/>
              <w:right w:val="dotted" w:sz="4" w:space="0" w:color="5B9BD5"/>
            </w:tcBorders>
            <w:shd w:val="clear" w:color="000000" w:fill="5B9BD5"/>
            <w:vAlign w:val="center"/>
            <w:hideMark/>
          </w:tcPr>
          <w:p w:rsidR="009336E2" w:rsidRPr="00DB2A38" w:rsidRDefault="009336E2" w:rsidP="005C006E">
            <w:pPr>
              <w:spacing w:after="0" w:line="240" w:lineRule="auto"/>
              <w:jc w:val="center"/>
              <w:rPr>
                <w:rFonts w:ascii="Verdana" w:eastAsia="Times New Roman" w:hAnsi="Verdana" w:cs="Arial"/>
                <w:b/>
                <w:bCs/>
                <w:color w:val="FFFFFF"/>
                <w:sz w:val="16"/>
                <w:szCs w:val="16"/>
                <w:lang w:eastAsia="en-GB"/>
              </w:rPr>
            </w:pPr>
            <w:r w:rsidRPr="00DB2A38">
              <w:rPr>
                <w:rFonts w:ascii="Verdana" w:eastAsia="Times New Roman" w:hAnsi="Verdana" w:cs="Arial"/>
                <w:b/>
                <w:bCs/>
                <w:color w:val="FFFFFF"/>
                <w:sz w:val="16"/>
                <w:szCs w:val="16"/>
                <w:lang w:eastAsia="en-GB"/>
              </w:rPr>
              <w:t>Opening Balance 1/4/2022 £000s</w:t>
            </w:r>
          </w:p>
        </w:tc>
        <w:tc>
          <w:tcPr>
            <w:tcW w:w="1180" w:type="dxa"/>
            <w:tcBorders>
              <w:top w:val="dotted" w:sz="4" w:space="0" w:color="5B9BD5"/>
              <w:left w:val="nil"/>
              <w:bottom w:val="dotted" w:sz="4" w:space="0" w:color="5B9BD5"/>
              <w:right w:val="dotted" w:sz="4" w:space="0" w:color="5B9BD5"/>
            </w:tcBorders>
            <w:shd w:val="clear" w:color="000000" w:fill="5B9BD5"/>
            <w:vAlign w:val="center"/>
            <w:hideMark/>
          </w:tcPr>
          <w:p w:rsidR="009336E2" w:rsidRPr="00DB2A38" w:rsidRDefault="009336E2" w:rsidP="005C006E">
            <w:pPr>
              <w:spacing w:after="0" w:line="240" w:lineRule="auto"/>
              <w:jc w:val="center"/>
              <w:rPr>
                <w:rFonts w:ascii="Verdana" w:eastAsia="Times New Roman" w:hAnsi="Verdana" w:cs="Arial"/>
                <w:b/>
                <w:bCs/>
                <w:color w:val="FFFFFF"/>
                <w:sz w:val="16"/>
                <w:szCs w:val="16"/>
                <w:lang w:eastAsia="en-GB"/>
              </w:rPr>
            </w:pPr>
            <w:r w:rsidRPr="00DB2A38">
              <w:rPr>
                <w:rFonts w:ascii="Verdana" w:eastAsia="Times New Roman" w:hAnsi="Verdana" w:cs="Arial"/>
                <w:b/>
                <w:bCs/>
                <w:color w:val="FFFFFF"/>
                <w:sz w:val="16"/>
                <w:szCs w:val="16"/>
                <w:lang w:eastAsia="en-GB"/>
              </w:rPr>
              <w:t>Movement £000s</w:t>
            </w:r>
          </w:p>
        </w:tc>
        <w:tc>
          <w:tcPr>
            <w:tcW w:w="1180" w:type="dxa"/>
            <w:tcBorders>
              <w:top w:val="dotted" w:sz="4" w:space="0" w:color="5B9BD5"/>
              <w:left w:val="nil"/>
              <w:bottom w:val="dotted" w:sz="4" w:space="0" w:color="5B9BD5"/>
              <w:right w:val="dotted" w:sz="4" w:space="0" w:color="5B9BD5"/>
            </w:tcBorders>
            <w:shd w:val="clear" w:color="000000" w:fill="5B9BD5"/>
            <w:vAlign w:val="center"/>
            <w:hideMark/>
          </w:tcPr>
          <w:p w:rsidR="009336E2" w:rsidRPr="00DB2A38" w:rsidRDefault="009336E2" w:rsidP="005C006E">
            <w:pPr>
              <w:spacing w:after="0" w:line="240" w:lineRule="auto"/>
              <w:jc w:val="center"/>
              <w:rPr>
                <w:rFonts w:ascii="Verdana" w:eastAsia="Times New Roman" w:hAnsi="Verdana" w:cs="Arial"/>
                <w:b/>
                <w:bCs/>
                <w:color w:val="FFFFFF"/>
                <w:sz w:val="16"/>
                <w:szCs w:val="16"/>
                <w:lang w:eastAsia="en-GB"/>
              </w:rPr>
            </w:pPr>
            <w:r w:rsidRPr="00DB2A38">
              <w:rPr>
                <w:rFonts w:ascii="Verdana" w:eastAsia="Times New Roman" w:hAnsi="Verdana" w:cs="Arial"/>
                <w:b/>
                <w:bCs/>
                <w:color w:val="FFFFFF"/>
                <w:sz w:val="16"/>
                <w:szCs w:val="16"/>
                <w:lang w:eastAsia="en-GB"/>
              </w:rPr>
              <w:t>Closing Balance 3</w:t>
            </w:r>
            <w:r w:rsidR="00DB2A38">
              <w:rPr>
                <w:rFonts w:ascii="Verdana" w:eastAsia="Times New Roman" w:hAnsi="Verdana" w:cs="Arial"/>
                <w:b/>
                <w:bCs/>
                <w:color w:val="FFFFFF"/>
                <w:sz w:val="16"/>
                <w:szCs w:val="16"/>
                <w:lang w:eastAsia="en-GB"/>
              </w:rPr>
              <w:t>1/12</w:t>
            </w:r>
            <w:r w:rsidRPr="00DB2A38">
              <w:rPr>
                <w:rFonts w:ascii="Verdana" w:eastAsia="Times New Roman" w:hAnsi="Verdana" w:cs="Arial"/>
                <w:b/>
                <w:bCs/>
                <w:color w:val="FFFFFF"/>
                <w:sz w:val="16"/>
                <w:szCs w:val="16"/>
                <w:lang w:eastAsia="en-GB"/>
              </w:rPr>
              <w:t>/22  £000s</w:t>
            </w:r>
          </w:p>
        </w:tc>
      </w:tr>
      <w:tr w:rsidR="009336E2" w:rsidRPr="00F52B2D"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b/>
                <w:bCs/>
                <w:color w:val="000000"/>
                <w:sz w:val="16"/>
                <w:szCs w:val="16"/>
                <w:lang w:eastAsia="en-GB"/>
              </w:rPr>
            </w:pPr>
            <w:r w:rsidRPr="00DB2A38">
              <w:rPr>
                <w:rFonts w:ascii="Verdana" w:eastAsia="Times New Roman" w:hAnsi="Verdana" w:cs="Arial"/>
                <w:b/>
                <w:bCs/>
                <w:color w:val="000000"/>
                <w:sz w:val="16"/>
                <w:szCs w:val="16"/>
                <w:lang w:eastAsia="en-GB"/>
              </w:rPr>
              <w:t> </w:t>
            </w:r>
          </w:p>
        </w:tc>
        <w:tc>
          <w:tcPr>
            <w:tcW w:w="1180" w:type="dxa"/>
            <w:tcBorders>
              <w:top w:val="nil"/>
              <w:left w:val="nil"/>
              <w:bottom w:val="dotted" w:sz="4" w:space="0" w:color="5B9BD5"/>
              <w:right w:val="nil"/>
            </w:tcBorders>
            <w:shd w:val="clear" w:color="auto" w:fill="auto"/>
            <w:noWrap/>
            <w:vAlign w:val="center"/>
            <w:hideMark/>
          </w:tcPr>
          <w:p w:rsidR="009336E2" w:rsidRPr="00F52B2D" w:rsidRDefault="009336E2" w:rsidP="005C006E">
            <w:pPr>
              <w:spacing w:after="0" w:line="240" w:lineRule="auto"/>
              <w:jc w:val="center"/>
              <w:rPr>
                <w:rFonts w:ascii="Verdana" w:eastAsia="Times New Roman" w:hAnsi="Verdana" w:cs="Arial"/>
                <w:b/>
                <w:bCs/>
                <w:color w:val="000000"/>
                <w:sz w:val="16"/>
                <w:szCs w:val="16"/>
                <w:highlight w:val="cyan"/>
                <w:lang w:eastAsia="en-GB"/>
              </w:rPr>
            </w:pPr>
          </w:p>
        </w:tc>
        <w:tc>
          <w:tcPr>
            <w:tcW w:w="1180" w:type="dxa"/>
            <w:tcBorders>
              <w:top w:val="nil"/>
              <w:left w:val="nil"/>
              <w:bottom w:val="dotted" w:sz="4" w:space="0" w:color="5B9BD5"/>
              <w:right w:val="nil"/>
            </w:tcBorders>
            <w:shd w:val="clear" w:color="auto" w:fill="auto"/>
            <w:noWrap/>
            <w:vAlign w:val="center"/>
            <w:hideMark/>
          </w:tcPr>
          <w:p w:rsidR="009336E2" w:rsidRPr="00F52B2D" w:rsidRDefault="009336E2" w:rsidP="005C006E">
            <w:pPr>
              <w:spacing w:after="0" w:line="240" w:lineRule="auto"/>
              <w:jc w:val="center"/>
              <w:rPr>
                <w:rFonts w:ascii="Verdana" w:eastAsia="Times New Roman" w:hAnsi="Verdana" w:cs="Arial"/>
                <w:b/>
                <w:bCs/>
                <w:color w:val="000000"/>
                <w:sz w:val="16"/>
                <w:szCs w:val="16"/>
                <w:highlight w:val="cyan"/>
                <w:lang w:eastAsia="en-GB"/>
              </w:rPr>
            </w:pP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F52B2D" w:rsidRDefault="009336E2" w:rsidP="005C006E">
            <w:pPr>
              <w:spacing w:after="0" w:line="240" w:lineRule="auto"/>
              <w:jc w:val="center"/>
              <w:rPr>
                <w:rFonts w:ascii="Verdana" w:eastAsia="Times New Roman" w:hAnsi="Verdana" w:cs="Arial"/>
                <w:b/>
                <w:bCs/>
                <w:color w:val="000000"/>
                <w:sz w:val="16"/>
                <w:szCs w:val="16"/>
                <w:highlight w:val="cyan"/>
                <w:lang w:eastAsia="en-GB"/>
              </w:rPr>
            </w:pPr>
          </w:p>
        </w:tc>
      </w:tr>
      <w:tr w:rsidR="009336E2"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Non-Current Assets</w:t>
            </w: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F52B2D" w:rsidRDefault="009336E2" w:rsidP="005C006E">
            <w:pPr>
              <w:spacing w:after="0" w:line="240" w:lineRule="auto"/>
              <w:jc w:val="center"/>
              <w:rPr>
                <w:rFonts w:ascii="Verdana" w:eastAsia="Times New Roman" w:hAnsi="Verdana" w:cs="Arial"/>
                <w:b/>
                <w:bCs/>
                <w:color w:val="000000"/>
                <w:sz w:val="18"/>
                <w:szCs w:val="18"/>
                <w:highlight w:val="cyan"/>
                <w:lang w:eastAsia="en-GB"/>
              </w:rPr>
            </w:pP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F52B2D" w:rsidRDefault="009336E2" w:rsidP="005C006E">
            <w:pPr>
              <w:spacing w:after="0" w:line="240" w:lineRule="auto"/>
              <w:jc w:val="center"/>
              <w:rPr>
                <w:rFonts w:ascii="Verdana" w:eastAsia="Times New Roman" w:hAnsi="Verdana" w:cs="Arial"/>
                <w:color w:val="000000"/>
                <w:sz w:val="18"/>
                <w:szCs w:val="18"/>
                <w:highlight w:val="cyan"/>
                <w:lang w:eastAsia="en-GB"/>
              </w:rPr>
            </w:pP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F52B2D" w:rsidRDefault="009336E2" w:rsidP="005C006E">
            <w:pPr>
              <w:spacing w:after="0" w:line="240" w:lineRule="auto"/>
              <w:jc w:val="center"/>
              <w:rPr>
                <w:rFonts w:ascii="Verdana" w:eastAsia="Times New Roman" w:hAnsi="Verdana" w:cs="Arial"/>
                <w:b/>
                <w:bCs/>
                <w:color w:val="000000"/>
                <w:sz w:val="18"/>
                <w:szCs w:val="18"/>
                <w:highlight w:val="cyan"/>
                <w:lang w:eastAsia="en-GB"/>
              </w:rPr>
            </w:pP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Property, plant and equipment</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26,530</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E468D" w:rsidP="00DB2A38">
            <w:pPr>
              <w:spacing w:after="0" w:line="240" w:lineRule="auto"/>
              <w:jc w:val="right"/>
              <w:rPr>
                <w:rFonts w:ascii="Verdana" w:eastAsia="Times New Roman" w:hAnsi="Verdana" w:cs="Arial"/>
                <w:color w:val="000000"/>
                <w:sz w:val="18"/>
                <w:szCs w:val="18"/>
                <w:lang w:eastAsia="en-GB"/>
              </w:rPr>
            </w:pPr>
            <w:r w:rsidRPr="00DB2A38">
              <w:rPr>
                <w:rFonts w:ascii="Verdana" w:hAnsi="Verdana" w:cs="Arial"/>
                <w:color w:val="FF0000"/>
                <w:sz w:val="18"/>
                <w:szCs w:val="18"/>
              </w:rPr>
              <w:t>(</w:t>
            </w:r>
            <w:r w:rsidR="00DB2A38" w:rsidRPr="00DB2A38">
              <w:rPr>
                <w:rFonts w:ascii="Verdana" w:hAnsi="Verdana" w:cs="Arial"/>
                <w:color w:val="FF0000"/>
                <w:sz w:val="18"/>
                <w:szCs w:val="18"/>
              </w:rPr>
              <w:t>1,047</w:t>
            </w:r>
            <w:r w:rsidR="001D7CD9" w:rsidRPr="00DB2A38">
              <w:rPr>
                <w:rFonts w:ascii="Verdana" w:hAnsi="Verdana" w:cs="Arial"/>
                <w:color w:val="FF0000"/>
                <w:sz w:val="18"/>
                <w:szCs w:val="18"/>
              </w:rPr>
              <w:t>)</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B2A38" w:rsidP="001D7CD9">
            <w:pPr>
              <w:spacing w:after="0" w:line="240" w:lineRule="auto"/>
              <w:jc w:val="right"/>
              <w:rPr>
                <w:rFonts w:ascii="Verdana" w:eastAsia="Times New Roman" w:hAnsi="Verdana" w:cs="Arial"/>
                <w:color w:val="000000"/>
                <w:sz w:val="18"/>
                <w:szCs w:val="18"/>
                <w:lang w:eastAsia="en-GB"/>
              </w:rPr>
            </w:pPr>
            <w:r w:rsidRPr="00DB2A38">
              <w:rPr>
                <w:rFonts w:ascii="Verdana" w:hAnsi="Verdana" w:cs="Arial"/>
                <w:color w:val="000000"/>
                <w:sz w:val="18"/>
                <w:szCs w:val="18"/>
              </w:rPr>
              <w:t>25,483</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Intangible assets</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3,403</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E468D" w:rsidP="001D7CD9">
            <w:pPr>
              <w:spacing w:after="0" w:line="240" w:lineRule="auto"/>
              <w:jc w:val="right"/>
              <w:rPr>
                <w:rFonts w:ascii="Verdana" w:eastAsia="Times New Roman" w:hAnsi="Verdana" w:cs="Arial"/>
                <w:sz w:val="18"/>
                <w:szCs w:val="18"/>
                <w:lang w:eastAsia="en-GB"/>
              </w:rPr>
            </w:pPr>
            <w:r w:rsidRPr="00DB2A38">
              <w:rPr>
                <w:rFonts w:ascii="Verdana" w:hAnsi="Verdana" w:cs="Arial"/>
                <w:color w:val="FF0000"/>
                <w:sz w:val="18"/>
                <w:szCs w:val="18"/>
              </w:rPr>
              <w:t>(268</w:t>
            </w:r>
            <w:r w:rsidR="001D7CD9" w:rsidRPr="00DB2A38">
              <w:rPr>
                <w:rFonts w:ascii="Verdana" w:hAnsi="Verdana" w:cs="Arial"/>
                <w:color w:val="FF0000"/>
                <w:sz w:val="18"/>
                <w:szCs w:val="18"/>
              </w:rPr>
              <w:t>)</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E468D" w:rsidP="001D7CD9">
            <w:pPr>
              <w:spacing w:after="0" w:line="240" w:lineRule="auto"/>
              <w:jc w:val="right"/>
              <w:rPr>
                <w:rFonts w:ascii="Verdana" w:eastAsia="Times New Roman" w:hAnsi="Verdana" w:cs="Arial"/>
                <w:sz w:val="18"/>
                <w:szCs w:val="18"/>
                <w:lang w:eastAsia="en-GB"/>
              </w:rPr>
            </w:pPr>
            <w:r w:rsidRPr="00DB2A38">
              <w:rPr>
                <w:rFonts w:ascii="Verdana" w:hAnsi="Verdana" w:cs="Arial"/>
                <w:sz w:val="18"/>
                <w:szCs w:val="18"/>
              </w:rPr>
              <w:t>3,135</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Trade and other receivables</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327</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E468D" w:rsidP="001D7CD9">
            <w:pPr>
              <w:spacing w:after="0" w:line="240" w:lineRule="auto"/>
              <w:jc w:val="right"/>
              <w:rPr>
                <w:rFonts w:ascii="Verdana" w:eastAsia="Times New Roman" w:hAnsi="Verdana" w:cs="Arial"/>
                <w:color w:val="000000"/>
                <w:sz w:val="18"/>
                <w:szCs w:val="18"/>
                <w:lang w:eastAsia="en-GB"/>
              </w:rPr>
            </w:pPr>
            <w:r w:rsidRPr="00DB2A38">
              <w:rPr>
                <w:rFonts w:ascii="Verdana" w:hAnsi="Verdana" w:cs="Arial"/>
                <w:color w:val="000000"/>
                <w:sz w:val="18"/>
                <w:szCs w:val="18"/>
              </w:rPr>
              <w:t>2,848</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DE468D">
            <w:pPr>
              <w:spacing w:after="0" w:line="240" w:lineRule="auto"/>
              <w:jc w:val="right"/>
              <w:rPr>
                <w:rFonts w:ascii="Verdana" w:eastAsia="Times New Roman" w:hAnsi="Verdana" w:cs="Arial"/>
                <w:color w:val="000000"/>
                <w:sz w:val="18"/>
                <w:szCs w:val="18"/>
                <w:lang w:eastAsia="en-GB"/>
              </w:rPr>
            </w:pPr>
            <w:r w:rsidRPr="00DB2A38">
              <w:rPr>
                <w:rFonts w:ascii="Verdana" w:hAnsi="Verdana" w:cs="Arial"/>
                <w:color w:val="000000"/>
                <w:sz w:val="18"/>
                <w:szCs w:val="18"/>
              </w:rPr>
              <w:t>3,</w:t>
            </w:r>
            <w:r w:rsidR="00DE468D" w:rsidRPr="00DB2A38">
              <w:rPr>
                <w:rFonts w:ascii="Verdana" w:hAnsi="Verdana" w:cs="Arial"/>
                <w:color w:val="000000"/>
                <w:sz w:val="18"/>
                <w:szCs w:val="18"/>
              </w:rPr>
              <w:t>175</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000000" w:fill="DBE5F1"/>
            <w:noWrap/>
            <w:vAlign w:val="center"/>
            <w:hideMark/>
          </w:tcPr>
          <w:p w:rsidR="001D7CD9" w:rsidRPr="00DB2A38" w:rsidRDefault="001D7CD9" w:rsidP="001D7CD9">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 xml:space="preserve">Non-Current Assets sub total </w:t>
            </w:r>
          </w:p>
        </w:tc>
        <w:tc>
          <w:tcPr>
            <w:tcW w:w="1180" w:type="dxa"/>
            <w:tcBorders>
              <w:top w:val="nil"/>
              <w:left w:val="nil"/>
              <w:bottom w:val="dotted" w:sz="4" w:space="0" w:color="5B9BD5"/>
              <w:right w:val="dotted" w:sz="4" w:space="0" w:color="5B9BD5"/>
            </w:tcBorders>
            <w:shd w:val="clear" w:color="000000" w:fill="DBE5F1"/>
            <w:noWrap/>
            <w:vAlign w:val="center"/>
            <w:hideMark/>
          </w:tcPr>
          <w:p w:rsidR="001D7CD9" w:rsidRPr="00DB2A38" w:rsidRDefault="001D7CD9" w:rsidP="001D7CD9">
            <w:pPr>
              <w:spacing w:after="0" w:line="240" w:lineRule="auto"/>
              <w:jc w:val="right"/>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30,260</w:t>
            </w:r>
          </w:p>
        </w:tc>
        <w:tc>
          <w:tcPr>
            <w:tcW w:w="1180" w:type="dxa"/>
            <w:tcBorders>
              <w:top w:val="nil"/>
              <w:left w:val="nil"/>
              <w:bottom w:val="dotted" w:sz="4" w:space="0" w:color="5B9BD5"/>
              <w:right w:val="dotted" w:sz="4" w:space="0" w:color="5B9BD5"/>
            </w:tcBorders>
            <w:shd w:val="clear" w:color="000000" w:fill="DBE5F1"/>
            <w:noWrap/>
            <w:vAlign w:val="center"/>
            <w:hideMark/>
          </w:tcPr>
          <w:p w:rsidR="001D7CD9" w:rsidRPr="00DB2A38" w:rsidRDefault="00DB2A38" w:rsidP="001D7CD9">
            <w:pPr>
              <w:spacing w:after="0" w:line="240" w:lineRule="auto"/>
              <w:jc w:val="right"/>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1,534</w:t>
            </w:r>
          </w:p>
        </w:tc>
        <w:tc>
          <w:tcPr>
            <w:tcW w:w="1180" w:type="dxa"/>
            <w:tcBorders>
              <w:top w:val="nil"/>
              <w:left w:val="nil"/>
              <w:bottom w:val="dotted" w:sz="4" w:space="0" w:color="5B9BD5"/>
              <w:right w:val="dotted" w:sz="4" w:space="0" w:color="5B9BD5"/>
            </w:tcBorders>
            <w:shd w:val="clear" w:color="000000" w:fill="DBE5F1"/>
            <w:noWrap/>
            <w:vAlign w:val="center"/>
            <w:hideMark/>
          </w:tcPr>
          <w:p w:rsidR="001D7CD9" w:rsidRPr="00DB2A38" w:rsidRDefault="00DB2A38" w:rsidP="00DB2A38">
            <w:pPr>
              <w:spacing w:after="0" w:line="240" w:lineRule="auto"/>
              <w:jc w:val="right"/>
              <w:rPr>
                <w:rFonts w:ascii="Verdana" w:eastAsia="Times New Roman" w:hAnsi="Verdana" w:cs="Arial"/>
                <w:b/>
                <w:bCs/>
                <w:color w:val="000000"/>
                <w:sz w:val="18"/>
                <w:szCs w:val="18"/>
                <w:lang w:eastAsia="en-GB"/>
              </w:rPr>
            </w:pPr>
            <w:r w:rsidRPr="00DB2A38">
              <w:rPr>
                <w:rFonts w:ascii="Verdana" w:hAnsi="Verdana" w:cs="Arial"/>
                <w:b/>
                <w:bCs/>
                <w:color w:val="000000"/>
                <w:sz w:val="18"/>
                <w:szCs w:val="18"/>
              </w:rPr>
              <w:t>31</w:t>
            </w:r>
            <w:r w:rsidR="001D7CD9" w:rsidRPr="00DB2A38">
              <w:rPr>
                <w:rFonts w:ascii="Verdana" w:hAnsi="Verdana" w:cs="Arial"/>
                <w:b/>
                <w:bCs/>
                <w:color w:val="000000"/>
                <w:sz w:val="18"/>
                <w:szCs w:val="18"/>
              </w:rPr>
              <w:t>,</w:t>
            </w:r>
            <w:r w:rsidR="00DE468D" w:rsidRPr="00DB2A38">
              <w:rPr>
                <w:rFonts w:ascii="Verdana" w:hAnsi="Verdana" w:cs="Arial"/>
                <w:b/>
                <w:bCs/>
                <w:color w:val="000000"/>
                <w:sz w:val="18"/>
                <w:szCs w:val="18"/>
              </w:rPr>
              <w:t>7</w:t>
            </w:r>
            <w:r w:rsidRPr="00DB2A38">
              <w:rPr>
                <w:rFonts w:ascii="Verdana" w:hAnsi="Verdana" w:cs="Arial"/>
                <w:b/>
                <w:bCs/>
                <w:color w:val="000000"/>
                <w:sz w:val="18"/>
                <w:szCs w:val="18"/>
              </w:rPr>
              <w:t>94</w:t>
            </w:r>
          </w:p>
        </w:tc>
      </w:tr>
      <w:tr w:rsidR="009336E2" w:rsidRPr="00F52B2D"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 </w:t>
            </w:r>
          </w:p>
        </w:tc>
      </w:tr>
      <w:tr w:rsidR="009336E2"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Current Assets</w:t>
            </w: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Inventories</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2,995</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B2A38" w:rsidP="001D7CD9">
            <w:pPr>
              <w:spacing w:after="0" w:line="240" w:lineRule="auto"/>
              <w:jc w:val="right"/>
              <w:rPr>
                <w:rFonts w:ascii="Verdana" w:eastAsia="Times New Roman" w:hAnsi="Verdana" w:cs="Arial"/>
                <w:sz w:val="18"/>
                <w:szCs w:val="18"/>
                <w:lang w:eastAsia="en-GB"/>
              </w:rPr>
            </w:pPr>
            <w:r w:rsidRPr="00DB2A38">
              <w:rPr>
                <w:rFonts w:ascii="Verdana" w:hAnsi="Verdana" w:cs="Arial"/>
                <w:color w:val="FF0000"/>
                <w:sz w:val="18"/>
                <w:szCs w:val="18"/>
              </w:rPr>
              <w:t>(2,385</w:t>
            </w:r>
            <w:r w:rsidR="001D7CD9" w:rsidRPr="00DB2A38">
              <w:rPr>
                <w:rFonts w:ascii="Verdana" w:hAnsi="Verdana" w:cs="Arial"/>
                <w:color w:val="FF0000"/>
                <w:sz w:val="18"/>
                <w:szCs w:val="18"/>
              </w:rPr>
              <w:t>)</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B2A38" w:rsidP="001D7CD9">
            <w:pPr>
              <w:spacing w:after="0" w:line="240" w:lineRule="auto"/>
              <w:jc w:val="right"/>
              <w:rPr>
                <w:rFonts w:ascii="Verdana" w:eastAsia="Times New Roman" w:hAnsi="Verdana" w:cs="Arial"/>
                <w:sz w:val="18"/>
                <w:szCs w:val="18"/>
                <w:lang w:eastAsia="en-GB"/>
              </w:rPr>
            </w:pPr>
            <w:r w:rsidRPr="00DB2A38">
              <w:rPr>
                <w:rFonts w:ascii="Verdana" w:hAnsi="Verdana" w:cs="Arial"/>
                <w:sz w:val="18"/>
                <w:szCs w:val="18"/>
              </w:rPr>
              <w:t>610</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Trade and other receivables</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20,355</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B2A38" w:rsidP="001D7CD9">
            <w:pPr>
              <w:spacing w:after="0" w:line="240" w:lineRule="auto"/>
              <w:jc w:val="right"/>
              <w:rPr>
                <w:rFonts w:ascii="Verdana" w:eastAsia="Times New Roman" w:hAnsi="Verdana" w:cs="Arial"/>
                <w:sz w:val="18"/>
                <w:szCs w:val="18"/>
                <w:lang w:eastAsia="en-GB"/>
              </w:rPr>
            </w:pPr>
            <w:r w:rsidRPr="00DB2A38">
              <w:rPr>
                <w:rFonts w:ascii="Verdana" w:hAnsi="Verdana" w:cs="Arial"/>
                <w:sz w:val="18"/>
                <w:szCs w:val="18"/>
              </w:rPr>
              <w:t>20,875</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B2A38" w:rsidP="00DE468D">
            <w:pPr>
              <w:spacing w:after="0" w:line="240" w:lineRule="auto"/>
              <w:jc w:val="right"/>
              <w:rPr>
                <w:rFonts w:ascii="Verdana" w:eastAsia="Times New Roman" w:hAnsi="Verdana" w:cs="Arial"/>
                <w:sz w:val="18"/>
                <w:szCs w:val="18"/>
                <w:lang w:eastAsia="en-GB"/>
              </w:rPr>
            </w:pPr>
            <w:r w:rsidRPr="00DB2A38">
              <w:rPr>
                <w:rFonts w:ascii="Verdana" w:hAnsi="Verdana" w:cs="Arial"/>
                <w:sz w:val="18"/>
                <w:szCs w:val="18"/>
              </w:rPr>
              <w:t>41,230</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Cash and cash equivalents</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16,791</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E468D" w:rsidP="00DE468D">
            <w:pPr>
              <w:spacing w:after="0" w:line="240" w:lineRule="auto"/>
              <w:jc w:val="right"/>
              <w:rPr>
                <w:rFonts w:ascii="Verdana" w:eastAsia="Times New Roman" w:hAnsi="Verdana" w:cs="Arial"/>
                <w:sz w:val="18"/>
                <w:szCs w:val="18"/>
                <w:lang w:eastAsia="en-GB"/>
              </w:rPr>
            </w:pPr>
            <w:r w:rsidRPr="00DB2A38">
              <w:rPr>
                <w:rFonts w:ascii="Verdana" w:hAnsi="Verdana" w:cs="Arial"/>
                <w:sz w:val="18"/>
                <w:szCs w:val="18"/>
              </w:rPr>
              <w:t>5</w:t>
            </w:r>
            <w:r w:rsidR="001D7CD9" w:rsidRPr="00DB2A38">
              <w:rPr>
                <w:rFonts w:ascii="Verdana" w:hAnsi="Verdana" w:cs="Arial"/>
                <w:sz w:val="18"/>
                <w:szCs w:val="18"/>
              </w:rPr>
              <w:t>,</w:t>
            </w:r>
            <w:r w:rsidR="00DB2A38" w:rsidRPr="00DB2A38">
              <w:rPr>
                <w:rFonts w:ascii="Verdana" w:hAnsi="Verdana" w:cs="Arial"/>
                <w:sz w:val="18"/>
                <w:szCs w:val="18"/>
              </w:rPr>
              <w:t>196</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B2A38" w:rsidP="00DE468D">
            <w:pPr>
              <w:spacing w:after="0" w:line="240" w:lineRule="auto"/>
              <w:jc w:val="right"/>
              <w:rPr>
                <w:rFonts w:ascii="Verdana" w:eastAsia="Times New Roman" w:hAnsi="Verdana" w:cs="Arial"/>
                <w:sz w:val="18"/>
                <w:szCs w:val="18"/>
                <w:lang w:eastAsia="en-GB"/>
              </w:rPr>
            </w:pPr>
            <w:r w:rsidRPr="00DB2A38">
              <w:rPr>
                <w:rFonts w:ascii="Verdana" w:hAnsi="Verdana" w:cs="Arial"/>
                <w:sz w:val="18"/>
                <w:szCs w:val="18"/>
              </w:rPr>
              <w:t>21,987</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000000" w:fill="DBE5F1"/>
            <w:noWrap/>
            <w:vAlign w:val="center"/>
            <w:hideMark/>
          </w:tcPr>
          <w:p w:rsidR="001D7CD9" w:rsidRPr="00DB2A38" w:rsidRDefault="001D7CD9" w:rsidP="001D7CD9">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 xml:space="preserve">Current Assets sub total </w:t>
            </w:r>
          </w:p>
        </w:tc>
        <w:tc>
          <w:tcPr>
            <w:tcW w:w="1180" w:type="dxa"/>
            <w:tcBorders>
              <w:top w:val="nil"/>
              <w:left w:val="nil"/>
              <w:bottom w:val="dotted" w:sz="4" w:space="0" w:color="5B9BD5"/>
              <w:right w:val="dotted" w:sz="4" w:space="0" w:color="5B9BD5"/>
            </w:tcBorders>
            <w:shd w:val="clear" w:color="000000" w:fill="DBE5F1"/>
            <w:noWrap/>
            <w:vAlign w:val="center"/>
            <w:hideMark/>
          </w:tcPr>
          <w:p w:rsidR="001D7CD9" w:rsidRPr="00DB2A38" w:rsidRDefault="001D7CD9" w:rsidP="001D7CD9">
            <w:pPr>
              <w:spacing w:after="0" w:line="240" w:lineRule="auto"/>
              <w:jc w:val="right"/>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40,141</w:t>
            </w:r>
          </w:p>
        </w:tc>
        <w:tc>
          <w:tcPr>
            <w:tcW w:w="1180" w:type="dxa"/>
            <w:tcBorders>
              <w:top w:val="nil"/>
              <w:left w:val="nil"/>
              <w:bottom w:val="dotted" w:sz="4" w:space="0" w:color="5B9BD5"/>
              <w:right w:val="dotted" w:sz="4" w:space="0" w:color="5B9BD5"/>
            </w:tcBorders>
            <w:shd w:val="clear" w:color="000000" w:fill="DBE5F1"/>
            <w:noWrap/>
            <w:vAlign w:val="center"/>
            <w:hideMark/>
          </w:tcPr>
          <w:p w:rsidR="001D7CD9" w:rsidRPr="00DB2A38" w:rsidRDefault="00DB2A38" w:rsidP="00DE468D">
            <w:pPr>
              <w:spacing w:after="0" w:line="240" w:lineRule="auto"/>
              <w:jc w:val="right"/>
              <w:rPr>
                <w:rFonts w:ascii="Verdana" w:eastAsia="Times New Roman" w:hAnsi="Verdana" w:cs="Arial"/>
                <w:b/>
                <w:bCs/>
                <w:color w:val="000000"/>
                <w:sz w:val="18"/>
                <w:szCs w:val="18"/>
                <w:lang w:eastAsia="en-GB"/>
              </w:rPr>
            </w:pPr>
            <w:r w:rsidRPr="00DB2A38">
              <w:rPr>
                <w:rFonts w:ascii="Verdana" w:hAnsi="Verdana" w:cs="Arial"/>
                <w:b/>
                <w:bCs/>
                <w:color w:val="000000"/>
                <w:sz w:val="18"/>
                <w:szCs w:val="18"/>
              </w:rPr>
              <w:t>23,686</w:t>
            </w:r>
          </w:p>
        </w:tc>
        <w:tc>
          <w:tcPr>
            <w:tcW w:w="1180" w:type="dxa"/>
            <w:tcBorders>
              <w:top w:val="nil"/>
              <w:left w:val="nil"/>
              <w:bottom w:val="dotted" w:sz="4" w:space="0" w:color="5B9BD5"/>
              <w:right w:val="dotted" w:sz="4" w:space="0" w:color="5B9BD5"/>
            </w:tcBorders>
            <w:shd w:val="clear" w:color="000000" w:fill="DBE5F1"/>
            <w:noWrap/>
            <w:vAlign w:val="center"/>
            <w:hideMark/>
          </w:tcPr>
          <w:p w:rsidR="001D7CD9" w:rsidRPr="00DB2A38" w:rsidRDefault="00DB2A38" w:rsidP="001D7CD9">
            <w:pPr>
              <w:spacing w:after="0" w:line="240" w:lineRule="auto"/>
              <w:jc w:val="right"/>
              <w:rPr>
                <w:rFonts w:ascii="Verdana" w:eastAsia="Times New Roman" w:hAnsi="Verdana" w:cs="Arial"/>
                <w:b/>
                <w:bCs/>
                <w:color w:val="000000"/>
                <w:sz w:val="18"/>
                <w:szCs w:val="18"/>
                <w:lang w:eastAsia="en-GB"/>
              </w:rPr>
            </w:pPr>
            <w:r w:rsidRPr="00DB2A38">
              <w:rPr>
                <w:rFonts w:ascii="Verdana" w:hAnsi="Verdana" w:cs="Arial"/>
                <w:b/>
                <w:bCs/>
                <w:color w:val="000000"/>
                <w:sz w:val="18"/>
                <w:szCs w:val="18"/>
              </w:rPr>
              <w:t>63,827</w:t>
            </w:r>
          </w:p>
        </w:tc>
      </w:tr>
      <w:tr w:rsidR="00465578" w:rsidRPr="00F52B2D"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rsidR="00465578" w:rsidRPr="00DB2A38" w:rsidRDefault="00465578" w:rsidP="00465578">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rsidR="00465578" w:rsidRPr="00DB2A38" w:rsidRDefault="00465578" w:rsidP="00465578">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rsidR="00465578" w:rsidRPr="00DB2A38" w:rsidRDefault="00465578" w:rsidP="00465578">
            <w:pPr>
              <w:spacing w:after="0" w:line="240" w:lineRule="auto"/>
              <w:rPr>
                <w:rFonts w:ascii="Verdana" w:eastAsia="Times New Roman" w:hAnsi="Verdana" w:cs="Arial"/>
                <w:color w:val="000000"/>
                <w:sz w:val="18"/>
                <w:szCs w:val="18"/>
                <w:lang w:eastAsia="en-GB"/>
              </w:rPr>
            </w:pPr>
            <w:r w:rsidRPr="00DB2A38">
              <w:rPr>
                <w:rFonts w:ascii="Verdana" w:hAnsi="Verdana" w:cs="Arial"/>
                <w:color w:val="000000"/>
                <w:sz w:val="18"/>
                <w:szCs w:val="18"/>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465578" w:rsidRPr="00DB2A38" w:rsidRDefault="00465578" w:rsidP="00465578">
            <w:pPr>
              <w:spacing w:after="0" w:line="240" w:lineRule="auto"/>
              <w:rPr>
                <w:rFonts w:ascii="Verdana" w:eastAsia="Times New Roman" w:hAnsi="Verdana" w:cs="Arial"/>
                <w:color w:val="000000"/>
                <w:sz w:val="18"/>
                <w:szCs w:val="18"/>
                <w:lang w:eastAsia="en-GB"/>
              </w:rPr>
            </w:pPr>
            <w:r w:rsidRPr="00DB2A38">
              <w:rPr>
                <w:rFonts w:ascii="Verdana" w:hAnsi="Verdana" w:cs="Arial"/>
                <w:color w:val="000000"/>
                <w:sz w:val="18"/>
                <w:szCs w:val="18"/>
              </w:rPr>
              <w:t> </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000000" w:fill="B8CCE4"/>
            <w:noWrap/>
            <w:vAlign w:val="center"/>
            <w:hideMark/>
          </w:tcPr>
          <w:p w:rsidR="001D7CD9" w:rsidRPr="00DB2A38" w:rsidRDefault="001D7CD9" w:rsidP="001D7CD9">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TOTAL ASSETS</w:t>
            </w:r>
          </w:p>
        </w:tc>
        <w:tc>
          <w:tcPr>
            <w:tcW w:w="1180" w:type="dxa"/>
            <w:tcBorders>
              <w:top w:val="nil"/>
              <w:left w:val="nil"/>
              <w:bottom w:val="dotted" w:sz="4" w:space="0" w:color="5B9BD5"/>
              <w:right w:val="dotted" w:sz="4" w:space="0" w:color="5B9BD5"/>
            </w:tcBorders>
            <w:shd w:val="clear" w:color="000000" w:fill="B8CCE4"/>
            <w:noWrap/>
            <w:vAlign w:val="center"/>
            <w:hideMark/>
          </w:tcPr>
          <w:p w:rsidR="001D7CD9" w:rsidRPr="00DB2A38" w:rsidRDefault="001D7CD9" w:rsidP="001D7CD9">
            <w:pPr>
              <w:spacing w:after="0" w:line="240" w:lineRule="auto"/>
              <w:jc w:val="right"/>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70,401</w:t>
            </w:r>
          </w:p>
        </w:tc>
        <w:tc>
          <w:tcPr>
            <w:tcW w:w="1180" w:type="dxa"/>
            <w:tcBorders>
              <w:top w:val="nil"/>
              <w:left w:val="nil"/>
              <w:bottom w:val="dotted" w:sz="4" w:space="0" w:color="5B9BD5"/>
              <w:right w:val="dotted" w:sz="4" w:space="0" w:color="5B9BD5"/>
            </w:tcBorders>
            <w:shd w:val="clear" w:color="000000" w:fill="B8CCE4"/>
            <w:noWrap/>
            <w:vAlign w:val="center"/>
            <w:hideMark/>
          </w:tcPr>
          <w:p w:rsidR="001D7CD9" w:rsidRPr="00DB2A38" w:rsidRDefault="00DB2A38" w:rsidP="00DB2A38">
            <w:pPr>
              <w:spacing w:after="0" w:line="240" w:lineRule="auto"/>
              <w:jc w:val="right"/>
              <w:rPr>
                <w:rFonts w:ascii="Verdana" w:eastAsia="Times New Roman" w:hAnsi="Verdana" w:cs="Arial"/>
                <w:b/>
                <w:bCs/>
                <w:color w:val="000000"/>
                <w:sz w:val="18"/>
                <w:szCs w:val="18"/>
                <w:lang w:eastAsia="en-GB"/>
              </w:rPr>
            </w:pPr>
            <w:r w:rsidRPr="00DB2A38">
              <w:rPr>
                <w:rFonts w:ascii="Verdana" w:hAnsi="Verdana" w:cs="Arial"/>
                <w:b/>
                <w:bCs/>
                <w:color w:val="000000"/>
                <w:sz w:val="18"/>
                <w:szCs w:val="18"/>
              </w:rPr>
              <w:t>25,219</w:t>
            </w:r>
          </w:p>
        </w:tc>
        <w:tc>
          <w:tcPr>
            <w:tcW w:w="1180" w:type="dxa"/>
            <w:tcBorders>
              <w:top w:val="nil"/>
              <w:left w:val="nil"/>
              <w:bottom w:val="dotted" w:sz="4" w:space="0" w:color="5B9BD5"/>
              <w:right w:val="dotted" w:sz="4" w:space="0" w:color="5B9BD5"/>
            </w:tcBorders>
            <w:shd w:val="clear" w:color="000000" w:fill="B8CCE4"/>
            <w:noWrap/>
            <w:vAlign w:val="center"/>
            <w:hideMark/>
          </w:tcPr>
          <w:p w:rsidR="001D7CD9" w:rsidRPr="00DB2A38" w:rsidRDefault="00DB2A38" w:rsidP="00DE468D">
            <w:pPr>
              <w:spacing w:after="0" w:line="240" w:lineRule="auto"/>
              <w:jc w:val="right"/>
              <w:rPr>
                <w:rFonts w:ascii="Verdana" w:eastAsia="Times New Roman" w:hAnsi="Verdana" w:cs="Arial"/>
                <w:b/>
                <w:bCs/>
                <w:color w:val="000000"/>
                <w:sz w:val="18"/>
                <w:szCs w:val="18"/>
                <w:lang w:eastAsia="en-GB"/>
              </w:rPr>
            </w:pPr>
            <w:r w:rsidRPr="00DB2A38">
              <w:rPr>
                <w:rFonts w:ascii="Verdana" w:hAnsi="Verdana" w:cs="Arial"/>
                <w:b/>
                <w:bCs/>
                <w:color w:val="000000"/>
                <w:sz w:val="18"/>
                <w:szCs w:val="18"/>
              </w:rPr>
              <w:t>95,620</w:t>
            </w:r>
          </w:p>
        </w:tc>
      </w:tr>
      <w:tr w:rsidR="009336E2" w:rsidRPr="00F52B2D"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r>
      <w:tr w:rsidR="009336E2"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Current Liabilities</w:t>
            </w: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Trade and other payables</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FF0000"/>
                <w:sz w:val="18"/>
                <w:szCs w:val="18"/>
                <w:lang w:eastAsia="en-GB"/>
              </w:rPr>
            </w:pPr>
            <w:r w:rsidRPr="00DB2A38">
              <w:rPr>
                <w:rFonts w:ascii="Verdana" w:eastAsia="Times New Roman" w:hAnsi="Verdana" w:cs="Arial"/>
                <w:color w:val="FF0000"/>
                <w:sz w:val="18"/>
                <w:szCs w:val="18"/>
                <w:lang w:eastAsia="en-GB"/>
              </w:rPr>
              <w:t>(30,548)</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E468D" w:rsidP="00DE468D">
            <w:pPr>
              <w:spacing w:after="0" w:line="240" w:lineRule="auto"/>
              <w:jc w:val="right"/>
              <w:rPr>
                <w:rFonts w:ascii="Verdana" w:eastAsia="Times New Roman" w:hAnsi="Verdana" w:cs="Arial"/>
                <w:color w:val="FF0000"/>
                <w:sz w:val="18"/>
                <w:szCs w:val="18"/>
                <w:lang w:eastAsia="en-GB"/>
              </w:rPr>
            </w:pPr>
            <w:r w:rsidRPr="00DB2A38">
              <w:rPr>
                <w:rFonts w:ascii="Verdana" w:hAnsi="Verdana" w:cs="Arial"/>
                <w:color w:val="FF0000"/>
                <w:sz w:val="18"/>
                <w:szCs w:val="18"/>
              </w:rPr>
              <w:t>(24</w:t>
            </w:r>
            <w:r w:rsidR="001D7CD9" w:rsidRPr="00DB2A38">
              <w:rPr>
                <w:rFonts w:ascii="Verdana" w:hAnsi="Verdana" w:cs="Arial"/>
                <w:color w:val="FF0000"/>
                <w:sz w:val="18"/>
                <w:szCs w:val="18"/>
              </w:rPr>
              <w:t>,</w:t>
            </w:r>
            <w:r w:rsidR="00DB2A38" w:rsidRPr="00DB2A38">
              <w:rPr>
                <w:rFonts w:ascii="Verdana" w:hAnsi="Verdana" w:cs="Arial"/>
                <w:color w:val="FF0000"/>
                <w:sz w:val="18"/>
                <w:szCs w:val="18"/>
              </w:rPr>
              <w:t>504</w:t>
            </w:r>
            <w:r w:rsidR="001D7CD9" w:rsidRPr="00DB2A38">
              <w:rPr>
                <w:rFonts w:ascii="Verdana" w:hAnsi="Verdana" w:cs="Arial"/>
                <w:color w:val="FF0000"/>
                <w:sz w:val="18"/>
                <w:szCs w:val="18"/>
              </w:rPr>
              <w:t>)</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DE468D">
            <w:pPr>
              <w:spacing w:after="0" w:line="240" w:lineRule="auto"/>
              <w:jc w:val="right"/>
              <w:rPr>
                <w:rFonts w:ascii="Verdana" w:eastAsia="Times New Roman" w:hAnsi="Verdana" w:cs="Arial"/>
                <w:color w:val="FF0000"/>
                <w:sz w:val="18"/>
                <w:szCs w:val="18"/>
                <w:lang w:eastAsia="en-GB"/>
              </w:rPr>
            </w:pPr>
            <w:r w:rsidRPr="00DB2A38">
              <w:rPr>
                <w:rFonts w:ascii="Verdana" w:hAnsi="Verdana" w:cs="Arial"/>
                <w:color w:val="FF0000"/>
                <w:sz w:val="18"/>
                <w:szCs w:val="18"/>
              </w:rPr>
              <w:t>(</w:t>
            </w:r>
            <w:r w:rsidR="00DE468D" w:rsidRPr="00DB2A38">
              <w:rPr>
                <w:rFonts w:ascii="Verdana" w:hAnsi="Verdana" w:cs="Arial"/>
                <w:color w:val="FF0000"/>
                <w:sz w:val="18"/>
                <w:szCs w:val="18"/>
              </w:rPr>
              <w:t>55</w:t>
            </w:r>
            <w:r w:rsidRPr="00DB2A38">
              <w:rPr>
                <w:rFonts w:ascii="Verdana" w:hAnsi="Verdana" w:cs="Arial"/>
                <w:color w:val="FF0000"/>
                <w:sz w:val="18"/>
                <w:szCs w:val="18"/>
              </w:rPr>
              <w:t>,</w:t>
            </w:r>
            <w:r w:rsidR="00DB2A38" w:rsidRPr="00DB2A38">
              <w:rPr>
                <w:rFonts w:ascii="Verdana" w:hAnsi="Verdana" w:cs="Arial"/>
                <w:color w:val="FF0000"/>
                <w:sz w:val="18"/>
                <w:szCs w:val="18"/>
              </w:rPr>
              <w:t>052</w:t>
            </w:r>
            <w:r w:rsidRPr="00DB2A38">
              <w:rPr>
                <w:rFonts w:ascii="Verdana" w:hAnsi="Verdana" w:cs="Arial"/>
                <w:color w:val="FF0000"/>
                <w:sz w:val="18"/>
                <w:szCs w:val="18"/>
              </w:rPr>
              <w:t>)</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Provisions</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FF0000"/>
                <w:sz w:val="18"/>
                <w:szCs w:val="18"/>
                <w:lang w:eastAsia="en-GB"/>
              </w:rPr>
            </w:pPr>
            <w:r w:rsidRPr="00DB2A38">
              <w:rPr>
                <w:rFonts w:ascii="Verdana" w:eastAsia="Times New Roman" w:hAnsi="Verdana" w:cs="Arial"/>
                <w:color w:val="FF0000"/>
                <w:sz w:val="18"/>
                <w:szCs w:val="18"/>
                <w:lang w:eastAsia="en-GB"/>
              </w:rPr>
              <w:t>(4,498)</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B2A38" w:rsidP="001D7CD9">
            <w:pPr>
              <w:spacing w:after="0" w:line="240" w:lineRule="auto"/>
              <w:jc w:val="right"/>
              <w:rPr>
                <w:rFonts w:ascii="Verdana" w:eastAsia="Times New Roman" w:hAnsi="Verdana" w:cs="Arial"/>
                <w:sz w:val="18"/>
                <w:szCs w:val="18"/>
                <w:lang w:eastAsia="en-GB"/>
              </w:rPr>
            </w:pPr>
            <w:r w:rsidRPr="00DB2A38">
              <w:rPr>
                <w:rFonts w:ascii="Verdana" w:hAnsi="Verdana" w:cs="Arial"/>
                <w:sz w:val="18"/>
                <w:szCs w:val="18"/>
              </w:rPr>
              <w:t>2,393</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B2A38" w:rsidP="00DE468D">
            <w:pPr>
              <w:spacing w:after="0" w:line="240" w:lineRule="auto"/>
              <w:jc w:val="right"/>
              <w:rPr>
                <w:rFonts w:ascii="Verdana" w:eastAsia="Times New Roman" w:hAnsi="Verdana" w:cs="Arial"/>
                <w:color w:val="FF0000"/>
                <w:sz w:val="18"/>
                <w:szCs w:val="18"/>
                <w:lang w:eastAsia="en-GB"/>
              </w:rPr>
            </w:pPr>
            <w:r w:rsidRPr="00DB2A38">
              <w:rPr>
                <w:rFonts w:ascii="Verdana" w:hAnsi="Verdana" w:cs="Arial"/>
                <w:color w:val="FF0000"/>
                <w:sz w:val="18"/>
                <w:szCs w:val="18"/>
              </w:rPr>
              <w:t>(2,105</w:t>
            </w:r>
            <w:r w:rsidR="001D7CD9" w:rsidRPr="00DB2A38">
              <w:rPr>
                <w:rFonts w:ascii="Verdana" w:hAnsi="Verdana" w:cs="Arial"/>
                <w:color w:val="FF0000"/>
                <w:sz w:val="18"/>
                <w:szCs w:val="18"/>
              </w:rPr>
              <w:t>)</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000000" w:fill="DBE5F1"/>
            <w:noWrap/>
            <w:vAlign w:val="center"/>
            <w:hideMark/>
          </w:tcPr>
          <w:p w:rsidR="001D7CD9" w:rsidRPr="00DB2A38" w:rsidRDefault="001D7CD9" w:rsidP="001D7CD9">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 xml:space="preserve">Current Liabilities sub total </w:t>
            </w:r>
          </w:p>
        </w:tc>
        <w:tc>
          <w:tcPr>
            <w:tcW w:w="1180" w:type="dxa"/>
            <w:tcBorders>
              <w:top w:val="nil"/>
              <w:left w:val="nil"/>
              <w:bottom w:val="dotted" w:sz="4" w:space="0" w:color="5B9BD5"/>
              <w:right w:val="dotted" w:sz="4" w:space="0" w:color="5B9BD5"/>
            </w:tcBorders>
            <w:shd w:val="clear" w:color="000000" w:fill="DBE5F1"/>
            <w:noWrap/>
            <w:vAlign w:val="center"/>
            <w:hideMark/>
          </w:tcPr>
          <w:p w:rsidR="001D7CD9" w:rsidRPr="00DB2A38" w:rsidRDefault="001D7CD9" w:rsidP="001D7CD9">
            <w:pPr>
              <w:spacing w:after="0" w:line="240" w:lineRule="auto"/>
              <w:jc w:val="right"/>
              <w:rPr>
                <w:rFonts w:ascii="Verdana" w:eastAsia="Times New Roman" w:hAnsi="Verdana" w:cs="Arial"/>
                <w:b/>
                <w:bCs/>
                <w:color w:val="FF0000"/>
                <w:sz w:val="18"/>
                <w:szCs w:val="18"/>
                <w:lang w:eastAsia="en-GB"/>
              </w:rPr>
            </w:pPr>
            <w:r w:rsidRPr="00DB2A38">
              <w:rPr>
                <w:rFonts w:ascii="Verdana" w:eastAsia="Times New Roman" w:hAnsi="Verdana" w:cs="Arial"/>
                <w:b/>
                <w:bCs/>
                <w:color w:val="FF0000"/>
                <w:sz w:val="18"/>
                <w:szCs w:val="18"/>
                <w:lang w:eastAsia="en-GB"/>
              </w:rPr>
              <w:t>(35,046)</w:t>
            </w:r>
          </w:p>
        </w:tc>
        <w:tc>
          <w:tcPr>
            <w:tcW w:w="1180" w:type="dxa"/>
            <w:tcBorders>
              <w:top w:val="nil"/>
              <w:left w:val="nil"/>
              <w:bottom w:val="dotted" w:sz="4" w:space="0" w:color="5B9BD5"/>
              <w:right w:val="dotted" w:sz="4" w:space="0" w:color="5B9BD5"/>
            </w:tcBorders>
            <w:shd w:val="clear" w:color="000000" w:fill="DBE5F1"/>
            <w:noWrap/>
            <w:vAlign w:val="center"/>
            <w:hideMark/>
          </w:tcPr>
          <w:p w:rsidR="001D7CD9" w:rsidRPr="00DB2A38" w:rsidRDefault="00DB2A38" w:rsidP="00DE468D">
            <w:pPr>
              <w:spacing w:after="0" w:line="240" w:lineRule="auto"/>
              <w:jc w:val="right"/>
              <w:rPr>
                <w:rFonts w:ascii="Verdana" w:eastAsia="Times New Roman" w:hAnsi="Verdana" w:cs="Arial"/>
                <w:b/>
                <w:bCs/>
                <w:color w:val="FF0000"/>
                <w:sz w:val="18"/>
                <w:szCs w:val="18"/>
                <w:lang w:eastAsia="en-GB"/>
              </w:rPr>
            </w:pPr>
            <w:r w:rsidRPr="00DB2A38">
              <w:rPr>
                <w:rFonts w:ascii="Verdana" w:hAnsi="Verdana" w:cs="Arial"/>
                <w:b/>
                <w:bCs/>
                <w:color w:val="FF0000"/>
                <w:sz w:val="18"/>
                <w:szCs w:val="18"/>
              </w:rPr>
              <w:t>(22,110</w:t>
            </w:r>
            <w:r w:rsidR="001D7CD9" w:rsidRPr="00DB2A38">
              <w:rPr>
                <w:rFonts w:ascii="Verdana" w:hAnsi="Verdana" w:cs="Arial"/>
                <w:b/>
                <w:bCs/>
                <w:color w:val="FF0000"/>
                <w:sz w:val="18"/>
                <w:szCs w:val="18"/>
              </w:rPr>
              <w:t>)</w:t>
            </w:r>
          </w:p>
        </w:tc>
        <w:tc>
          <w:tcPr>
            <w:tcW w:w="1180" w:type="dxa"/>
            <w:tcBorders>
              <w:top w:val="nil"/>
              <w:left w:val="nil"/>
              <w:bottom w:val="dotted" w:sz="4" w:space="0" w:color="5B9BD5"/>
              <w:right w:val="dotted" w:sz="4" w:space="0" w:color="5B9BD5"/>
            </w:tcBorders>
            <w:shd w:val="clear" w:color="000000" w:fill="DBE5F1"/>
            <w:noWrap/>
            <w:vAlign w:val="center"/>
            <w:hideMark/>
          </w:tcPr>
          <w:p w:rsidR="001D7CD9" w:rsidRPr="00DB2A38" w:rsidRDefault="001D7CD9" w:rsidP="00DE468D">
            <w:pPr>
              <w:spacing w:after="0" w:line="240" w:lineRule="auto"/>
              <w:jc w:val="right"/>
              <w:rPr>
                <w:rFonts w:ascii="Verdana" w:eastAsia="Times New Roman" w:hAnsi="Verdana" w:cs="Arial"/>
                <w:b/>
                <w:bCs/>
                <w:color w:val="FF0000"/>
                <w:sz w:val="18"/>
                <w:szCs w:val="18"/>
                <w:lang w:eastAsia="en-GB"/>
              </w:rPr>
            </w:pPr>
            <w:r w:rsidRPr="00DB2A38">
              <w:rPr>
                <w:rFonts w:ascii="Verdana" w:hAnsi="Verdana" w:cs="Arial"/>
                <w:b/>
                <w:bCs/>
                <w:color w:val="FF0000"/>
                <w:sz w:val="18"/>
                <w:szCs w:val="18"/>
              </w:rPr>
              <w:t>(</w:t>
            </w:r>
            <w:r w:rsidR="00DB2A38" w:rsidRPr="00DB2A38">
              <w:rPr>
                <w:rFonts w:ascii="Verdana" w:hAnsi="Verdana" w:cs="Arial"/>
                <w:b/>
                <w:bCs/>
                <w:color w:val="FF0000"/>
                <w:sz w:val="18"/>
                <w:szCs w:val="18"/>
              </w:rPr>
              <w:t>57,156</w:t>
            </w:r>
            <w:r w:rsidRPr="00DB2A38">
              <w:rPr>
                <w:rFonts w:ascii="Verdana" w:hAnsi="Verdana" w:cs="Arial"/>
                <w:b/>
                <w:bCs/>
                <w:color w:val="FF0000"/>
                <w:sz w:val="18"/>
                <w:szCs w:val="18"/>
              </w:rPr>
              <w:t>)</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000000" w:fill="B8CCE4"/>
            <w:noWrap/>
            <w:vAlign w:val="center"/>
            <w:hideMark/>
          </w:tcPr>
          <w:p w:rsidR="001D7CD9" w:rsidRPr="00DB2A38" w:rsidRDefault="001D7CD9" w:rsidP="001D7CD9">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NET ASSETS LESS CURRENT LIABILITIES</w:t>
            </w:r>
          </w:p>
        </w:tc>
        <w:tc>
          <w:tcPr>
            <w:tcW w:w="1180" w:type="dxa"/>
            <w:tcBorders>
              <w:top w:val="nil"/>
              <w:left w:val="nil"/>
              <w:bottom w:val="dotted" w:sz="4" w:space="0" w:color="5B9BD5"/>
              <w:right w:val="dotted" w:sz="4" w:space="0" w:color="5B9BD5"/>
            </w:tcBorders>
            <w:shd w:val="clear" w:color="000000" w:fill="B8CCE4"/>
            <w:noWrap/>
            <w:vAlign w:val="center"/>
            <w:hideMark/>
          </w:tcPr>
          <w:p w:rsidR="001D7CD9" w:rsidRPr="00DB2A38" w:rsidRDefault="001D7CD9" w:rsidP="001D7CD9">
            <w:pPr>
              <w:spacing w:after="0" w:line="240" w:lineRule="auto"/>
              <w:jc w:val="right"/>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35,355</w:t>
            </w:r>
          </w:p>
        </w:tc>
        <w:tc>
          <w:tcPr>
            <w:tcW w:w="1180" w:type="dxa"/>
            <w:tcBorders>
              <w:top w:val="nil"/>
              <w:left w:val="nil"/>
              <w:bottom w:val="dotted" w:sz="4" w:space="0" w:color="5B9BD5"/>
              <w:right w:val="dotted" w:sz="4" w:space="0" w:color="5B9BD5"/>
            </w:tcBorders>
            <w:shd w:val="clear" w:color="000000" w:fill="B8CCE4"/>
            <w:noWrap/>
            <w:vAlign w:val="center"/>
            <w:hideMark/>
          </w:tcPr>
          <w:p w:rsidR="001D7CD9" w:rsidRPr="00DB2A38" w:rsidRDefault="00DB2A38" w:rsidP="001D7CD9">
            <w:pPr>
              <w:spacing w:after="0" w:line="240" w:lineRule="auto"/>
              <w:jc w:val="right"/>
              <w:rPr>
                <w:rFonts w:ascii="Verdana" w:eastAsia="Times New Roman" w:hAnsi="Verdana" w:cs="Arial"/>
                <w:b/>
                <w:bCs/>
                <w:color w:val="000000"/>
                <w:sz w:val="18"/>
                <w:szCs w:val="18"/>
                <w:lang w:eastAsia="en-GB"/>
              </w:rPr>
            </w:pPr>
            <w:r w:rsidRPr="00DB2A38">
              <w:rPr>
                <w:rFonts w:ascii="Verdana" w:hAnsi="Verdana" w:cs="Arial"/>
                <w:b/>
                <w:bCs/>
                <w:color w:val="000000"/>
                <w:sz w:val="18"/>
                <w:szCs w:val="18"/>
              </w:rPr>
              <w:t>3,109</w:t>
            </w:r>
          </w:p>
        </w:tc>
        <w:tc>
          <w:tcPr>
            <w:tcW w:w="1180" w:type="dxa"/>
            <w:tcBorders>
              <w:top w:val="nil"/>
              <w:left w:val="nil"/>
              <w:bottom w:val="dotted" w:sz="4" w:space="0" w:color="5B9BD5"/>
              <w:right w:val="dotted" w:sz="4" w:space="0" w:color="5B9BD5"/>
            </w:tcBorders>
            <w:shd w:val="clear" w:color="000000" w:fill="B8CCE4"/>
            <w:noWrap/>
            <w:vAlign w:val="center"/>
            <w:hideMark/>
          </w:tcPr>
          <w:p w:rsidR="001D7CD9" w:rsidRPr="00DB2A38" w:rsidRDefault="00DB2A38" w:rsidP="001D7CD9">
            <w:pPr>
              <w:spacing w:after="0" w:line="240" w:lineRule="auto"/>
              <w:jc w:val="right"/>
              <w:rPr>
                <w:rFonts w:ascii="Verdana" w:eastAsia="Times New Roman" w:hAnsi="Verdana" w:cs="Arial"/>
                <w:b/>
                <w:bCs/>
                <w:color w:val="000000"/>
                <w:sz w:val="18"/>
                <w:szCs w:val="18"/>
                <w:lang w:eastAsia="en-GB"/>
              </w:rPr>
            </w:pPr>
            <w:r w:rsidRPr="00DB2A38">
              <w:rPr>
                <w:rFonts w:ascii="Verdana" w:hAnsi="Verdana" w:cs="Arial"/>
                <w:b/>
                <w:bCs/>
                <w:color w:val="000000"/>
                <w:sz w:val="18"/>
                <w:szCs w:val="18"/>
              </w:rPr>
              <w:t>38,464</w:t>
            </w:r>
          </w:p>
        </w:tc>
      </w:tr>
      <w:tr w:rsidR="00465578" w:rsidRPr="00F52B2D"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rsidR="00465578" w:rsidRPr="00DB2A38" w:rsidRDefault="00465578" w:rsidP="00465578">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rsidR="00465578" w:rsidRPr="00DB2A38" w:rsidRDefault="00465578" w:rsidP="00465578">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rsidR="00465578" w:rsidRPr="00DB2A38" w:rsidRDefault="00465578" w:rsidP="00465578">
            <w:pPr>
              <w:spacing w:after="0" w:line="240" w:lineRule="auto"/>
              <w:rPr>
                <w:rFonts w:ascii="Verdana" w:eastAsia="Times New Roman" w:hAnsi="Verdana" w:cs="Arial"/>
                <w:color w:val="000000"/>
                <w:sz w:val="18"/>
                <w:szCs w:val="18"/>
                <w:lang w:eastAsia="en-GB"/>
              </w:rPr>
            </w:pPr>
            <w:r w:rsidRPr="00DB2A38">
              <w:rPr>
                <w:rFonts w:ascii="Verdana" w:hAnsi="Verdana" w:cs="Arial"/>
                <w:color w:val="000000"/>
                <w:sz w:val="18"/>
                <w:szCs w:val="18"/>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465578" w:rsidRPr="00DB2A38" w:rsidRDefault="00465578" w:rsidP="00465578">
            <w:pPr>
              <w:spacing w:after="0" w:line="240" w:lineRule="auto"/>
              <w:rPr>
                <w:rFonts w:ascii="Verdana" w:eastAsia="Times New Roman" w:hAnsi="Verdana" w:cs="Arial"/>
                <w:color w:val="000000"/>
                <w:sz w:val="18"/>
                <w:szCs w:val="18"/>
                <w:lang w:eastAsia="en-GB"/>
              </w:rPr>
            </w:pPr>
            <w:r w:rsidRPr="00DB2A38">
              <w:rPr>
                <w:rFonts w:ascii="Verdana" w:hAnsi="Verdana" w:cs="Arial"/>
                <w:color w:val="000000"/>
                <w:sz w:val="18"/>
                <w:szCs w:val="18"/>
              </w:rPr>
              <w:t> </w:t>
            </w:r>
          </w:p>
        </w:tc>
      </w:tr>
      <w:tr w:rsidR="00465578"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465578" w:rsidRPr="00DB2A38" w:rsidRDefault="00465578" w:rsidP="00465578">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Non-Current Liabilities</w:t>
            </w:r>
          </w:p>
        </w:tc>
        <w:tc>
          <w:tcPr>
            <w:tcW w:w="1180" w:type="dxa"/>
            <w:tcBorders>
              <w:top w:val="nil"/>
              <w:left w:val="nil"/>
              <w:bottom w:val="dotted" w:sz="4" w:space="0" w:color="5B9BD5"/>
              <w:right w:val="dotted" w:sz="4" w:space="0" w:color="5B9BD5"/>
            </w:tcBorders>
            <w:shd w:val="clear" w:color="auto" w:fill="auto"/>
            <w:noWrap/>
            <w:vAlign w:val="center"/>
            <w:hideMark/>
          </w:tcPr>
          <w:p w:rsidR="00465578" w:rsidRPr="00DB2A38" w:rsidRDefault="00465578" w:rsidP="00465578">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465578" w:rsidRPr="00DB2A38" w:rsidRDefault="00465578" w:rsidP="00465578">
            <w:pPr>
              <w:spacing w:after="0" w:line="240" w:lineRule="auto"/>
              <w:rPr>
                <w:rFonts w:ascii="Verdana" w:eastAsia="Times New Roman" w:hAnsi="Verdana" w:cs="Arial"/>
                <w:color w:val="000000"/>
                <w:sz w:val="18"/>
                <w:szCs w:val="18"/>
                <w:lang w:eastAsia="en-GB"/>
              </w:rPr>
            </w:pPr>
            <w:r w:rsidRPr="00DB2A38">
              <w:rPr>
                <w:rFonts w:ascii="Verdana" w:hAnsi="Verdana" w:cs="Arial"/>
                <w:color w:val="000000"/>
                <w:sz w:val="18"/>
                <w:szCs w:val="18"/>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465578" w:rsidRPr="00DB2A38" w:rsidRDefault="00465578" w:rsidP="00465578">
            <w:pPr>
              <w:spacing w:after="0" w:line="240" w:lineRule="auto"/>
              <w:rPr>
                <w:rFonts w:ascii="Verdana" w:eastAsia="Times New Roman" w:hAnsi="Verdana" w:cs="Arial"/>
                <w:color w:val="000000"/>
                <w:sz w:val="18"/>
                <w:szCs w:val="18"/>
                <w:lang w:eastAsia="en-GB"/>
              </w:rPr>
            </w:pPr>
            <w:r w:rsidRPr="00DB2A38">
              <w:rPr>
                <w:rFonts w:ascii="Verdana" w:hAnsi="Verdana" w:cs="Arial"/>
                <w:color w:val="000000"/>
                <w:sz w:val="18"/>
                <w:szCs w:val="18"/>
              </w:rPr>
              <w:t> </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Trade and other payables</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FF0000"/>
                <w:sz w:val="18"/>
                <w:szCs w:val="18"/>
                <w:lang w:eastAsia="en-GB"/>
              </w:rPr>
            </w:pPr>
            <w:r w:rsidRPr="00DB2A38">
              <w:rPr>
                <w:rFonts w:ascii="Verdana" w:eastAsia="Times New Roman" w:hAnsi="Verdana" w:cs="Arial"/>
                <w:color w:val="FF0000"/>
                <w:sz w:val="18"/>
                <w:szCs w:val="18"/>
                <w:lang w:eastAsia="en-GB"/>
              </w:rPr>
              <w:t>(1,437)</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FF0000"/>
                <w:sz w:val="18"/>
                <w:szCs w:val="18"/>
                <w:lang w:eastAsia="en-GB"/>
              </w:rPr>
            </w:pPr>
            <w:r w:rsidRPr="00DB2A38">
              <w:rPr>
                <w:rFonts w:ascii="Verdana" w:hAnsi="Verdana" w:cs="Arial"/>
                <w:color w:val="FF0000"/>
                <w:sz w:val="18"/>
                <w:szCs w:val="18"/>
              </w:rPr>
              <w:t>(259)</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FF0000"/>
                <w:sz w:val="18"/>
                <w:szCs w:val="18"/>
                <w:lang w:eastAsia="en-GB"/>
              </w:rPr>
            </w:pPr>
            <w:r w:rsidRPr="00DB2A38">
              <w:rPr>
                <w:rFonts w:ascii="Verdana" w:hAnsi="Verdana" w:cs="Arial"/>
                <w:color w:val="FF0000"/>
                <w:sz w:val="18"/>
                <w:szCs w:val="18"/>
              </w:rPr>
              <w:t>(1,696)</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Provisions</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FF0000"/>
                <w:sz w:val="18"/>
                <w:szCs w:val="18"/>
                <w:lang w:eastAsia="en-GB"/>
              </w:rPr>
            </w:pPr>
            <w:r w:rsidRPr="00DB2A38">
              <w:rPr>
                <w:rFonts w:ascii="Verdana" w:eastAsia="Times New Roman" w:hAnsi="Verdana" w:cs="Arial"/>
                <w:color w:val="FF0000"/>
                <w:sz w:val="18"/>
                <w:szCs w:val="18"/>
                <w:lang w:eastAsia="en-GB"/>
              </w:rPr>
              <w:t>(2,316)</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B2A38" w:rsidP="001D7CD9">
            <w:pPr>
              <w:spacing w:after="0" w:line="240" w:lineRule="auto"/>
              <w:jc w:val="right"/>
              <w:rPr>
                <w:rFonts w:ascii="Verdana" w:eastAsia="Times New Roman" w:hAnsi="Verdana" w:cs="Arial"/>
                <w:sz w:val="18"/>
                <w:szCs w:val="18"/>
                <w:lang w:eastAsia="en-GB"/>
              </w:rPr>
            </w:pPr>
            <w:r w:rsidRPr="00DB2A38">
              <w:rPr>
                <w:rFonts w:ascii="Verdana" w:hAnsi="Verdana" w:cs="Arial"/>
                <w:color w:val="FF0000"/>
                <w:sz w:val="18"/>
                <w:szCs w:val="18"/>
              </w:rPr>
              <w:t>(2,807</w:t>
            </w:r>
            <w:r w:rsidR="001D7CD9" w:rsidRPr="00DB2A38">
              <w:rPr>
                <w:rFonts w:ascii="Verdana" w:hAnsi="Verdana" w:cs="Arial"/>
                <w:color w:val="FF0000"/>
                <w:sz w:val="18"/>
                <w:szCs w:val="18"/>
              </w:rPr>
              <w:t>)</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DB2A38" w:rsidP="001D7CD9">
            <w:pPr>
              <w:spacing w:after="0" w:line="240" w:lineRule="auto"/>
              <w:jc w:val="right"/>
              <w:rPr>
                <w:rFonts w:ascii="Verdana" w:eastAsia="Times New Roman" w:hAnsi="Verdana" w:cs="Arial"/>
                <w:color w:val="FF0000"/>
                <w:sz w:val="18"/>
                <w:szCs w:val="18"/>
                <w:lang w:eastAsia="en-GB"/>
              </w:rPr>
            </w:pPr>
            <w:r w:rsidRPr="00DB2A38">
              <w:rPr>
                <w:rFonts w:ascii="Verdana" w:hAnsi="Verdana" w:cs="Arial"/>
                <w:color w:val="FF0000"/>
                <w:sz w:val="18"/>
                <w:szCs w:val="18"/>
              </w:rPr>
              <w:t>(5,123</w:t>
            </w:r>
            <w:r w:rsidR="001D7CD9" w:rsidRPr="00DB2A38">
              <w:rPr>
                <w:rFonts w:ascii="Verdana" w:hAnsi="Verdana" w:cs="Arial"/>
                <w:color w:val="FF0000"/>
                <w:sz w:val="18"/>
                <w:szCs w:val="18"/>
              </w:rPr>
              <w:t>)</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000000" w:fill="DBE5F1"/>
            <w:noWrap/>
            <w:vAlign w:val="center"/>
            <w:hideMark/>
          </w:tcPr>
          <w:p w:rsidR="001D7CD9" w:rsidRPr="00DB2A38" w:rsidRDefault="001D7CD9" w:rsidP="001D7CD9">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 xml:space="preserve">Non-Current Liabilities sub total </w:t>
            </w:r>
          </w:p>
        </w:tc>
        <w:tc>
          <w:tcPr>
            <w:tcW w:w="1180" w:type="dxa"/>
            <w:tcBorders>
              <w:top w:val="nil"/>
              <w:left w:val="nil"/>
              <w:bottom w:val="dotted" w:sz="4" w:space="0" w:color="5B9BD5"/>
              <w:right w:val="dotted" w:sz="4" w:space="0" w:color="5B9BD5"/>
            </w:tcBorders>
            <w:shd w:val="clear" w:color="000000" w:fill="DBE5F1"/>
            <w:noWrap/>
            <w:vAlign w:val="center"/>
            <w:hideMark/>
          </w:tcPr>
          <w:p w:rsidR="001D7CD9" w:rsidRPr="00DB2A38" w:rsidRDefault="001D7CD9" w:rsidP="001D7CD9">
            <w:pPr>
              <w:spacing w:after="0" w:line="240" w:lineRule="auto"/>
              <w:jc w:val="right"/>
              <w:rPr>
                <w:rFonts w:ascii="Verdana" w:eastAsia="Times New Roman" w:hAnsi="Verdana" w:cs="Arial"/>
                <w:b/>
                <w:bCs/>
                <w:color w:val="FF0000"/>
                <w:sz w:val="18"/>
                <w:szCs w:val="18"/>
                <w:lang w:eastAsia="en-GB"/>
              </w:rPr>
            </w:pPr>
            <w:r w:rsidRPr="00DB2A38">
              <w:rPr>
                <w:rFonts w:ascii="Verdana" w:eastAsia="Times New Roman" w:hAnsi="Verdana" w:cs="Arial"/>
                <w:b/>
                <w:bCs/>
                <w:color w:val="FF0000"/>
                <w:sz w:val="18"/>
                <w:szCs w:val="18"/>
                <w:lang w:eastAsia="en-GB"/>
              </w:rPr>
              <w:t>(3,753)</w:t>
            </w:r>
          </w:p>
        </w:tc>
        <w:tc>
          <w:tcPr>
            <w:tcW w:w="1180" w:type="dxa"/>
            <w:tcBorders>
              <w:top w:val="nil"/>
              <w:left w:val="nil"/>
              <w:bottom w:val="dotted" w:sz="4" w:space="0" w:color="5B9BD5"/>
              <w:right w:val="dotted" w:sz="4" w:space="0" w:color="5B9BD5"/>
            </w:tcBorders>
            <w:shd w:val="clear" w:color="000000" w:fill="DBE5F1"/>
            <w:noWrap/>
            <w:vAlign w:val="center"/>
            <w:hideMark/>
          </w:tcPr>
          <w:p w:rsidR="001D7CD9" w:rsidRPr="00DB2A38" w:rsidRDefault="00DB2A38" w:rsidP="001D7CD9">
            <w:pPr>
              <w:spacing w:after="0" w:line="240" w:lineRule="auto"/>
              <w:jc w:val="right"/>
              <w:rPr>
                <w:rFonts w:ascii="Verdana" w:eastAsia="Times New Roman" w:hAnsi="Verdana" w:cs="Arial"/>
                <w:b/>
                <w:bCs/>
                <w:sz w:val="18"/>
                <w:szCs w:val="18"/>
                <w:lang w:eastAsia="en-GB"/>
              </w:rPr>
            </w:pPr>
            <w:r w:rsidRPr="00DB2A38">
              <w:rPr>
                <w:rFonts w:ascii="Verdana" w:hAnsi="Verdana" w:cs="Arial"/>
                <w:b/>
                <w:bCs/>
                <w:color w:val="FF0000"/>
                <w:sz w:val="18"/>
                <w:szCs w:val="18"/>
              </w:rPr>
              <w:t>(3,067</w:t>
            </w:r>
            <w:r w:rsidR="001D7CD9" w:rsidRPr="00DB2A38">
              <w:rPr>
                <w:rFonts w:ascii="Verdana" w:hAnsi="Verdana" w:cs="Arial"/>
                <w:b/>
                <w:bCs/>
                <w:color w:val="FF0000"/>
                <w:sz w:val="18"/>
                <w:szCs w:val="18"/>
              </w:rPr>
              <w:t>)</w:t>
            </w:r>
          </w:p>
        </w:tc>
        <w:tc>
          <w:tcPr>
            <w:tcW w:w="1180" w:type="dxa"/>
            <w:tcBorders>
              <w:top w:val="nil"/>
              <w:left w:val="nil"/>
              <w:bottom w:val="dotted" w:sz="4" w:space="0" w:color="5B9BD5"/>
              <w:right w:val="dotted" w:sz="4" w:space="0" w:color="5B9BD5"/>
            </w:tcBorders>
            <w:shd w:val="clear" w:color="000000" w:fill="DBE5F1"/>
            <w:noWrap/>
            <w:vAlign w:val="center"/>
            <w:hideMark/>
          </w:tcPr>
          <w:p w:rsidR="001D7CD9" w:rsidRPr="00DB2A38" w:rsidRDefault="00DB2A38" w:rsidP="001D7CD9">
            <w:pPr>
              <w:spacing w:after="0" w:line="240" w:lineRule="auto"/>
              <w:jc w:val="right"/>
              <w:rPr>
                <w:rFonts w:ascii="Verdana" w:eastAsia="Times New Roman" w:hAnsi="Verdana" w:cs="Arial"/>
                <w:b/>
                <w:bCs/>
                <w:color w:val="FF0000"/>
                <w:sz w:val="18"/>
                <w:szCs w:val="18"/>
                <w:lang w:eastAsia="en-GB"/>
              </w:rPr>
            </w:pPr>
            <w:r w:rsidRPr="00DB2A38">
              <w:rPr>
                <w:rFonts w:ascii="Verdana" w:hAnsi="Verdana" w:cs="Arial"/>
                <w:b/>
                <w:bCs/>
                <w:color w:val="FF0000"/>
                <w:sz w:val="18"/>
                <w:szCs w:val="18"/>
              </w:rPr>
              <w:t>(6,820</w:t>
            </w:r>
            <w:r w:rsidR="001D7CD9" w:rsidRPr="00DB2A38">
              <w:rPr>
                <w:rFonts w:ascii="Verdana" w:hAnsi="Verdana" w:cs="Arial"/>
                <w:b/>
                <w:bCs/>
                <w:color w:val="FF0000"/>
                <w:sz w:val="18"/>
                <w:szCs w:val="18"/>
              </w:rPr>
              <w:t>)</w:t>
            </w:r>
          </w:p>
        </w:tc>
      </w:tr>
      <w:tr w:rsidR="001D7CD9" w:rsidRPr="00F52B2D"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b/>
                <w:bCs/>
                <w:color w:val="000000"/>
                <w:sz w:val="18"/>
                <w:szCs w:val="18"/>
                <w:lang w:eastAsia="en-GB"/>
              </w:rPr>
            </w:pPr>
            <w:r w:rsidRPr="00DB2A38">
              <w:rPr>
                <w:rFonts w:ascii="Verdana" w:hAnsi="Verdana" w:cs="Arial"/>
                <w:b/>
                <w:bCs/>
                <w:color w:val="000000"/>
                <w:sz w:val="18"/>
                <w:szCs w:val="18"/>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b/>
                <w:bCs/>
                <w:color w:val="000000"/>
                <w:sz w:val="18"/>
                <w:szCs w:val="18"/>
                <w:lang w:eastAsia="en-GB"/>
              </w:rPr>
            </w:pPr>
            <w:r w:rsidRPr="00DB2A38">
              <w:rPr>
                <w:rFonts w:ascii="Verdana" w:hAnsi="Verdana" w:cs="Arial"/>
                <w:b/>
                <w:bCs/>
                <w:color w:val="000000"/>
                <w:sz w:val="18"/>
                <w:szCs w:val="18"/>
              </w:rPr>
              <w:t> </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000000" w:fill="B8CCE4"/>
            <w:noWrap/>
            <w:vAlign w:val="center"/>
            <w:hideMark/>
          </w:tcPr>
          <w:p w:rsidR="001D7CD9" w:rsidRPr="00DB2A38" w:rsidRDefault="001D7CD9" w:rsidP="001D7CD9">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TOTAL ASSETS EMPLOYED</w:t>
            </w:r>
          </w:p>
        </w:tc>
        <w:tc>
          <w:tcPr>
            <w:tcW w:w="1180" w:type="dxa"/>
            <w:tcBorders>
              <w:top w:val="nil"/>
              <w:left w:val="nil"/>
              <w:bottom w:val="dotted" w:sz="4" w:space="0" w:color="5B9BD5"/>
              <w:right w:val="dotted" w:sz="4" w:space="0" w:color="5B9BD5"/>
            </w:tcBorders>
            <w:shd w:val="clear" w:color="000000" w:fill="B8CCE4"/>
            <w:noWrap/>
            <w:vAlign w:val="center"/>
            <w:hideMark/>
          </w:tcPr>
          <w:p w:rsidR="001D7CD9" w:rsidRPr="00DB2A38" w:rsidRDefault="001D7CD9" w:rsidP="001D7CD9">
            <w:pPr>
              <w:spacing w:after="0" w:line="240" w:lineRule="auto"/>
              <w:jc w:val="right"/>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31,602</w:t>
            </w:r>
          </w:p>
        </w:tc>
        <w:tc>
          <w:tcPr>
            <w:tcW w:w="1180" w:type="dxa"/>
            <w:tcBorders>
              <w:top w:val="nil"/>
              <w:left w:val="nil"/>
              <w:bottom w:val="dotted" w:sz="4" w:space="0" w:color="5B9BD5"/>
              <w:right w:val="dotted" w:sz="4" w:space="0" w:color="5B9BD5"/>
            </w:tcBorders>
            <w:shd w:val="clear" w:color="000000" w:fill="B8CCE4"/>
            <w:noWrap/>
            <w:vAlign w:val="center"/>
            <w:hideMark/>
          </w:tcPr>
          <w:p w:rsidR="001D7CD9" w:rsidRPr="00DB2A38" w:rsidRDefault="00DB2A38" w:rsidP="001D7CD9">
            <w:pPr>
              <w:spacing w:after="0" w:line="240" w:lineRule="auto"/>
              <w:jc w:val="right"/>
              <w:rPr>
                <w:rFonts w:ascii="Verdana" w:eastAsia="Times New Roman" w:hAnsi="Verdana" w:cs="Arial"/>
                <w:b/>
                <w:bCs/>
                <w:color w:val="000000"/>
                <w:sz w:val="18"/>
                <w:szCs w:val="18"/>
                <w:lang w:eastAsia="en-GB"/>
              </w:rPr>
            </w:pPr>
            <w:r w:rsidRPr="00DB2A38">
              <w:rPr>
                <w:rFonts w:ascii="Verdana" w:hAnsi="Verdana" w:cs="Arial"/>
                <w:b/>
                <w:bCs/>
                <w:sz w:val="18"/>
                <w:szCs w:val="18"/>
              </w:rPr>
              <w:t>42</w:t>
            </w:r>
          </w:p>
        </w:tc>
        <w:tc>
          <w:tcPr>
            <w:tcW w:w="1180" w:type="dxa"/>
            <w:tcBorders>
              <w:top w:val="nil"/>
              <w:left w:val="nil"/>
              <w:bottom w:val="dotted" w:sz="4" w:space="0" w:color="5B9BD5"/>
              <w:right w:val="dotted" w:sz="4" w:space="0" w:color="5B9BD5"/>
            </w:tcBorders>
            <w:shd w:val="clear" w:color="000000" w:fill="B8CCE4"/>
            <w:noWrap/>
            <w:vAlign w:val="center"/>
            <w:hideMark/>
          </w:tcPr>
          <w:p w:rsidR="001D7CD9" w:rsidRPr="00DB2A38" w:rsidRDefault="00DB2A38" w:rsidP="001D7CD9">
            <w:pPr>
              <w:spacing w:after="0" w:line="240" w:lineRule="auto"/>
              <w:jc w:val="right"/>
              <w:rPr>
                <w:rFonts w:ascii="Verdana" w:eastAsia="Times New Roman" w:hAnsi="Verdana" w:cs="Arial"/>
                <w:b/>
                <w:bCs/>
                <w:color w:val="000000"/>
                <w:sz w:val="18"/>
                <w:szCs w:val="18"/>
                <w:lang w:eastAsia="en-GB"/>
              </w:rPr>
            </w:pPr>
            <w:r w:rsidRPr="00DB2A38">
              <w:rPr>
                <w:rFonts w:ascii="Verdana" w:hAnsi="Verdana" w:cs="Arial"/>
                <w:b/>
                <w:bCs/>
                <w:color w:val="000000"/>
                <w:sz w:val="18"/>
                <w:szCs w:val="18"/>
              </w:rPr>
              <w:t>31,645</w:t>
            </w:r>
          </w:p>
        </w:tc>
      </w:tr>
      <w:tr w:rsidR="009336E2" w:rsidRPr="00F52B2D" w:rsidTr="009336E2">
        <w:trPr>
          <w:trHeight w:val="264"/>
        </w:trPr>
        <w:tc>
          <w:tcPr>
            <w:tcW w:w="4480" w:type="dxa"/>
            <w:tcBorders>
              <w:top w:val="nil"/>
              <w:left w:val="dotted" w:sz="4" w:space="0" w:color="5B9BD5"/>
              <w:bottom w:val="dotted" w:sz="4" w:space="0" w:color="5B9BD5"/>
              <w:right w:val="nil"/>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nil"/>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r>
      <w:tr w:rsidR="009336E2"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FINANCED BY: Taxpayers' Equity</w:t>
            </w: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c>
          <w:tcPr>
            <w:tcW w:w="1180" w:type="dxa"/>
            <w:tcBorders>
              <w:top w:val="nil"/>
              <w:left w:val="nil"/>
              <w:bottom w:val="dotted" w:sz="4" w:space="0" w:color="5B9BD5"/>
              <w:right w:val="dotted" w:sz="4" w:space="0" w:color="5B9BD5"/>
            </w:tcBorders>
            <w:shd w:val="clear" w:color="auto" w:fill="auto"/>
            <w:noWrap/>
            <w:vAlign w:val="center"/>
            <w:hideMark/>
          </w:tcPr>
          <w:p w:rsidR="009336E2" w:rsidRPr="00DB2A38" w:rsidRDefault="009336E2" w:rsidP="009336E2">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 </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PDC</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29,230</w:t>
            </w:r>
          </w:p>
        </w:tc>
        <w:tc>
          <w:tcPr>
            <w:tcW w:w="1180" w:type="dxa"/>
            <w:tcBorders>
              <w:top w:val="nil"/>
              <w:left w:val="nil"/>
              <w:bottom w:val="dotted" w:sz="4" w:space="0" w:color="5B9BD5"/>
              <w:right w:val="dotted" w:sz="4" w:space="0" w:color="5B9BD5"/>
            </w:tcBorders>
            <w:shd w:val="clear" w:color="auto" w:fill="auto"/>
            <w:noWrap/>
            <w:vAlign w:val="bottom"/>
            <w:hideMark/>
          </w:tcPr>
          <w:p w:rsidR="001D7CD9" w:rsidRPr="00DB2A38" w:rsidRDefault="001D7CD9" w:rsidP="001D7CD9">
            <w:pPr>
              <w:spacing w:after="0" w:line="240" w:lineRule="auto"/>
              <w:jc w:val="right"/>
              <w:rPr>
                <w:rFonts w:ascii="Verdana" w:eastAsia="Times New Roman" w:hAnsi="Verdana" w:cs="Arial"/>
                <w:sz w:val="18"/>
                <w:szCs w:val="18"/>
                <w:lang w:eastAsia="en-GB"/>
              </w:rPr>
            </w:pPr>
            <w:r w:rsidRPr="00DB2A38">
              <w:rPr>
                <w:rFonts w:ascii="Verdana" w:hAnsi="Verdana" w:cs="Arial"/>
                <w:color w:val="FF0000"/>
                <w:sz w:val="18"/>
                <w:szCs w:val="18"/>
              </w:rPr>
              <w:t>(0)</w:t>
            </w:r>
          </w:p>
        </w:tc>
        <w:tc>
          <w:tcPr>
            <w:tcW w:w="1180" w:type="dxa"/>
            <w:tcBorders>
              <w:top w:val="nil"/>
              <w:left w:val="nil"/>
              <w:bottom w:val="dotted" w:sz="4" w:space="0" w:color="5B9BD5"/>
              <w:right w:val="dotted" w:sz="4" w:space="0" w:color="5B9BD5"/>
            </w:tcBorders>
            <w:shd w:val="clear" w:color="auto" w:fill="auto"/>
            <w:noWrap/>
            <w:vAlign w:val="bottom"/>
            <w:hideMark/>
          </w:tcPr>
          <w:p w:rsidR="001D7CD9" w:rsidRPr="00DB2A38" w:rsidRDefault="001D7CD9" w:rsidP="001D7CD9">
            <w:pPr>
              <w:spacing w:after="0" w:line="240" w:lineRule="auto"/>
              <w:jc w:val="right"/>
              <w:rPr>
                <w:rFonts w:ascii="Verdana" w:eastAsia="Times New Roman" w:hAnsi="Verdana" w:cs="Arial"/>
                <w:sz w:val="18"/>
                <w:szCs w:val="18"/>
                <w:lang w:eastAsia="en-GB"/>
              </w:rPr>
            </w:pPr>
            <w:r w:rsidRPr="00DB2A38">
              <w:rPr>
                <w:rFonts w:ascii="Verdana" w:hAnsi="Verdana" w:cs="Arial"/>
                <w:sz w:val="18"/>
                <w:szCs w:val="18"/>
              </w:rPr>
              <w:t>29,230</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Retained earnings</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1,481</w:t>
            </w:r>
          </w:p>
        </w:tc>
        <w:tc>
          <w:tcPr>
            <w:tcW w:w="1180" w:type="dxa"/>
            <w:tcBorders>
              <w:top w:val="nil"/>
              <w:left w:val="nil"/>
              <w:bottom w:val="dotted" w:sz="4" w:space="0" w:color="5B9BD5"/>
              <w:right w:val="dotted" w:sz="4" w:space="0" w:color="5B9BD5"/>
            </w:tcBorders>
            <w:shd w:val="clear" w:color="auto" w:fill="auto"/>
            <w:noWrap/>
            <w:vAlign w:val="bottom"/>
            <w:hideMark/>
          </w:tcPr>
          <w:p w:rsidR="001D7CD9" w:rsidRPr="00DB2A38" w:rsidRDefault="00DB2A38" w:rsidP="001D7CD9">
            <w:pPr>
              <w:spacing w:after="0" w:line="240" w:lineRule="auto"/>
              <w:jc w:val="right"/>
              <w:rPr>
                <w:rFonts w:ascii="Verdana" w:eastAsia="Times New Roman" w:hAnsi="Verdana" w:cs="Arial"/>
                <w:color w:val="000000"/>
                <w:sz w:val="18"/>
                <w:szCs w:val="18"/>
                <w:lang w:eastAsia="en-GB"/>
              </w:rPr>
            </w:pPr>
            <w:r w:rsidRPr="00DB2A38">
              <w:rPr>
                <w:rFonts w:ascii="Verdana" w:hAnsi="Verdana" w:cs="Arial"/>
                <w:color w:val="000000"/>
                <w:sz w:val="18"/>
                <w:szCs w:val="18"/>
              </w:rPr>
              <w:t>284</w:t>
            </w:r>
          </w:p>
        </w:tc>
        <w:tc>
          <w:tcPr>
            <w:tcW w:w="1180" w:type="dxa"/>
            <w:tcBorders>
              <w:top w:val="nil"/>
              <w:left w:val="nil"/>
              <w:bottom w:val="dotted" w:sz="4" w:space="0" w:color="5B9BD5"/>
              <w:right w:val="dotted" w:sz="4" w:space="0" w:color="5B9BD5"/>
            </w:tcBorders>
            <w:shd w:val="clear" w:color="auto" w:fill="auto"/>
            <w:noWrap/>
            <w:vAlign w:val="bottom"/>
            <w:hideMark/>
          </w:tcPr>
          <w:p w:rsidR="001D7CD9" w:rsidRPr="00DB2A38" w:rsidRDefault="00DB2A38" w:rsidP="001D7CD9">
            <w:pPr>
              <w:spacing w:after="0" w:line="240" w:lineRule="auto"/>
              <w:jc w:val="right"/>
              <w:rPr>
                <w:rFonts w:ascii="Verdana" w:eastAsia="Times New Roman" w:hAnsi="Verdana" w:cs="Arial"/>
                <w:color w:val="000000"/>
                <w:sz w:val="18"/>
                <w:szCs w:val="18"/>
                <w:lang w:eastAsia="en-GB"/>
              </w:rPr>
            </w:pPr>
            <w:r w:rsidRPr="00DB2A38">
              <w:rPr>
                <w:rFonts w:ascii="Verdana" w:hAnsi="Verdana" w:cs="Arial"/>
                <w:color w:val="000000"/>
                <w:sz w:val="18"/>
                <w:szCs w:val="18"/>
              </w:rPr>
              <w:t>1,765</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Revaluation reserve</w:t>
            </w:r>
          </w:p>
        </w:tc>
        <w:tc>
          <w:tcPr>
            <w:tcW w:w="1180" w:type="dxa"/>
            <w:tcBorders>
              <w:top w:val="nil"/>
              <w:left w:val="nil"/>
              <w:bottom w:val="dotted" w:sz="4" w:space="0" w:color="5B9BD5"/>
              <w:right w:val="dotted" w:sz="4" w:space="0" w:color="5B9BD5"/>
            </w:tcBorders>
            <w:shd w:val="clear" w:color="auto" w:fill="auto"/>
            <w:noWrap/>
            <w:vAlign w:val="center"/>
            <w:hideMark/>
          </w:tcPr>
          <w:p w:rsidR="001D7CD9" w:rsidRPr="00DB2A38" w:rsidRDefault="001D7CD9" w:rsidP="001D7CD9">
            <w:pPr>
              <w:spacing w:after="0" w:line="240" w:lineRule="auto"/>
              <w:jc w:val="right"/>
              <w:rPr>
                <w:rFonts w:ascii="Verdana" w:eastAsia="Times New Roman" w:hAnsi="Verdana" w:cs="Arial"/>
                <w:color w:val="000000"/>
                <w:sz w:val="18"/>
                <w:szCs w:val="18"/>
                <w:lang w:eastAsia="en-GB"/>
              </w:rPr>
            </w:pPr>
            <w:r w:rsidRPr="00DB2A38">
              <w:rPr>
                <w:rFonts w:ascii="Verdana" w:eastAsia="Times New Roman" w:hAnsi="Verdana" w:cs="Arial"/>
                <w:color w:val="000000"/>
                <w:sz w:val="18"/>
                <w:szCs w:val="18"/>
                <w:lang w:eastAsia="en-GB"/>
              </w:rPr>
              <w:t>891</w:t>
            </w:r>
          </w:p>
        </w:tc>
        <w:tc>
          <w:tcPr>
            <w:tcW w:w="1180" w:type="dxa"/>
            <w:tcBorders>
              <w:top w:val="nil"/>
              <w:left w:val="nil"/>
              <w:bottom w:val="dotted" w:sz="4" w:space="0" w:color="5B9BD5"/>
              <w:right w:val="dotted" w:sz="4" w:space="0" w:color="5B9BD5"/>
            </w:tcBorders>
            <w:shd w:val="clear" w:color="auto" w:fill="auto"/>
            <w:noWrap/>
            <w:vAlign w:val="bottom"/>
            <w:hideMark/>
          </w:tcPr>
          <w:p w:rsidR="001D7CD9" w:rsidRPr="00DB2A38" w:rsidRDefault="001D7CD9" w:rsidP="001D7CD9">
            <w:pPr>
              <w:spacing w:after="0" w:line="240" w:lineRule="auto"/>
              <w:jc w:val="right"/>
              <w:rPr>
                <w:rFonts w:ascii="Verdana" w:eastAsia="Times New Roman" w:hAnsi="Verdana" w:cs="Arial"/>
                <w:color w:val="000000"/>
                <w:sz w:val="18"/>
                <w:szCs w:val="18"/>
                <w:lang w:eastAsia="en-GB"/>
              </w:rPr>
            </w:pPr>
            <w:r w:rsidRPr="00DB2A38">
              <w:rPr>
                <w:rFonts w:ascii="Verdana" w:hAnsi="Verdana" w:cs="Arial"/>
                <w:color w:val="FF0000"/>
                <w:sz w:val="18"/>
                <w:szCs w:val="18"/>
              </w:rPr>
              <w:t>(241)</w:t>
            </w:r>
          </w:p>
        </w:tc>
        <w:tc>
          <w:tcPr>
            <w:tcW w:w="1180" w:type="dxa"/>
            <w:tcBorders>
              <w:top w:val="nil"/>
              <w:left w:val="nil"/>
              <w:bottom w:val="dotted" w:sz="4" w:space="0" w:color="5B9BD5"/>
              <w:right w:val="dotted" w:sz="4" w:space="0" w:color="5B9BD5"/>
            </w:tcBorders>
            <w:shd w:val="clear" w:color="auto" w:fill="auto"/>
            <w:noWrap/>
            <w:vAlign w:val="bottom"/>
            <w:hideMark/>
          </w:tcPr>
          <w:p w:rsidR="001D7CD9" w:rsidRPr="00DB2A38" w:rsidRDefault="001D7CD9" w:rsidP="001D7CD9">
            <w:pPr>
              <w:spacing w:after="0" w:line="240" w:lineRule="auto"/>
              <w:jc w:val="right"/>
              <w:rPr>
                <w:rFonts w:ascii="Verdana" w:eastAsia="Times New Roman" w:hAnsi="Verdana" w:cs="Arial"/>
                <w:color w:val="000000"/>
                <w:sz w:val="18"/>
                <w:szCs w:val="18"/>
                <w:lang w:eastAsia="en-GB"/>
              </w:rPr>
            </w:pPr>
            <w:r w:rsidRPr="00DB2A38">
              <w:rPr>
                <w:rFonts w:ascii="Verdana" w:hAnsi="Verdana" w:cs="Arial"/>
                <w:color w:val="000000"/>
                <w:sz w:val="18"/>
                <w:szCs w:val="18"/>
              </w:rPr>
              <w:t>650</w:t>
            </w:r>
          </w:p>
        </w:tc>
      </w:tr>
      <w:tr w:rsidR="001D7CD9" w:rsidRPr="00F52B2D" w:rsidTr="009336E2">
        <w:trPr>
          <w:trHeight w:val="264"/>
        </w:trPr>
        <w:tc>
          <w:tcPr>
            <w:tcW w:w="4480" w:type="dxa"/>
            <w:tcBorders>
              <w:top w:val="nil"/>
              <w:left w:val="dotted" w:sz="4" w:space="0" w:color="5B9BD5"/>
              <w:bottom w:val="dotted" w:sz="4" w:space="0" w:color="5B9BD5"/>
              <w:right w:val="dotted" w:sz="4" w:space="0" w:color="5B9BD5"/>
            </w:tcBorders>
            <w:shd w:val="clear" w:color="000000" w:fill="B8CCE4"/>
            <w:noWrap/>
            <w:vAlign w:val="center"/>
            <w:hideMark/>
          </w:tcPr>
          <w:p w:rsidR="001D7CD9" w:rsidRPr="00DB2A38" w:rsidRDefault="001D7CD9" w:rsidP="001D7CD9">
            <w:pPr>
              <w:spacing w:after="0" w:line="240" w:lineRule="auto"/>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TOTAL TAXPAYERS' EQUITY</w:t>
            </w:r>
          </w:p>
        </w:tc>
        <w:tc>
          <w:tcPr>
            <w:tcW w:w="1180" w:type="dxa"/>
            <w:tcBorders>
              <w:top w:val="nil"/>
              <w:left w:val="nil"/>
              <w:bottom w:val="dotted" w:sz="4" w:space="0" w:color="5B9BD5"/>
              <w:right w:val="dotted" w:sz="4" w:space="0" w:color="5B9BD5"/>
            </w:tcBorders>
            <w:shd w:val="clear" w:color="000000" w:fill="B8CCE4"/>
            <w:noWrap/>
            <w:vAlign w:val="center"/>
            <w:hideMark/>
          </w:tcPr>
          <w:p w:rsidR="001D7CD9" w:rsidRPr="00DB2A38" w:rsidRDefault="001D7CD9" w:rsidP="001D7CD9">
            <w:pPr>
              <w:spacing w:after="0" w:line="240" w:lineRule="auto"/>
              <w:jc w:val="right"/>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31,602</w:t>
            </w:r>
          </w:p>
        </w:tc>
        <w:tc>
          <w:tcPr>
            <w:tcW w:w="1180" w:type="dxa"/>
            <w:tcBorders>
              <w:top w:val="nil"/>
              <w:left w:val="nil"/>
              <w:bottom w:val="dotted" w:sz="4" w:space="0" w:color="5B9BD5"/>
              <w:right w:val="dotted" w:sz="4" w:space="0" w:color="5B9BD5"/>
            </w:tcBorders>
            <w:shd w:val="clear" w:color="000000" w:fill="B8CCE4"/>
            <w:noWrap/>
            <w:vAlign w:val="bottom"/>
            <w:hideMark/>
          </w:tcPr>
          <w:p w:rsidR="001D7CD9" w:rsidRPr="00DB2A38" w:rsidRDefault="00DB2A38" w:rsidP="001D7CD9">
            <w:pPr>
              <w:spacing w:after="0" w:line="240" w:lineRule="auto"/>
              <w:jc w:val="right"/>
              <w:rPr>
                <w:rFonts w:ascii="Verdana" w:eastAsia="Times New Roman" w:hAnsi="Verdana" w:cs="Arial"/>
                <w:b/>
                <w:bCs/>
                <w:color w:val="000000"/>
                <w:sz w:val="18"/>
                <w:szCs w:val="18"/>
                <w:lang w:eastAsia="en-GB"/>
              </w:rPr>
            </w:pPr>
            <w:r w:rsidRPr="00DB2A38">
              <w:rPr>
                <w:rFonts w:ascii="Verdana" w:eastAsia="Times New Roman" w:hAnsi="Verdana" w:cs="Arial"/>
                <w:b/>
                <w:bCs/>
                <w:color w:val="000000"/>
                <w:sz w:val="18"/>
                <w:szCs w:val="18"/>
                <w:lang w:eastAsia="en-GB"/>
              </w:rPr>
              <w:t>43</w:t>
            </w:r>
          </w:p>
        </w:tc>
        <w:tc>
          <w:tcPr>
            <w:tcW w:w="1180" w:type="dxa"/>
            <w:tcBorders>
              <w:top w:val="nil"/>
              <w:left w:val="nil"/>
              <w:bottom w:val="dotted" w:sz="4" w:space="0" w:color="5B9BD5"/>
              <w:right w:val="dotted" w:sz="4" w:space="0" w:color="5B9BD5"/>
            </w:tcBorders>
            <w:shd w:val="clear" w:color="000000" w:fill="B8CCE4"/>
            <w:noWrap/>
            <w:vAlign w:val="bottom"/>
            <w:hideMark/>
          </w:tcPr>
          <w:p w:rsidR="001D7CD9" w:rsidRPr="00DB2A38" w:rsidRDefault="001D7CD9" w:rsidP="00DE468D">
            <w:pPr>
              <w:spacing w:after="0" w:line="240" w:lineRule="auto"/>
              <w:jc w:val="right"/>
              <w:rPr>
                <w:rFonts w:ascii="Verdana" w:eastAsia="Times New Roman" w:hAnsi="Verdana" w:cs="Arial"/>
                <w:b/>
                <w:bCs/>
                <w:color w:val="000000"/>
                <w:sz w:val="18"/>
                <w:szCs w:val="18"/>
                <w:lang w:eastAsia="en-GB"/>
              </w:rPr>
            </w:pPr>
            <w:r w:rsidRPr="00DB2A38">
              <w:rPr>
                <w:rFonts w:ascii="Verdana" w:hAnsi="Verdana" w:cs="Arial"/>
                <w:b/>
                <w:bCs/>
                <w:color w:val="000000"/>
                <w:sz w:val="18"/>
                <w:szCs w:val="18"/>
              </w:rPr>
              <w:t>31,</w:t>
            </w:r>
            <w:r w:rsidR="00DB2A38" w:rsidRPr="00DB2A38">
              <w:rPr>
                <w:rFonts w:ascii="Verdana" w:hAnsi="Verdana" w:cs="Arial"/>
                <w:b/>
                <w:bCs/>
                <w:color w:val="000000"/>
                <w:sz w:val="18"/>
                <w:szCs w:val="18"/>
              </w:rPr>
              <w:t>645</w:t>
            </w:r>
          </w:p>
        </w:tc>
      </w:tr>
    </w:tbl>
    <w:p w:rsidR="00734CA8" w:rsidRDefault="00734CA8" w:rsidP="00734CA8">
      <w:pPr>
        <w:jc w:val="both"/>
        <w:rPr>
          <w:rFonts w:ascii="Verdana" w:hAnsi="Verdana"/>
          <w:sz w:val="24"/>
          <w:szCs w:val="24"/>
          <w:highlight w:val="cyan"/>
          <w:lang w:eastAsia="en-GB"/>
        </w:rPr>
      </w:pPr>
    </w:p>
    <w:p w:rsidR="00632C72" w:rsidRDefault="00632C72" w:rsidP="00734CA8">
      <w:pPr>
        <w:jc w:val="both"/>
        <w:rPr>
          <w:rFonts w:ascii="Verdana" w:hAnsi="Verdana"/>
          <w:sz w:val="24"/>
          <w:szCs w:val="24"/>
          <w:highlight w:val="cyan"/>
          <w:lang w:eastAsia="en-GB"/>
        </w:rPr>
      </w:pPr>
    </w:p>
    <w:p w:rsidR="00632C72" w:rsidRPr="00F52B2D" w:rsidRDefault="00632C72" w:rsidP="00734CA8">
      <w:pPr>
        <w:jc w:val="both"/>
        <w:rPr>
          <w:rFonts w:ascii="Verdana" w:hAnsi="Verdana"/>
          <w:sz w:val="24"/>
          <w:szCs w:val="24"/>
          <w:highlight w:val="cyan"/>
          <w:lang w:eastAsia="en-GB"/>
        </w:rPr>
      </w:pPr>
    </w:p>
    <w:p w:rsidR="001D7CD9" w:rsidRPr="00DB2A38" w:rsidRDefault="001D7CD9" w:rsidP="001D7CD9">
      <w:pPr>
        <w:jc w:val="both"/>
        <w:rPr>
          <w:rFonts w:ascii="Verdana" w:hAnsi="Verdana"/>
          <w:b/>
          <w:bCs/>
          <w:sz w:val="24"/>
          <w:szCs w:val="24"/>
          <w:lang w:eastAsia="en-GB"/>
        </w:rPr>
      </w:pPr>
      <w:proofErr w:type="spellStart"/>
      <w:r w:rsidRPr="00DB2A38">
        <w:rPr>
          <w:rFonts w:ascii="Verdana" w:hAnsi="Verdana"/>
          <w:b/>
          <w:bCs/>
          <w:sz w:val="24"/>
          <w:szCs w:val="24"/>
          <w:lang w:eastAsia="en-GB"/>
        </w:rPr>
        <w:t>Non current</w:t>
      </w:r>
      <w:proofErr w:type="spellEnd"/>
      <w:r w:rsidRPr="00DB2A38">
        <w:rPr>
          <w:rFonts w:ascii="Verdana" w:hAnsi="Verdana"/>
          <w:b/>
          <w:bCs/>
          <w:sz w:val="24"/>
          <w:szCs w:val="24"/>
          <w:lang w:eastAsia="en-GB"/>
        </w:rPr>
        <w:t xml:space="preserve"> Assets</w:t>
      </w:r>
    </w:p>
    <w:p w:rsidR="00DB2A38" w:rsidRPr="00DB2A38" w:rsidRDefault="00DB2A38" w:rsidP="00DB2A38">
      <w:pPr>
        <w:jc w:val="both"/>
        <w:rPr>
          <w:rFonts w:ascii="Verdana" w:hAnsi="Verdana"/>
          <w:sz w:val="24"/>
          <w:szCs w:val="24"/>
          <w:lang w:eastAsia="en-GB"/>
        </w:rPr>
      </w:pPr>
      <w:r w:rsidRPr="00DB2A38">
        <w:rPr>
          <w:rFonts w:ascii="Verdana" w:hAnsi="Verdana"/>
          <w:sz w:val="24"/>
          <w:szCs w:val="24"/>
          <w:lang w:eastAsia="en-GB"/>
        </w:rPr>
        <w:t xml:space="preserve">Property, plant and equipment and intangible assets have decreased by £1.315m in total.  There have been £3.222m of additions year to date but this has been offset by year to date depreciation of £3.196m and downward revaluations of £1.335m for property following the </w:t>
      </w:r>
      <w:proofErr w:type="spellStart"/>
      <w:r w:rsidRPr="00DB2A38">
        <w:rPr>
          <w:rFonts w:ascii="Verdana" w:hAnsi="Verdana"/>
          <w:sz w:val="24"/>
          <w:szCs w:val="24"/>
          <w:lang w:eastAsia="en-GB"/>
        </w:rPr>
        <w:t>quinquennial</w:t>
      </w:r>
      <w:proofErr w:type="spellEnd"/>
      <w:r w:rsidRPr="00DB2A38">
        <w:rPr>
          <w:rFonts w:ascii="Verdana" w:hAnsi="Verdana"/>
          <w:sz w:val="24"/>
          <w:szCs w:val="24"/>
          <w:lang w:eastAsia="en-GB"/>
        </w:rPr>
        <w:t xml:space="preserve"> valuation exercise. This figure is expected to level out as capital expenditure is incurred over the rem</w:t>
      </w:r>
      <w:r>
        <w:rPr>
          <w:rFonts w:ascii="Verdana" w:hAnsi="Verdana"/>
          <w:sz w:val="24"/>
          <w:szCs w:val="24"/>
          <w:lang w:eastAsia="en-GB"/>
        </w:rPr>
        <w:t xml:space="preserve">ainder of the financial year.  </w:t>
      </w:r>
    </w:p>
    <w:p w:rsidR="00DB2A38" w:rsidRDefault="00DB2A38" w:rsidP="00DB2A38">
      <w:pPr>
        <w:jc w:val="both"/>
        <w:rPr>
          <w:rFonts w:ascii="Verdana" w:hAnsi="Verdana"/>
          <w:sz w:val="24"/>
          <w:szCs w:val="24"/>
          <w:lang w:eastAsia="en-GB"/>
        </w:rPr>
      </w:pPr>
      <w:r w:rsidRPr="00DB2A38">
        <w:rPr>
          <w:rFonts w:ascii="Verdana" w:hAnsi="Verdana"/>
          <w:sz w:val="24"/>
          <w:szCs w:val="24"/>
          <w:lang w:eastAsia="en-GB"/>
        </w:rPr>
        <w:t>Trade and other receivables has increased by £2.848m due mainly to a clinical negligence case moving from current to non-current.  This balance represents the non-current Welsh Risk Pool debtor.</w:t>
      </w:r>
    </w:p>
    <w:p w:rsidR="001D7CD9" w:rsidRPr="00DB2A38" w:rsidRDefault="001D7CD9" w:rsidP="00DB2A38">
      <w:pPr>
        <w:jc w:val="both"/>
        <w:rPr>
          <w:rFonts w:ascii="Verdana" w:hAnsi="Verdana"/>
          <w:b/>
          <w:bCs/>
          <w:sz w:val="24"/>
          <w:szCs w:val="24"/>
          <w:lang w:eastAsia="en-GB"/>
        </w:rPr>
      </w:pPr>
      <w:r w:rsidRPr="00DB2A38">
        <w:rPr>
          <w:rFonts w:ascii="Verdana" w:hAnsi="Verdana"/>
          <w:b/>
          <w:bCs/>
          <w:sz w:val="24"/>
          <w:szCs w:val="24"/>
          <w:lang w:eastAsia="en-GB"/>
        </w:rPr>
        <w:t>Current Assets</w:t>
      </w:r>
    </w:p>
    <w:p w:rsidR="00DB2A38" w:rsidRPr="00DB2A38" w:rsidRDefault="00DB2A38" w:rsidP="00DB2A38">
      <w:pPr>
        <w:jc w:val="both"/>
        <w:rPr>
          <w:rFonts w:ascii="Verdana" w:hAnsi="Verdana"/>
          <w:sz w:val="24"/>
          <w:szCs w:val="24"/>
          <w:lang w:eastAsia="en-GB"/>
        </w:rPr>
      </w:pPr>
      <w:r w:rsidRPr="00DB2A38">
        <w:rPr>
          <w:rFonts w:ascii="Verdana" w:hAnsi="Verdana"/>
          <w:sz w:val="24"/>
          <w:szCs w:val="24"/>
          <w:lang w:eastAsia="en-GB"/>
        </w:rPr>
        <w:t>Inventory has reduced by £2.385m. This is partly due to usage of Covid testing consumables. In addition, £0.626m of the variance is due to the timing of invoices received from Velindre for stock orde</w:t>
      </w:r>
      <w:r>
        <w:rPr>
          <w:rFonts w:ascii="Verdana" w:hAnsi="Verdana"/>
          <w:sz w:val="24"/>
          <w:szCs w:val="24"/>
          <w:lang w:eastAsia="en-GB"/>
        </w:rPr>
        <w:t xml:space="preserve">red via Welsh Health Supplies. </w:t>
      </w:r>
    </w:p>
    <w:p w:rsidR="00DB2A38" w:rsidRPr="00DB2A38" w:rsidRDefault="00DB2A38" w:rsidP="00DB2A38">
      <w:pPr>
        <w:jc w:val="both"/>
        <w:rPr>
          <w:rFonts w:ascii="Verdana" w:hAnsi="Verdana"/>
          <w:sz w:val="24"/>
          <w:szCs w:val="24"/>
          <w:lang w:eastAsia="en-GB"/>
        </w:rPr>
      </w:pPr>
      <w:r w:rsidRPr="00DB2A38">
        <w:rPr>
          <w:rFonts w:ascii="Verdana" w:hAnsi="Verdana"/>
          <w:sz w:val="24"/>
          <w:szCs w:val="24"/>
          <w:lang w:eastAsia="en-GB"/>
        </w:rPr>
        <w:t>Trade and other receivables has increased by £20.875m. This is largely due to the core income invoice to Welsh Government</w:t>
      </w:r>
      <w:r>
        <w:rPr>
          <w:rFonts w:ascii="Verdana" w:hAnsi="Verdana"/>
          <w:sz w:val="24"/>
          <w:szCs w:val="24"/>
          <w:lang w:eastAsia="en-GB"/>
        </w:rPr>
        <w:t xml:space="preserve"> for January raised in advance </w:t>
      </w:r>
      <w:r w:rsidRPr="00DB2A38">
        <w:rPr>
          <w:rFonts w:ascii="Verdana" w:hAnsi="Verdana"/>
          <w:sz w:val="24"/>
          <w:szCs w:val="24"/>
          <w:lang w:eastAsia="en-GB"/>
        </w:rPr>
        <w:t>for £11.070m. Additional Welsh Government income of £1.795m was billed and outstanding at the end of the month. Invoices totalling £2.759 for several programmes within the NHS Wales Health Collaborative and £1.750m for Covid-19 funding remained outst</w:t>
      </w:r>
      <w:r>
        <w:rPr>
          <w:rFonts w:ascii="Verdana" w:hAnsi="Verdana"/>
          <w:sz w:val="24"/>
          <w:szCs w:val="24"/>
          <w:lang w:eastAsia="en-GB"/>
        </w:rPr>
        <w:t xml:space="preserve">anding at the end of December. </w:t>
      </w:r>
    </w:p>
    <w:p w:rsidR="00DB2A38" w:rsidRDefault="00DB2A38" w:rsidP="00DB2A38">
      <w:pPr>
        <w:jc w:val="both"/>
        <w:rPr>
          <w:rFonts w:ascii="Verdana" w:hAnsi="Verdana"/>
          <w:sz w:val="24"/>
          <w:szCs w:val="24"/>
          <w:lang w:eastAsia="en-GB"/>
        </w:rPr>
      </w:pPr>
      <w:r w:rsidRPr="00DB2A38">
        <w:rPr>
          <w:rFonts w:ascii="Verdana" w:hAnsi="Verdana"/>
          <w:sz w:val="24"/>
          <w:szCs w:val="24"/>
          <w:lang w:eastAsia="en-GB"/>
        </w:rPr>
        <w:t>Cash and cash equivalents has increased by £5.196m due to core income received in advance of expenditure incurred.</w:t>
      </w:r>
    </w:p>
    <w:p w:rsidR="001D7CD9" w:rsidRPr="00DB2A38" w:rsidRDefault="001D7CD9" w:rsidP="00DB2A38">
      <w:pPr>
        <w:jc w:val="both"/>
        <w:rPr>
          <w:rFonts w:ascii="Verdana" w:hAnsi="Verdana"/>
          <w:b/>
          <w:bCs/>
          <w:sz w:val="24"/>
          <w:szCs w:val="24"/>
          <w:lang w:eastAsia="en-GB"/>
        </w:rPr>
      </w:pPr>
      <w:r w:rsidRPr="00DB2A38">
        <w:rPr>
          <w:rFonts w:ascii="Verdana" w:hAnsi="Verdana"/>
          <w:b/>
          <w:bCs/>
          <w:sz w:val="24"/>
          <w:szCs w:val="24"/>
          <w:lang w:eastAsia="en-GB"/>
        </w:rPr>
        <w:t>Current liabilities</w:t>
      </w:r>
    </w:p>
    <w:p w:rsidR="00DB2A38" w:rsidRPr="00DB2A38" w:rsidRDefault="00DB2A38" w:rsidP="00DB2A38">
      <w:pPr>
        <w:jc w:val="both"/>
        <w:rPr>
          <w:rFonts w:ascii="Verdana" w:hAnsi="Verdana"/>
          <w:sz w:val="24"/>
          <w:szCs w:val="24"/>
          <w:lang w:eastAsia="en-GB"/>
        </w:rPr>
      </w:pPr>
      <w:r w:rsidRPr="00DB2A38">
        <w:rPr>
          <w:rFonts w:ascii="Verdana" w:hAnsi="Verdana"/>
          <w:sz w:val="24"/>
          <w:szCs w:val="24"/>
          <w:lang w:eastAsia="en-GB"/>
        </w:rPr>
        <w:t xml:space="preserve">Current trade and other payables has increased by £24.504m due mainly to deferred Welsh Government income.  A total of £21.287m of core income has been deferred which includes £11.070m of income due in January but raised in advance, as well as £1.092m of deferred pay award funding. In addition, there are £4.095m of non-NHS expenditure accruals relating to various programmes within the </w:t>
      </w:r>
      <w:r>
        <w:rPr>
          <w:rFonts w:ascii="Verdana" w:hAnsi="Verdana"/>
          <w:sz w:val="24"/>
          <w:szCs w:val="24"/>
          <w:lang w:eastAsia="en-GB"/>
        </w:rPr>
        <w:t>NHS Wales Health Collaborative.</w:t>
      </w:r>
    </w:p>
    <w:p w:rsidR="00632C72" w:rsidRDefault="00DB2A38" w:rsidP="00DB2A38">
      <w:pPr>
        <w:jc w:val="both"/>
        <w:rPr>
          <w:rFonts w:ascii="Verdana" w:hAnsi="Verdana"/>
          <w:sz w:val="24"/>
          <w:szCs w:val="24"/>
          <w:lang w:eastAsia="en-GB"/>
        </w:rPr>
      </w:pPr>
      <w:r w:rsidRPr="00DB2A38">
        <w:rPr>
          <w:rFonts w:ascii="Verdana" w:hAnsi="Verdana"/>
          <w:sz w:val="24"/>
          <w:szCs w:val="24"/>
          <w:lang w:eastAsia="en-GB"/>
        </w:rPr>
        <w:t>Current provisions has decreased by £2.393m mainly due to the movement of a clinical negligence case from current to non-current liabilities.  The corresponding increase showing in non-current liabilities.</w:t>
      </w:r>
    </w:p>
    <w:p w:rsidR="00DB2A38" w:rsidRDefault="00DB2A38" w:rsidP="00DB2A38">
      <w:pPr>
        <w:jc w:val="both"/>
        <w:rPr>
          <w:rFonts w:ascii="Verdana" w:hAnsi="Verdana"/>
          <w:sz w:val="24"/>
          <w:szCs w:val="24"/>
          <w:lang w:eastAsia="en-GB"/>
        </w:rPr>
      </w:pPr>
    </w:p>
    <w:p w:rsidR="000C54A5" w:rsidRPr="005149BD" w:rsidRDefault="00A470E5" w:rsidP="005C006E">
      <w:pPr>
        <w:jc w:val="both"/>
        <w:rPr>
          <w:rFonts w:ascii="Verdana" w:hAnsi="Verdana"/>
          <w:sz w:val="24"/>
          <w:szCs w:val="24"/>
        </w:rPr>
      </w:pPr>
      <w:r w:rsidRPr="005149BD">
        <w:rPr>
          <w:rFonts w:ascii="Verdana" w:eastAsia="Times New Roman" w:hAnsi="Verdana"/>
          <w:b/>
          <w:sz w:val="24"/>
          <w:szCs w:val="24"/>
          <w:u w:val="single"/>
        </w:rPr>
        <w:t>Conclusion</w:t>
      </w:r>
    </w:p>
    <w:p w:rsidR="00A470E5" w:rsidRPr="005149BD" w:rsidRDefault="000C54A5" w:rsidP="000C54A5">
      <w:pPr>
        <w:jc w:val="both"/>
        <w:rPr>
          <w:rFonts w:ascii="Verdana" w:hAnsi="Verdana" w:cs="Arial"/>
          <w:sz w:val="24"/>
          <w:szCs w:val="24"/>
        </w:rPr>
      </w:pPr>
      <w:r w:rsidRPr="005149BD">
        <w:rPr>
          <w:rFonts w:ascii="Verdana" w:hAnsi="Verdana" w:cs="Arial"/>
          <w:sz w:val="24"/>
          <w:szCs w:val="24"/>
        </w:rPr>
        <w:t xml:space="preserve">The Board </w:t>
      </w:r>
      <w:r w:rsidR="00A470E5" w:rsidRPr="005149BD">
        <w:rPr>
          <w:rFonts w:ascii="Verdana" w:hAnsi="Verdana" w:cs="Arial"/>
          <w:sz w:val="24"/>
          <w:szCs w:val="24"/>
        </w:rPr>
        <w:t>is asked to note the following:</w:t>
      </w:r>
    </w:p>
    <w:p w:rsidR="00A470E5" w:rsidRPr="005149BD" w:rsidRDefault="00FF1DAF" w:rsidP="003A7948">
      <w:pPr>
        <w:pStyle w:val="ListParagraph"/>
        <w:numPr>
          <w:ilvl w:val="0"/>
          <w:numId w:val="1"/>
        </w:numPr>
        <w:spacing w:before="120"/>
        <w:rPr>
          <w:rFonts w:ascii="Verdana" w:hAnsi="Verdana" w:cs="Arial"/>
        </w:rPr>
      </w:pPr>
      <w:r>
        <w:rPr>
          <w:rFonts w:ascii="Verdana" w:hAnsi="Verdana" w:cs="Arial"/>
        </w:rPr>
        <w:t xml:space="preserve">The </w:t>
      </w:r>
      <w:r w:rsidR="00CF311D" w:rsidRPr="005149BD">
        <w:rPr>
          <w:rFonts w:ascii="Verdana" w:hAnsi="Verdana" w:cs="Arial"/>
        </w:rPr>
        <w:t xml:space="preserve">surplus </w:t>
      </w:r>
      <w:r w:rsidR="00A470E5" w:rsidRPr="005149BD">
        <w:rPr>
          <w:rFonts w:ascii="Verdana" w:hAnsi="Verdana" w:cs="Arial"/>
        </w:rPr>
        <w:t>financial position</w:t>
      </w:r>
      <w:r w:rsidR="00012F7D" w:rsidRPr="005149BD">
        <w:rPr>
          <w:rFonts w:ascii="Verdana" w:hAnsi="Verdana" w:cs="Arial"/>
        </w:rPr>
        <w:t xml:space="preserve"> </w:t>
      </w:r>
      <w:r w:rsidR="00012F7D" w:rsidRPr="00722138">
        <w:rPr>
          <w:rFonts w:ascii="Verdana" w:hAnsi="Verdana" w:cs="Arial"/>
        </w:rPr>
        <w:t xml:space="preserve">of </w:t>
      </w:r>
      <w:r w:rsidR="005149BD" w:rsidRPr="00722138">
        <w:rPr>
          <w:rFonts w:ascii="Verdana" w:hAnsi="Verdana" w:cs="Arial"/>
        </w:rPr>
        <w:t>£</w:t>
      </w:r>
      <w:r w:rsidR="00722138" w:rsidRPr="00722138">
        <w:rPr>
          <w:rFonts w:ascii="Verdana" w:hAnsi="Verdana" w:cs="Arial"/>
        </w:rPr>
        <w:t>2</w:t>
      </w:r>
      <w:r w:rsidR="00F52B2D">
        <w:rPr>
          <w:rFonts w:ascii="Verdana" w:hAnsi="Verdana" w:cs="Arial"/>
        </w:rPr>
        <w:t>61</w:t>
      </w:r>
      <w:r w:rsidR="00CF311D" w:rsidRPr="00722138">
        <w:rPr>
          <w:rFonts w:ascii="Verdana" w:hAnsi="Verdana" w:cs="Arial"/>
        </w:rPr>
        <w:t>k</w:t>
      </w:r>
      <w:r w:rsidR="0057789B" w:rsidRPr="00722138">
        <w:rPr>
          <w:rFonts w:ascii="Verdana" w:hAnsi="Verdana" w:cs="Arial"/>
        </w:rPr>
        <w:t xml:space="preserve"> reported</w:t>
      </w:r>
      <w:r w:rsidR="0057789B" w:rsidRPr="005149BD">
        <w:rPr>
          <w:rFonts w:ascii="Verdana" w:hAnsi="Verdana" w:cs="Arial"/>
        </w:rPr>
        <w:t xml:space="preserve"> at month </w:t>
      </w:r>
      <w:r w:rsidR="00F52B2D">
        <w:rPr>
          <w:rFonts w:ascii="Verdana" w:hAnsi="Verdana" w:cs="Arial"/>
        </w:rPr>
        <w:t>9</w:t>
      </w:r>
      <w:r w:rsidR="00CD79AB">
        <w:rPr>
          <w:rFonts w:ascii="Verdana" w:hAnsi="Verdana" w:cs="Arial"/>
        </w:rPr>
        <w:t>, with a year-end revenue break-even forecast for 2022/23</w:t>
      </w:r>
    </w:p>
    <w:p w:rsidR="00A25F7A" w:rsidRPr="005149BD" w:rsidRDefault="00A25F7A" w:rsidP="00A25F7A">
      <w:pPr>
        <w:pStyle w:val="ListParagraph"/>
        <w:spacing w:before="120"/>
        <w:ind w:left="1080"/>
        <w:rPr>
          <w:rFonts w:ascii="Verdana" w:hAnsi="Verdana" w:cs="Arial"/>
        </w:rPr>
      </w:pPr>
    </w:p>
    <w:p w:rsidR="000879C2" w:rsidRPr="00492EF6" w:rsidRDefault="0070756E" w:rsidP="003A7948">
      <w:pPr>
        <w:pStyle w:val="ListParagraph"/>
        <w:numPr>
          <w:ilvl w:val="0"/>
          <w:numId w:val="1"/>
        </w:numPr>
        <w:spacing w:before="120"/>
        <w:rPr>
          <w:rFonts w:ascii="Verdana" w:hAnsi="Verdana" w:cs="Arial"/>
        </w:rPr>
      </w:pPr>
      <w:r w:rsidRPr="00492EF6">
        <w:rPr>
          <w:rFonts w:ascii="Verdana" w:hAnsi="Verdana" w:cs="Arial"/>
        </w:rPr>
        <w:t>S</w:t>
      </w:r>
      <w:r w:rsidR="00A470E5" w:rsidRPr="00492EF6">
        <w:rPr>
          <w:rFonts w:ascii="Verdana" w:hAnsi="Verdana" w:cs="Arial"/>
        </w:rPr>
        <w:t xml:space="preserve">tatus of the </w:t>
      </w:r>
      <w:r w:rsidR="004A1779" w:rsidRPr="00492EF6">
        <w:rPr>
          <w:rFonts w:ascii="Verdana" w:hAnsi="Verdana" w:cs="Arial"/>
        </w:rPr>
        <w:t xml:space="preserve">Public Health Wales </w:t>
      </w:r>
      <w:r w:rsidR="00A470E5" w:rsidRPr="00492EF6">
        <w:rPr>
          <w:rFonts w:ascii="Verdana" w:hAnsi="Verdana" w:cs="Arial"/>
        </w:rPr>
        <w:t>Capital Programme</w:t>
      </w:r>
      <w:r w:rsidR="001347E7" w:rsidRPr="00492EF6">
        <w:rPr>
          <w:rFonts w:ascii="Verdana" w:hAnsi="Verdana" w:cs="Arial"/>
        </w:rPr>
        <w:t xml:space="preserve">, strategic and discretionary, </w:t>
      </w:r>
      <w:r w:rsidR="0020552A" w:rsidRPr="00492EF6">
        <w:rPr>
          <w:rFonts w:ascii="Verdana" w:hAnsi="Verdana" w:cs="Arial"/>
        </w:rPr>
        <w:t>with</w:t>
      </w:r>
      <w:r w:rsidR="0020552A" w:rsidRPr="00492EF6">
        <w:rPr>
          <w:rFonts w:ascii="Verdana" w:hAnsi="Verdana"/>
        </w:rPr>
        <w:t xml:space="preserve"> a clear finance focus to</w:t>
      </w:r>
      <w:r w:rsidR="001347E7" w:rsidRPr="00492EF6">
        <w:rPr>
          <w:rFonts w:ascii="Verdana" w:hAnsi="Verdana"/>
        </w:rPr>
        <w:t xml:space="preserve"> ensure a </w:t>
      </w:r>
      <w:r w:rsidR="00CD79AB" w:rsidRPr="00492EF6">
        <w:rPr>
          <w:rFonts w:ascii="Verdana" w:hAnsi="Verdana"/>
        </w:rPr>
        <w:t xml:space="preserve">capital </w:t>
      </w:r>
      <w:r w:rsidR="001347E7" w:rsidRPr="00492EF6">
        <w:rPr>
          <w:rFonts w:ascii="Verdana" w:hAnsi="Verdana"/>
        </w:rPr>
        <w:t>breakeven position for</w:t>
      </w:r>
      <w:r w:rsidR="0020552A" w:rsidRPr="00492EF6">
        <w:rPr>
          <w:rFonts w:ascii="Verdana" w:hAnsi="Verdana"/>
        </w:rPr>
        <w:t xml:space="preserve"> 2022/23.</w:t>
      </w:r>
    </w:p>
    <w:p w:rsidR="001347E7" w:rsidRPr="000411A5" w:rsidRDefault="001347E7" w:rsidP="001347E7">
      <w:pPr>
        <w:pStyle w:val="ListParagraph"/>
        <w:spacing w:before="120"/>
        <w:ind w:left="1080"/>
        <w:rPr>
          <w:rFonts w:ascii="Verdana" w:hAnsi="Verdana" w:cs="Arial"/>
          <w:highlight w:val="magenta"/>
        </w:rPr>
      </w:pPr>
    </w:p>
    <w:p w:rsidR="00402FE9" w:rsidRPr="0090679C" w:rsidRDefault="002F2144" w:rsidP="003A7948">
      <w:pPr>
        <w:pStyle w:val="ListParagraph"/>
        <w:numPr>
          <w:ilvl w:val="0"/>
          <w:numId w:val="1"/>
        </w:numPr>
        <w:spacing w:before="120"/>
        <w:jc w:val="both"/>
      </w:pPr>
      <w:r w:rsidRPr="000411A5">
        <w:rPr>
          <w:rFonts w:ascii="Verdana" w:hAnsi="Verdana"/>
        </w:rPr>
        <w:t>Balance Sheet, or Stateme</w:t>
      </w:r>
      <w:r w:rsidR="00CF311D" w:rsidRPr="000411A5">
        <w:rPr>
          <w:rFonts w:ascii="Verdana" w:hAnsi="Verdana"/>
        </w:rPr>
        <w:t>nt of Financial Position</w:t>
      </w:r>
      <w:r w:rsidR="008246C9" w:rsidRPr="0090679C">
        <w:rPr>
          <w:rFonts w:ascii="Verdana" w:hAnsi="Verdana"/>
        </w:rPr>
        <w:t xml:space="preserve"> at month </w:t>
      </w:r>
      <w:r w:rsidR="00F52B2D">
        <w:rPr>
          <w:rFonts w:ascii="Verdana" w:hAnsi="Verdana"/>
        </w:rPr>
        <w:t>9</w:t>
      </w:r>
      <w:r w:rsidR="00626DA4">
        <w:rPr>
          <w:rFonts w:ascii="Verdana" w:hAnsi="Verdana"/>
        </w:rPr>
        <w:t>.</w:t>
      </w:r>
    </w:p>
    <w:sectPr w:rsidR="00402FE9" w:rsidRPr="0090679C" w:rsidSect="00402F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F6A" w:rsidRDefault="00730F6A" w:rsidP="00883874">
      <w:pPr>
        <w:spacing w:after="0" w:line="240" w:lineRule="auto"/>
      </w:pPr>
      <w:r>
        <w:separator/>
      </w:r>
    </w:p>
  </w:endnote>
  <w:endnote w:type="continuationSeparator" w:id="0">
    <w:p w:rsidR="00730F6A" w:rsidRDefault="00730F6A" w:rsidP="0088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8"/>
      <w:gridCol w:w="2995"/>
    </w:tblGrid>
    <w:tr w:rsidR="00730F6A" w:rsidRPr="00511AFF" w:rsidTr="005D3867">
      <w:tc>
        <w:tcPr>
          <w:tcW w:w="3100" w:type="dxa"/>
        </w:tcPr>
        <w:p w:rsidR="00730F6A" w:rsidRPr="00B70103" w:rsidRDefault="00730F6A" w:rsidP="000411A5">
          <w:pPr>
            <w:pStyle w:val="Footer"/>
            <w:tabs>
              <w:tab w:val="right" w:pos="9090"/>
            </w:tabs>
            <w:jc w:val="center"/>
            <w:rPr>
              <w:rFonts w:ascii="Verdana" w:hAnsi="Verdana"/>
              <w:b/>
              <w:sz w:val="20"/>
            </w:rPr>
          </w:pPr>
          <w:r w:rsidRPr="00B70103">
            <w:rPr>
              <w:rFonts w:ascii="Verdana" w:hAnsi="Verdana"/>
              <w:b/>
              <w:sz w:val="20"/>
            </w:rPr>
            <w:t xml:space="preserve">Date: </w:t>
          </w:r>
          <w:r>
            <w:rPr>
              <w:rFonts w:ascii="Verdana" w:hAnsi="Verdana"/>
              <w:sz w:val="20"/>
            </w:rPr>
            <w:t xml:space="preserve"> 9 December 2022</w:t>
          </w:r>
        </w:p>
      </w:tc>
      <w:tc>
        <w:tcPr>
          <w:tcW w:w="3100" w:type="dxa"/>
        </w:tcPr>
        <w:p w:rsidR="00730F6A" w:rsidRPr="00B70103" w:rsidRDefault="00730F6A" w:rsidP="005D3867">
          <w:pPr>
            <w:pStyle w:val="Footer"/>
            <w:tabs>
              <w:tab w:val="center" w:pos="1433"/>
              <w:tab w:val="right" w:pos="2866"/>
              <w:tab w:val="right" w:pos="9090"/>
            </w:tabs>
            <w:jc w:val="center"/>
            <w:rPr>
              <w:rFonts w:ascii="Verdana" w:hAnsi="Verdana"/>
              <w:b/>
              <w:sz w:val="20"/>
            </w:rPr>
          </w:pPr>
          <w:r w:rsidRPr="00B70103">
            <w:rPr>
              <w:rFonts w:ascii="Verdana" w:hAnsi="Verdana"/>
              <w:b/>
              <w:sz w:val="20"/>
            </w:rPr>
            <w:t>Version:</w:t>
          </w:r>
          <w:r>
            <w:rPr>
              <w:rFonts w:ascii="Verdana" w:hAnsi="Verdana"/>
              <w:sz w:val="20"/>
            </w:rPr>
            <w:t xml:space="preserve"> 1</w:t>
          </w:r>
        </w:p>
      </w:tc>
      <w:tc>
        <w:tcPr>
          <w:tcW w:w="3101" w:type="dxa"/>
        </w:tcPr>
        <w:p w:rsidR="00730F6A" w:rsidRPr="00B70103" w:rsidRDefault="00730F6A" w:rsidP="005D3867">
          <w:pPr>
            <w:pStyle w:val="Footer"/>
            <w:tabs>
              <w:tab w:val="clear" w:pos="4513"/>
              <w:tab w:val="center" w:pos="4500"/>
              <w:tab w:val="right" w:pos="9090"/>
            </w:tabs>
            <w:jc w:val="center"/>
            <w:rPr>
              <w:rFonts w:ascii="Verdana" w:hAnsi="Verdana"/>
              <w:b/>
              <w:sz w:val="20"/>
            </w:rPr>
          </w:pPr>
          <w:r w:rsidRPr="00B70103">
            <w:rPr>
              <w:rFonts w:ascii="Verdana" w:hAnsi="Verdana"/>
              <w:b/>
              <w:sz w:val="20"/>
            </w:rPr>
            <w:t xml:space="preserve">Page: </w:t>
          </w:r>
          <w:r w:rsidRPr="00B70103">
            <w:rPr>
              <w:rStyle w:val="PageNumber"/>
              <w:rFonts w:ascii="Verdana" w:hAnsi="Verdana"/>
              <w:sz w:val="20"/>
            </w:rPr>
            <w:fldChar w:fldCharType="begin"/>
          </w:r>
          <w:r w:rsidRPr="00B70103">
            <w:rPr>
              <w:rStyle w:val="PageNumber"/>
              <w:rFonts w:ascii="Verdana" w:hAnsi="Verdana"/>
              <w:sz w:val="20"/>
            </w:rPr>
            <w:instrText xml:space="preserve"> PAGE </w:instrText>
          </w:r>
          <w:r w:rsidRPr="00B70103">
            <w:rPr>
              <w:rStyle w:val="PageNumber"/>
              <w:rFonts w:ascii="Verdana" w:hAnsi="Verdana"/>
              <w:sz w:val="20"/>
            </w:rPr>
            <w:fldChar w:fldCharType="separate"/>
          </w:r>
          <w:r w:rsidR="004E2FBB">
            <w:rPr>
              <w:rStyle w:val="PageNumber"/>
              <w:rFonts w:ascii="Verdana" w:hAnsi="Verdana"/>
              <w:noProof/>
              <w:sz w:val="20"/>
            </w:rPr>
            <w:t>10</w:t>
          </w:r>
          <w:r w:rsidRPr="00B70103">
            <w:rPr>
              <w:rStyle w:val="PageNumber"/>
              <w:rFonts w:ascii="Verdana" w:hAnsi="Verdana"/>
              <w:sz w:val="20"/>
            </w:rPr>
            <w:fldChar w:fldCharType="end"/>
          </w:r>
          <w:r w:rsidRPr="00B70103">
            <w:rPr>
              <w:rStyle w:val="PageNumber"/>
              <w:rFonts w:ascii="Verdana" w:hAnsi="Verdana"/>
              <w:sz w:val="20"/>
            </w:rPr>
            <w:t xml:space="preserve"> of </w:t>
          </w:r>
          <w:r w:rsidRPr="00B70103">
            <w:rPr>
              <w:rStyle w:val="PageNumber"/>
              <w:rFonts w:ascii="Verdana" w:hAnsi="Verdana"/>
              <w:sz w:val="20"/>
            </w:rPr>
            <w:fldChar w:fldCharType="begin"/>
          </w:r>
          <w:r w:rsidRPr="00B70103">
            <w:rPr>
              <w:rStyle w:val="PageNumber"/>
              <w:rFonts w:ascii="Verdana" w:hAnsi="Verdana"/>
              <w:sz w:val="20"/>
            </w:rPr>
            <w:instrText xml:space="preserve"> NUMPAGES </w:instrText>
          </w:r>
          <w:r w:rsidRPr="00B70103">
            <w:rPr>
              <w:rStyle w:val="PageNumber"/>
              <w:rFonts w:ascii="Verdana" w:hAnsi="Verdana"/>
              <w:sz w:val="20"/>
            </w:rPr>
            <w:fldChar w:fldCharType="separate"/>
          </w:r>
          <w:r w:rsidR="004E2FBB">
            <w:rPr>
              <w:rStyle w:val="PageNumber"/>
              <w:rFonts w:ascii="Verdana" w:hAnsi="Verdana"/>
              <w:noProof/>
              <w:sz w:val="20"/>
            </w:rPr>
            <w:t>10</w:t>
          </w:r>
          <w:r w:rsidRPr="00B70103">
            <w:rPr>
              <w:rStyle w:val="PageNumber"/>
              <w:rFonts w:ascii="Verdana" w:hAnsi="Verdana"/>
              <w:sz w:val="20"/>
            </w:rPr>
            <w:fldChar w:fldCharType="end"/>
          </w:r>
        </w:p>
      </w:tc>
    </w:tr>
  </w:tbl>
  <w:p w:rsidR="00730F6A" w:rsidRPr="00FA7943" w:rsidRDefault="00730F6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F6A" w:rsidRDefault="00730F6A" w:rsidP="00883874">
      <w:pPr>
        <w:spacing w:after="0" w:line="240" w:lineRule="auto"/>
      </w:pPr>
      <w:r>
        <w:separator/>
      </w:r>
    </w:p>
  </w:footnote>
  <w:footnote w:type="continuationSeparator" w:id="0">
    <w:p w:rsidR="00730F6A" w:rsidRDefault="00730F6A" w:rsidP="0088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E25AD"/>
    <w:multiLevelType w:val="hybridMultilevel"/>
    <w:tmpl w:val="D6A2B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176EBB"/>
    <w:multiLevelType w:val="multilevel"/>
    <w:tmpl w:val="4EBC17DE"/>
    <w:lvl w:ilvl="0">
      <w:start w:val="1"/>
      <w:numFmt w:val="decimal"/>
      <w:lvlText w:val="%1."/>
      <w:lvlJc w:val="left"/>
      <w:pPr>
        <w:ind w:left="644" w:hanging="644"/>
      </w:pPr>
      <w:rPr>
        <w:rFonts w:ascii="Verdana" w:hAnsi="Verdana" w:hint="default"/>
        <w:b/>
        <w:sz w:val="28"/>
        <w:szCs w:val="28"/>
      </w:rPr>
    </w:lvl>
    <w:lvl w:ilvl="1">
      <w:start w:val="1"/>
      <w:numFmt w:val="decimal"/>
      <w:isLgl/>
      <w:lvlText w:val="%1.%2"/>
      <w:lvlJc w:val="left"/>
      <w:pPr>
        <w:ind w:left="862" w:hanging="720"/>
      </w:pPr>
      <w:rPr>
        <w:rFonts w:hint="default"/>
        <w:b w:val="0"/>
        <w:i w:val="0"/>
        <w:color w:val="auto"/>
        <w:sz w:val="24"/>
        <w:szCs w:val="24"/>
      </w:rPr>
    </w:lvl>
    <w:lvl w:ilvl="2">
      <w:start w:val="1"/>
      <w:numFmt w:val="bullet"/>
      <w:lvlText w:val=""/>
      <w:lvlJc w:val="left"/>
      <w:pPr>
        <w:ind w:left="2748" w:hanging="1080"/>
      </w:pPr>
      <w:rPr>
        <w:rFonts w:ascii="Symbol" w:hAnsi="Symbol" w:hint="default"/>
      </w:rPr>
    </w:lvl>
    <w:lvl w:ilvl="3">
      <w:start w:val="1"/>
      <w:numFmt w:val="decimal"/>
      <w:isLgl/>
      <w:lvlText w:val="%1.%2.%3.%4"/>
      <w:lvlJc w:val="left"/>
      <w:pPr>
        <w:ind w:left="3108" w:hanging="1440"/>
      </w:pPr>
      <w:rPr>
        <w:rFonts w:hint="default"/>
      </w:rPr>
    </w:lvl>
    <w:lvl w:ilvl="4">
      <w:start w:val="1"/>
      <w:numFmt w:val="decimal"/>
      <w:isLgl/>
      <w:lvlText w:val="%1.%2.%3.%4.%5"/>
      <w:lvlJc w:val="left"/>
      <w:pPr>
        <w:ind w:left="3108" w:hanging="1440"/>
      </w:pPr>
      <w:rPr>
        <w:rFonts w:hint="default"/>
      </w:rPr>
    </w:lvl>
    <w:lvl w:ilvl="5">
      <w:start w:val="1"/>
      <w:numFmt w:val="decimal"/>
      <w:isLgl/>
      <w:lvlText w:val="%1.%2.%3.%4.%5.%6"/>
      <w:lvlJc w:val="left"/>
      <w:pPr>
        <w:ind w:left="3468" w:hanging="1800"/>
      </w:pPr>
      <w:rPr>
        <w:rFonts w:hint="default"/>
      </w:rPr>
    </w:lvl>
    <w:lvl w:ilvl="6">
      <w:start w:val="1"/>
      <w:numFmt w:val="decimal"/>
      <w:isLgl/>
      <w:lvlText w:val="%1.%2.%3.%4.%5.%6.%7"/>
      <w:lvlJc w:val="left"/>
      <w:pPr>
        <w:ind w:left="3828" w:hanging="2160"/>
      </w:pPr>
      <w:rPr>
        <w:rFonts w:hint="default"/>
      </w:rPr>
    </w:lvl>
    <w:lvl w:ilvl="7">
      <w:start w:val="1"/>
      <w:numFmt w:val="decimal"/>
      <w:isLgl/>
      <w:lvlText w:val="%1.%2.%3.%4.%5.%6.%7.%8"/>
      <w:lvlJc w:val="left"/>
      <w:pPr>
        <w:ind w:left="4188" w:hanging="2520"/>
      </w:pPr>
      <w:rPr>
        <w:rFonts w:hint="default"/>
      </w:rPr>
    </w:lvl>
    <w:lvl w:ilvl="8">
      <w:start w:val="1"/>
      <w:numFmt w:val="decimal"/>
      <w:isLgl/>
      <w:lvlText w:val="%1.%2.%3.%4.%5.%6.%7.%8.%9"/>
      <w:lvlJc w:val="left"/>
      <w:pPr>
        <w:ind w:left="4548" w:hanging="2880"/>
      </w:pPr>
      <w:rPr>
        <w:rFonts w:hint="default"/>
      </w:rPr>
    </w:lvl>
  </w:abstractNum>
  <w:abstractNum w:abstractNumId="2" w15:restartNumberingAfterBreak="0">
    <w:nsid w:val="601A132D"/>
    <w:multiLevelType w:val="hybridMultilevel"/>
    <w:tmpl w:val="71042B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DC"/>
    <w:rsid w:val="00002EC7"/>
    <w:rsid w:val="00010340"/>
    <w:rsid w:val="00012F7D"/>
    <w:rsid w:val="0001437C"/>
    <w:rsid w:val="00015D94"/>
    <w:rsid w:val="00024EEF"/>
    <w:rsid w:val="00026405"/>
    <w:rsid w:val="00026B9A"/>
    <w:rsid w:val="00030B87"/>
    <w:rsid w:val="00034A5E"/>
    <w:rsid w:val="000411A5"/>
    <w:rsid w:val="000429B1"/>
    <w:rsid w:val="00043F5F"/>
    <w:rsid w:val="000447D2"/>
    <w:rsid w:val="000517C6"/>
    <w:rsid w:val="0006136C"/>
    <w:rsid w:val="00061482"/>
    <w:rsid w:val="0006229F"/>
    <w:rsid w:val="00062BFE"/>
    <w:rsid w:val="00062C6C"/>
    <w:rsid w:val="00067A1B"/>
    <w:rsid w:val="00074FCD"/>
    <w:rsid w:val="00075D22"/>
    <w:rsid w:val="0008142D"/>
    <w:rsid w:val="000879C2"/>
    <w:rsid w:val="00090062"/>
    <w:rsid w:val="00092926"/>
    <w:rsid w:val="0009610A"/>
    <w:rsid w:val="000A2ADC"/>
    <w:rsid w:val="000A3A02"/>
    <w:rsid w:val="000A481C"/>
    <w:rsid w:val="000A7205"/>
    <w:rsid w:val="000A7F62"/>
    <w:rsid w:val="000B2D22"/>
    <w:rsid w:val="000B5FBA"/>
    <w:rsid w:val="000C01E1"/>
    <w:rsid w:val="000C034B"/>
    <w:rsid w:val="000C54A5"/>
    <w:rsid w:val="000D4080"/>
    <w:rsid w:val="000D5FC9"/>
    <w:rsid w:val="000E133C"/>
    <w:rsid w:val="000E2681"/>
    <w:rsid w:val="000E6FBA"/>
    <w:rsid w:val="000F1941"/>
    <w:rsid w:val="000F1B97"/>
    <w:rsid w:val="000F437D"/>
    <w:rsid w:val="001022E6"/>
    <w:rsid w:val="00112660"/>
    <w:rsid w:val="0011556D"/>
    <w:rsid w:val="001169B1"/>
    <w:rsid w:val="001215CD"/>
    <w:rsid w:val="00130586"/>
    <w:rsid w:val="0013086C"/>
    <w:rsid w:val="00131B5B"/>
    <w:rsid w:val="00133ECB"/>
    <w:rsid w:val="001347E7"/>
    <w:rsid w:val="00140A18"/>
    <w:rsid w:val="001412CC"/>
    <w:rsid w:val="001435A4"/>
    <w:rsid w:val="0014555C"/>
    <w:rsid w:val="001512F4"/>
    <w:rsid w:val="001514DA"/>
    <w:rsid w:val="00163E3F"/>
    <w:rsid w:val="001713E7"/>
    <w:rsid w:val="00172177"/>
    <w:rsid w:val="0018210B"/>
    <w:rsid w:val="00182FDB"/>
    <w:rsid w:val="00190872"/>
    <w:rsid w:val="00191C21"/>
    <w:rsid w:val="00192BDB"/>
    <w:rsid w:val="00193D10"/>
    <w:rsid w:val="001940CF"/>
    <w:rsid w:val="00195291"/>
    <w:rsid w:val="00195414"/>
    <w:rsid w:val="001A3709"/>
    <w:rsid w:val="001A6F9A"/>
    <w:rsid w:val="001B1D4F"/>
    <w:rsid w:val="001B2E64"/>
    <w:rsid w:val="001B41B9"/>
    <w:rsid w:val="001C6453"/>
    <w:rsid w:val="001C653D"/>
    <w:rsid w:val="001D0C20"/>
    <w:rsid w:val="001D21C1"/>
    <w:rsid w:val="001D42F7"/>
    <w:rsid w:val="001D61F4"/>
    <w:rsid w:val="001D7CD9"/>
    <w:rsid w:val="001E13C0"/>
    <w:rsid w:val="001E3617"/>
    <w:rsid w:val="001F20B4"/>
    <w:rsid w:val="001F2BC9"/>
    <w:rsid w:val="001F5B52"/>
    <w:rsid w:val="001F6BD2"/>
    <w:rsid w:val="00202024"/>
    <w:rsid w:val="00204E18"/>
    <w:rsid w:val="00204F65"/>
    <w:rsid w:val="0020552A"/>
    <w:rsid w:val="00205621"/>
    <w:rsid w:val="00207D56"/>
    <w:rsid w:val="00210AF6"/>
    <w:rsid w:val="002128AD"/>
    <w:rsid w:val="0021347C"/>
    <w:rsid w:val="0022554B"/>
    <w:rsid w:val="00230668"/>
    <w:rsid w:val="0023567D"/>
    <w:rsid w:val="00237D70"/>
    <w:rsid w:val="002404B7"/>
    <w:rsid w:val="002456F0"/>
    <w:rsid w:val="0024611C"/>
    <w:rsid w:val="00250028"/>
    <w:rsid w:val="0025245F"/>
    <w:rsid w:val="00255512"/>
    <w:rsid w:val="00256C55"/>
    <w:rsid w:val="00257D7D"/>
    <w:rsid w:val="00257EAD"/>
    <w:rsid w:val="0027692B"/>
    <w:rsid w:val="00285851"/>
    <w:rsid w:val="0028588C"/>
    <w:rsid w:val="00290FCB"/>
    <w:rsid w:val="00291A04"/>
    <w:rsid w:val="002931F5"/>
    <w:rsid w:val="00294380"/>
    <w:rsid w:val="0029747E"/>
    <w:rsid w:val="002979D2"/>
    <w:rsid w:val="002A16EC"/>
    <w:rsid w:val="002A44DE"/>
    <w:rsid w:val="002A7826"/>
    <w:rsid w:val="002B2758"/>
    <w:rsid w:val="002D34FE"/>
    <w:rsid w:val="002E04D2"/>
    <w:rsid w:val="002F2144"/>
    <w:rsid w:val="002F73A7"/>
    <w:rsid w:val="003050AA"/>
    <w:rsid w:val="0031165E"/>
    <w:rsid w:val="0031273C"/>
    <w:rsid w:val="003151EF"/>
    <w:rsid w:val="003173BA"/>
    <w:rsid w:val="00320664"/>
    <w:rsid w:val="00324467"/>
    <w:rsid w:val="00330403"/>
    <w:rsid w:val="00333C86"/>
    <w:rsid w:val="00335ECD"/>
    <w:rsid w:val="00337323"/>
    <w:rsid w:val="00337519"/>
    <w:rsid w:val="00340761"/>
    <w:rsid w:val="00342BDF"/>
    <w:rsid w:val="00344893"/>
    <w:rsid w:val="00346DCD"/>
    <w:rsid w:val="0035359B"/>
    <w:rsid w:val="00353A24"/>
    <w:rsid w:val="003605E0"/>
    <w:rsid w:val="00361493"/>
    <w:rsid w:val="00361C53"/>
    <w:rsid w:val="00362848"/>
    <w:rsid w:val="00364FC4"/>
    <w:rsid w:val="00365579"/>
    <w:rsid w:val="00373E95"/>
    <w:rsid w:val="00375E68"/>
    <w:rsid w:val="00377F84"/>
    <w:rsid w:val="003836F4"/>
    <w:rsid w:val="003900F1"/>
    <w:rsid w:val="0039133A"/>
    <w:rsid w:val="003916BB"/>
    <w:rsid w:val="003964E1"/>
    <w:rsid w:val="00397A03"/>
    <w:rsid w:val="003A6B0E"/>
    <w:rsid w:val="003A7948"/>
    <w:rsid w:val="003B108D"/>
    <w:rsid w:val="003B32BA"/>
    <w:rsid w:val="003B5CB6"/>
    <w:rsid w:val="003B6E77"/>
    <w:rsid w:val="003C20D4"/>
    <w:rsid w:val="003D446B"/>
    <w:rsid w:val="003D6FBB"/>
    <w:rsid w:val="003D7111"/>
    <w:rsid w:val="003E1752"/>
    <w:rsid w:val="003E77B1"/>
    <w:rsid w:val="003F024D"/>
    <w:rsid w:val="003F4145"/>
    <w:rsid w:val="003F6142"/>
    <w:rsid w:val="003F7170"/>
    <w:rsid w:val="00402B6A"/>
    <w:rsid w:val="00402FE9"/>
    <w:rsid w:val="0040372D"/>
    <w:rsid w:val="004075F2"/>
    <w:rsid w:val="00410723"/>
    <w:rsid w:val="00413F16"/>
    <w:rsid w:val="00416226"/>
    <w:rsid w:val="00416894"/>
    <w:rsid w:val="00417A0C"/>
    <w:rsid w:val="00417C5D"/>
    <w:rsid w:val="00430F51"/>
    <w:rsid w:val="004321BE"/>
    <w:rsid w:val="004338CF"/>
    <w:rsid w:val="004465FE"/>
    <w:rsid w:val="00447605"/>
    <w:rsid w:val="004558DE"/>
    <w:rsid w:val="00457072"/>
    <w:rsid w:val="00461DD4"/>
    <w:rsid w:val="004636D9"/>
    <w:rsid w:val="00465578"/>
    <w:rsid w:val="00481B44"/>
    <w:rsid w:val="00483D54"/>
    <w:rsid w:val="00485D40"/>
    <w:rsid w:val="00486BA3"/>
    <w:rsid w:val="00492EF6"/>
    <w:rsid w:val="004930D1"/>
    <w:rsid w:val="00493F87"/>
    <w:rsid w:val="004A0298"/>
    <w:rsid w:val="004A1150"/>
    <w:rsid w:val="004A1779"/>
    <w:rsid w:val="004A6031"/>
    <w:rsid w:val="004A6948"/>
    <w:rsid w:val="004C092E"/>
    <w:rsid w:val="004C287E"/>
    <w:rsid w:val="004C2ED6"/>
    <w:rsid w:val="004C4EE2"/>
    <w:rsid w:val="004C5EEE"/>
    <w:rsid w:val="004D0171"/>
    <w:rsid w:val="004D755A"/>
    <w:rsid w:val="004E0BF3"/>
    <w:rsid w:val="004E2FBB"/>
    <w:rsid w:val="004E711E"/>
    <w:rsid w:val="004F01A3"/>
    <w:rsid w:val="004F0A58"/>
    <w:rsid w:val="004F0DD4"/>
    <w:rsid w:val="004F16B9"/>
    <w:rsid w:val="004F3B9C"/>
    <w:rsid w:val="004F5C87"/>
    <w:rsid w:val="00502636"/>
    <w:rsid w:val="00504BC9"/>
    <w:rsid w:val="00507A5F"/>
    <w:rsid w:val="00511DA0"/>
    <w:rsid w:val="00511DFF"/>
    <w:rsid w:val="005149BD"/>
    <w:rsid w:val="00514C62"/>
    <w:rsid w:val="0051605F"/>
    <w:rsid w:val="00517C85"/>
    <w:rsid w:val="00520036"/>
    <w:rsid w:val="00526F03"/>
    <w:rsid w:val="005335E0"/>
    <w:rsid w:val="005354D1"/>
    <w:rsid w:val="00535AC9"/>
    <w:rsid w:val="0053658C"/>
    <w:rsid w:val="00537F12"/>
    <w:rsid w:val="00547503"/>
    <w:rsid w:val="00547F0E"/>
    <w:rsid w:val="00551411"/>
    <w:rsid w:val="0055189A"/>
    <w:rsid w:val="005524EE"/>
    <w:rsid w:val="00553733"/>
    <w:rsid w:val="005626B6"/>
    <w:rsid w:val="005756FE"/>
    <w:rsid w:val="0057789B"/>
    <w:rsid w:val="0058012C"/>
    <w:rsid w:val="00581094"/>
    <w:rsid w:val="005817E7"/>
    <w:rsid w:val="00581D5F"/>
    <w:rsid w:val="005857E6"/>
    <w:rsid w:val="00587F86"/>
    <w:rsid w:val="00590C4F"/>
    <w:rsid w:val="0059283F"/>
    <w:rsid w:val="005A10A6"/>
    <w:rsid w:val="005A6CD7"/>
    <w:rsid w:val="005B39FA"/>
    <w:rsid w:val="005B72D4"/>
    <w:rsid w:val="005C006E"/>
    <w:rsid w:val="005C3EE6"/>
    <w:rsid w:val="005C5373"/>
    <w:rsid w:val="005D3332"/>
    <w:rsid w:val="005D33F8"/>
    <w:rsid w:val="005D3761"/>
    <w:rsid w:val="005D3867"/>
    <w:rsid w:val="005E3042"/>
    <w:rsid w:val="005E6030"/>
    <w:rsid w:val="005E7A73"/>
    <w:rsid w:val="005E7AA3"/>
    <w:rsid w:val="005F3065"/>
    <w:rsid w:val="005F310A"/>
    <w:rsid w:val="005F450F"/>
    <w:rsid w:val="005F532F"/>
    <w:rsid w:val="005F60CE"/>
    <w:rsid w:val="005F71FE"/>
    <w:rsid w:val="00604806"/>
    <w:rsid w:val="006071EC"/>
    <w:rsid w:val="00611362"/>
    <w:rsid w:val="006160DD"/>
    <w:rsid w:val="00617233"/>
    <w:rsid w:val="006173F8"/>
    <w:rsid w:val="00617629"/>
    <w:rsid w:val="006200A3"/>
    <w:rsid w:val="00622A69"/>
    <w:rsid w:val="006238B6"/>
    <w:rsid w:val="0062390B"/>
    <w:rsid w:val="00624216"/>
    <w:rsid w:val="00626673"/>
    <w:rsid w:val="00626DA4"/>
    <w:rsid w:val="00630179"/>
    <w:rsid w:val="00632C72"/>
    <w:rsid w:val="00632FF7"/>
    <w:rsid w:val="00634AD3"/>
    <w:rsid w:val="00637072"/>
    <w:rsid w:val="00642491"/>
    <w:rsid w:val="006663EF"/>
    <w:rsid w:val="00667684"/>
    <w:rsid w:val="00667BA4"/>
    <w:rsid w:val="006719C2"/>
    <w:rsid w:val="00675ED6"/>
    <w:rsid w:val="00681512"/>
    <w:rsid w:val="00682B54"/>
    <w:rsid w:val="006855AD"/>
    <w:rsid w:val="00685E8F"/>
    <w:rsid w:val="006906A3"/>
    <w:rsid w:val="00691FAA"/>
    <w:rsid w:val="006A0F06"/>
    <w:rsid w:val="006A10F5"/>
    <w:rsid w:val="006B0290"/>
    <w:rsid w:val="006B11B7"/>
    <w:rsid w:val="006B680F"/>
    <w:rsid w:val="006C263E"/>
    <w:rsid w:val="006D15F6"/>
    <w:rsid w:val="006D2607"/>
    <w:rsid w:val="006D3080"/>
    <w:rsid w:val="006D5913"/>
    <w:rsid w:val="006D6B8B"/>
    <w:rsid w:val="006E27A5"/>
    <w:rsid w:val="006E4369"/>
    <w:rsid w:val="006E4EE9"/>
    <w:rsid w:val="006E6A4F"/>
    <w:rsid w:val="006F1958"/>
    <w:rsid w:val="0070223B"/>
    <w:rsid w:val="007043FC"/>
    <w:rsid w:val="0070756E"/>
    <w:rsid w:val="00712B2D"/>
    <w:rsid w:val="0071696B"/>
    <w:rsid w:val="00717924"/>
    <w:rsid w:val="00722138"/>
    <w:rsid w:val="007236B8"/>
    <w:rsid w:val="0072442A"/>
    <w:rsid w:val="00727DF9"/>
    <w:rsid w:val="00727E4F"/>
    <w:rsid w:val="00730F6A"/>
    <w:rsid w:val="007349D4"/>
    <w:rsid w:val="00734CA8"/>
    <w:rsid w:val="007467ED"/>
    <w:rsid w:val="00750995"/>
    <w:rsid w:val="00750D3B"/>
    <w:rsid w:val="00750FAB"/>
    <w:rsid w:val="0075301D"/>
    <w:rsid w:val="007603F5"/>
    <w:rsid w:val="0076343D"/>
    <w:rsid w:val="00771D91"/>
    <w:rsid w:val="00773B66"/>
    <w:rsid w:val="00790677"/>
    <w:rsid w:val="007947FB"/>
    <w:rsid w:val="00794AC9"/>
    <w:rsid w:val="00796A68"/>
    <w:rsid w:val="007A1E11"/>
    <w:rsid w:val="007A611A"/>
    <w:rsid w:val="007A7A8B"/>
    <w:rsid w:val="007B0843"/>
    <w:rsid w:val="007B6787"/>
    <w:rsid w:val="007E37E4"/>
    <w:rsid w:val="007E5B6A"/>
    <w:rsid w:val="007E6B7D"/>
    <w:rsid w:val="007F080E"/>
    <w:rsid w:val="007F611C"/>
    <w:rsid w:val="00801F6B"/>
    <w:rsid w:val="00802B45"/>
    <w:rsid w:val="008078BC"/>
    <w:rsid w:val="0081034E"/>
    <w:rsid w:val="00815685"/>
    <w:rsid w:val="00822A13"/>
    <w:rsid w:val="008245A7"/>
    <w:rsid w:val="008246C9"/>
    <w:rsid w:val="00830CDE"/>
    <w:rsid w:val="00831BAC"/>
    <w:rsid w:val="008323E4"/>
    <w:rsid w:val="00832D4D"/>
    <w:rsid w:val="00834652"/>
    <w:rsid w:val="008375F6"/>
    <w:rsid w:val="00847CCF"/>
    <w:rsid w:val="00853B38"/>
    <w:rsid w:val="00854D09"/>
    <w:rsid w:val="00857D58"/>
    <w:rsid w:val="00865434"/>
    <w:rsid w:val="0087289E"/>
    <w:rsid w:val="008741E3"/>
    <w:rsid w:val="008749EA"/>
    <w:rsid w:val="00880353"/>
    <w:rsid w:val="00881990"/>
    <w:rsid w:val="00883874"/>
    <w:rsid w:val="008858DD"/>
    <w:rsid w:val="00890ADD"/>
    <w:rsid w:val="008976DA"/>
    <w:rsid w:val="008A03C4"/>
    <w:rsid w:val="008A2DDA"/>
    <w:rsid w:val="008B6A1A"/>
    <w:rsid w:val="008B6E28"/>
    <w:rsid w:val="008C169E"/>
    <w:rsid w:val="008C7C6E"/>
    <w:rsid w:val="008E0EE4"/>
    <w:rsid w:val="008F4B50"/>
    <w:rsid w:val="008F54CC"/>
    <w:rsid w:val="0090266B"/>
    <w:rsid w:val="009049BE"/>
    <w:rsid w:val="00905A60"/>
    <w:rsid w:val="0090679C"/>
    <w:rsid w:val="00906C37"/>
    <w:rsid w:val="009107BF"/>
    <w:rsid w:val="009157EE"/>
    <w:rsid w:val="009201F5"/>
    <w:rsid w:val="00922795"/>
    <w:rsid w:val="00927479"/>
    <w:rsid w:val="009333C0"/>
    <w:rsid w:val="009336E2"/>
    <w:rsid w:val="0093450E"/>
    <w:rsid w:val="00934F69"/>
    <w:rsid w:val="00936001"/>
    <w:rsid w:val="0094079D"/>
    <w:rsid w:val="00957C74"/>
    <w:rsid w:val="00962A7C"/>
    <w:rsid w:val="00963FCB"/>
    <w:rsid w:val="00965EE3"/>
    <w:rsid w:val="00976AA0"/>
    <w:rsid w:val="00976D14"/>
    <w:rsid w:val="009860B0"/>
    <w:rsid w:val="00993A19"/>
    <w:rsid w:val="0099761C"/>
    <w:rsid w:val="00997FF2"/>
    <w:rsid w:val="009A0D9C"/>
    <w:rsid w:val="009A17DE"/>
    <w:rsid w:val="009A35BA"/>
    <w:rsid w:val="009B76A0"/>
    <w:rsid w:val="009C39A4"/>
    <w:rsid w:val="009C3E85"/>
    <w:rsid w:val="009C43A1"/>
    <w:rsid w:val="009D1EBC"/>
    <w:rsid w:val="009D2545"/>
    <w:rsid w:val="009D73E7"/>
    <w:rsid w:val="009E14BB"/>
    <w:rsid w:val="009F1168"/>
    <w:rsid w:val="009F164D"/>
    <w:rsid w:val="009F57D8"/>
    <w:rsid w:val="00A00C41"/>
    <w:rsid w:val="00A040EA"/>
    <w:rsid w:val="00A143DA"/>
    <w:rsid w:val="00A16987"/>
    <w:rsid w:val="00A17328"/>
    <w:rsid w:val="00A22060"/>
    <w:rsid w:val="00A230E0"/>
    <w:rsid w:val="00A25F7A"/>
    <w:rsid w:val="00A30C6F"/>
    <w:rsid w:val="00A34923"/>
    <w:rsid w:val="00A36478"/>
    <w:rsid w:val="00A45D40"/>
    <w:rsid w:val="00A470E5"/>
    <w:rsid w:val="00A476DA"/>
    <w:rsid w:val="00A52374"/>
    <w:rsid w:val="00A54749"/>
    <w:rsid w:val="00A55EE3"/>
    <w:rsid w:val="00A566A9"/>
    <w:rsid w:val="00A6394D"/>
    <w:rsid w:val="00A64BA7"/>
    <w:rsid w:val="00A6581A"/>
    <w:rsid w:val="00A65855"/>
    <w:rsid w:val="00A65C16"/>
    <w:rsid w:val="00A65E18"/>
    <w:rsid w:val="00A71841"/>
    <w:rsid w:val="00A74115"/>
    <w:rsid w:val="00A91199"/>
    <w:rsid w:val="00A92A02"/>
    <w:rsid w:val="00A9629E"/>
    <w:rsid w:val="00A9703B"/>
    <w:rsid w:val="00AA223C"/>
    <w:rsid w:val="00AA3A59"/>
    <w:rsid w:val="00AB2BD9"/>
    <w:rsid w:val="00AC02C5"/>
    <w:rsid w:val="00AC176F"/>
    <w:rsid w:val="00AC1EBB"/>
    <w:rsid w:val="00AC2C4F"/>
    <w:rsid w:val="00AC30CB"/>
    <w:rsid w:val="00AC4269"/>
    <w:rsid w:val="00AD39DB"/>
    <w:rsid w:val="00AD7747"/>
    <w:rsid w:val="00AE0876"/>
    <w:rsid w:val="00AE40A7"/>
    <w:rsid w:val="00AF41F5"/>
    <w:rsid w:val="00AF44B0"/>
    <w:rsid w:val="00AF5626"/>
    <w:rsid w:val="00AF7919"/>
    <w:rsid w:val="00B02FD5"/>
    <w:rsid w:val="00B04DD6"/>
    <w:rsid w:val="00B052A7"/>
    <w:rsid w:val="00B05905"/>
    <w:rsid w:val="00B27B3F"/>
    <w:rsid w:val="00B3301C"/>
    <w:rsid w:val="00B34F65"/>
    <w:rsid w:val="00B3613B"/>
    <w:rsid w:val="00B37694"/>
    <w:rsid w:val="00B427A3"/>
    <w:rsid w:val="00B429C9"/>
    <w:rsid w:val="00B4482D"/>
    <w:rsid w:val="00B44AAF"/>
    <w:rsid w:val="00B464DE"/>
    <w:rsid w:val="00B577F0"/>
    <w:rsid w:val="00B608B3"/>
    <w:rsid w:val="00B61018"/>
    <w:rsid w:val="00B62943"/>
    <w:rsid w:val="00B6467E"/>
    <w:rsid w:val="00B66BF4"/>
    <w:rsid w:val="00B70103"/>
    <w:rsid w:val="00B701CE"/>
    <w:rsid w:val="00B70849"/>
    <w:rsid w:val="00B7225F"/>
    <w:rsid w:val="00B72CFD"/>
    <w:rsid w:val="00B72D3C"/>
    <w:rsid w:val="00B73677"/>
    <w:rsid w:val="00B76C04"/>
    <w:rsid w:val="00B92B15"/>
    <w:rsid w:val="00B93015"/>
    <w:rsid w:val="00B931D2"/>
    <w:rsid w:val="00B95067"/>
    <w:rsid w:val="00B96C7A"/>
    <w:rsid w:val="00BA1C8A"/>
    <w:rsid w:val="00BA49EA"/>
    <w:rsid w:val="00BA784F"/>
    <w:rsid w:val="00BB2D22"/>
    <w:rsid w:val="00BB799B"/>
    <w:rsid w:val="00BC3E9E"/>
    <w:rsid w:val="00BD4338"/>
    <w:rsid w:val="00BD65F4"/>
    <w:rsid w:val="00BD6AED"/>
    <w:rsid w:val="00BD759B"/>
    <w:rsid w:val="00BE21ED"/>
    <w:rsid w:val="00BE2FB3"/>
    <w:rsid w:val="00BE5F9E"/>
    <w:rsid w:val="00BE6A0D"/>
    <w:rsid w:val="00BE70B5"/>
    <w:rsid w:val="00BE79D1"/>
    <w:rsid w:val="00C14AA2"/>
    <w:rsid w:val="00C16AA0"/>
    <w:rsid w:val="00C201B9"/>
    <w:rsid w:val="00C20909"/>
    <w:rsid w:val="00C220C7"/>
    <w:rsid w:val="00C32013"/>
    <w:rsid w:val="00C330C4"/>
    <w:rsid w:val="00C33C0F"/>
    <w:rsid w:val="00C34119"/>
    <w:rsid w:val="00C42B0F"/>
    <w:rsid w:val="00C51F1B"/>
    <w:rsid w:val="00C53158"/>
    <w:rsid w:val="00C54F63"/>
    <w:rsid w:val="00C57CF6"/>
    <w:rsid w:val="00C75D84"/>
    <w:rsid w:val="00C75FBA"/>
    <w:rsid w:val="00C777BC"/>
    <w:rsid w:val="00C81325"/>
    <w:rsid w:val="00C818B9"/>
    <w:rsid w:val="00C82CEA"/>
    <w:rsid w:val="00C83443"/>
    <w:rsid w:val="00C944BA"/>
    <w:rsid w:val="00C955ED"/>
    <w:rsid w:val="00C967CA"/>
    <w:rsid w:val="00CA04B2"/>
    <w:rsid w:val="00CA7F12"/>
    <w:rsid w:val="00CB2BC9"/>
    <w:rsid w:val="00CB3487"/>
    <w:rsid w:val="00CC1B94"/>
    <w:rsid w:val="00CC518B"/>
    <w:rsid w:val="00CD03E6"/>
    <w:rsid w:val="00CD317C"/>
    <w:rsid w:val="00CD79AB"/>
    <w:rsid w:val="00CE5BA3"/>
    <w:rsid w:val="00CE741E"/>
    <w:rsid w:val="00CE74BD"/>
    <w:rsid w:val="00CF311D"/>
    <w:rsid w:val="00D033CD"/>
    <w:rsid w:val="00D13160"/>
    <w:rsid w:val="00D2168F"/>
    <w:rsid w:val="00D22FCA"/>
    <w:rsid w:val="00D24212"/>
    <w:rsid w:val="00D27003"/>
    <w:rsid w:val="00D274F8"/>
    <w:rsid w:val="00D308EB"/>
    <w:rsid w:val="00D3103C"/>
    <w:rsid w:val="00D31A61"/>
    <w:rsid w:val="00D32C4E"/>
    <w:rsid w:val="00D407ED"/>
    <w:rsid w:val="00D41F6F"/>
    <w:rsid w:val="00D50584"/>
    <w:rsid w:val="00D53884"/>
    <w:rsid w:val="00D564E5"/>
    <w:rsid w:val="00D6095B"/>
    <w:rsid w:val="00D6261F"/>
    <w:rsid w:val="00D70E73"/>
    <w:rsid w:val="00D71DD6"/>
    <w:rsid w:val="00D7492D"/>
    <w:rsid w:val="00D81FEE"/>
    <w:rsid w:val="00D823E5"/>
    <w:rsid w:val="00D85ACA"/>
    <w:rsid w:val="00D929AC"/>
    <w:rsid w:val="00D93551"/>
    <w:rsid w:val="00D93D22"/>
    <w:rsid w:val="00D958EB"/>
    <w:rsid w:val="00DA25D9"/>
    <w:rsid w:val="00DA512C"/>
    <w:rsid w:val="00DA575D"/>
    <w:rsid w:val="00DA58EC"/>
    <w:rsid w:val="00DB0561"/>
    <w:rsid w:val="00DB0691"/>
    <w:rsid w:val="00DB087C"/>
    <w:rsid w:val="00DB128B"/>
    <w:rsid w:val="00DB2A38"/>
    <w:rsid w:val="00DB33E9"/>
    <w:rsid w:val="00DB3FD7"/>
    <w:rsid w:val="00DB53F6"/>
    <w:rsid w:val="00DB550F"/>
    <w:rsid w:val="00DC148B"/>
    <w:rsid w:val="00DC30EB"/>
    <w:rsid w:val="00DC3661"/>
    <w:rsid w:val="00DC4A84"/>
    <w:rsid w:val="00DC5831"/>
    <w:rsid w:val="00DD3A3A"/>
    <w:rsid w:val="00DE10C8"/>
    <w:rsid w:val="00DE1B5F"/>
    <w:rsid w:val="00DE2CCA"/>
    <w:rsid w:val="00DE468D"/>
    <w:rsid w:val="00DF10E8"/>
    <w:rsid w:val="00DF4B7F"/>
    <w:rsid w:val="00E003A0"/>
    <w:rsid w:val="00E00E36"/>
    <w:rsid w:val="00E02403"/>
    <w:rsid w:val="00E04656"/>
    <w:rsid w:val="00E05C42"/>
    <w:rsid w:val="00E13962"/>
    <w:rsid w:val="00E20F25"/>
    <w:rsid w:val="00E263B1"/>
    <w:rsid w:val="00E313A5"/>
    <w:rsid w:val="00E400BF"/>
    <w:rsid w:val="00E40CB2"/>
    <w:rsid w:val="00E44EA9"/>
    <w:rsid w:val="00E455B9"/>
    <w:rsid w:val="00E474E5"/>
    <w:rsid w:val="00E51505"/>
    <w:rsid w:val="00E55BFA"/>
    <w:rsid w:val="00E625FA"/>
    <w:rsid w:val="00E74823"/>
    <w:rsid w:val="00E74B5D"/>
    <w:rsid w:val="00E75F82"/>
    <w:rsid w:val="00E810ED"/>
    <w:rsid w:val="00E815F3"/>
    <w:rsid w:val="00E82713"/>
    <w:rsid w:val="00E83B63"/>
    <w:rsid w:val="00E8639B"/>
    <w:rsid w:val="00E90C21"/>
    <w:rsid w:val="00E91292"/>
    <w:rsid w:val="00EA4E4C"/>
    <w:rsid w:val="00EB4230"/>
    <w:rsid w:val="00EB6254"/>
    <w:rsid w:val="00EB6910"/>
    <w:rsid w:val="00EB6A49"/>
    <w:rsid w:val="00EC1619"/>
    <w:rsid w:val="00EC1D5D"/>
    <w:rsid w:val="00EC5764"/>
    <w:rsid w:val="00EC58CE"/>
    <w:rsid w:val="00EC7B9C"/>
    <w:rsid w:val="00EC7C84"/>
    <w:rsid w:val="00ED08AE"/>
    <w:rsid w:val="00ED2B2D"/>
    <w:rsid w:val="00EE4297"/>
    <w:rsid w:val="00EF1DBA"/>
    <w:rsid w:val="00EF22C7"/>
    <w:rsid w:val="00EF277F"/>
    <w:rsid w:val="00F00B6F"/>
    <w:rsid w:val="00F00B7B"/>
    <w:rsid w:val="00F06628"/>
    <w:rsid w:val="00F20AA2"/>
    <w:rsid w:val="00F21980"/>
    <w:rsid w:val="00F219EB"/>
    <w:rsid w:val="00F231D8"/>
    <w:rsid w:val="00F239DF"/>
    <w:rsid w:val="00F25582"/>
    <w:rsid w:val="00F26DDE"/>
    <w:rsid w:val="00F366AD"/>
    <w:rsid w:val="00F46284"/>
    <w:rsid w:val="00F5141D"/>
    <w:rsid w:val="00F520F6"/>
    <w:rsid w:val="00F52B2D"/>
    <w:rsid w:val="00F52EE9"/>
    <w:rsid w:val="00F53092"/>
    <w:rsid w:val="00F53BD1"/>
    <w:rsid w:val="00F771DF"/>
    <w:rsid w:val="00F77723"/>
    <w:rsid w:val="00F77A78"/>
    <w:rsid w:val="00F80A60"/>
    <w:rsid w:val="00F84D50"/>
    <w:rsid w:val="00F86D9E"/>
    <w:rsid w:val="00F87543"/>
    <w:rsid w:val="00F9166C"/>
    <w:rsid w:val="00F91914"/>
    <w:rsid w:val="00F928A1"/>
    <w:rsid w:val="00F929E2"/>
    <w:rsid w:val="00F95312"/>
    <w:rsid w:val="00F96933"/>
    <w:rsid w:val="00FA09FB"/>
    <w:rsid w:val="00FB0A10"/>
    <w:rsid w:val="00FB0F79"/>
    <w:rsid w:val="00FB51D5"/>
    <w:rsid w:val="00FC3AF4"/>
    <w:rsid w:val="00FD11C0"/>
    <w:rsid w:val="00FD2443"/>
    <w:rsid w:val="00FE66BE"/>
    <w:rsid w:val="00FE696C"/>
    <w:rsid w:val="00FE6A28"/>
    <w:rsid w:val="00FF1740"/>
    <w:rsid w:val="00FF1DAF"/>
    <w:rsid w:val="00FF3CCD"/>
    <w:rsid w:val="00FF7411"/>
    <w:rsid w:val="00FF7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CC08"/>
  <w15:chartTrackingRefBased/>
  <w15:docId w15:val="{34A044EC-3B55-4E1A-A1FE-5EE7496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90B"/>
  </w:style>
  <w:style w:type="paragraph" w:styleId="Heading1">
    <w:name w:val="heading 1"/>
    <w:basedOn w:val="Normal"/>
    <w:next w:val="Normal"/>
    <w:link w:val="Heading1Char"/>
    <w:qFormat/>
    <w:rsid w:val="00210AF6"/>
    <w:pPr>
      <w:keepNext/>
      <w:widowControl w:val="0"/>
      <w:tabs>
        <w:tab w:val="left" w:pos="-374"/>
      </w:tabs>
      <w:autoSpaceDE w:val="0"/>
      <w:autoSpaceDN w:val="0"/>
      <w:adjustRightInd w:val="0"/>
      <w:spacing w:after="0" w:line="240" w:lineRule="auto"/>
      <w:ind w:firstLine="720"/>
      <w:jc w:val="both"/>
      <w:outlineLvl w:val="0"/>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DC"/>
  </w:style>
  <w:style w:type="character" w:styleId="PageNumber">
    <w:name w:val="page number"/>
    <w:basedOn w:val="DefaultParagraphFont"/>
    <w:rsid w:val="000A2ADC"/>
  </w:style>
  <w:style w:type="table" w:customStyle="1" w:styleId="TableGrid4">
    <w:name w:val="Table Grid4"/>
    <w:basedOn w:val="TableNormal"/>
    <w:next w:val="TableGrid"/>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74"/>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列出段落"/>
    <w:basedOn w:val="Normal"/>
    <w:link w:val="ListParagraphChar"/>
    <w:uiPriority w:val="34"/>
    <w:qFormat/>
    <w:rsid w:val="00210AF6"/>
    <w:pPr>
      <w:spacing w:after="0" w:line="240" w:lineRule="auto"/>
      <w:ind w:left="720"/>
      <w:contextualSpacing/>
    </w:pPr>
    <w:rPr>
      <w:rFonts w:ascii="Times New Roman" w:hAnsi="Times New Roman" w:cs="Times New Roman"/>
      <w:sz w:val="24"/>
      <w:szCs w:val="24"/>
      <w:lang w:eastAsia="en-GB"/>
    </w:rPr>
  </w:style>
  <w:style w:type="character" w:customStyle="1" w:styleId="Heading1Char">
    <w:name w:val="Heading 1 Char"/>
    <w:basedOn w:val="DefaultParagraphFont"/>
    <w:link w:val="Heading1"/>
    <w:rsid w:val="00210AF6"/>
    <w:rPr>
      <w:rFonts w:ascii="Verdana" w:eastAsia="Times New Roman" w:hAnsi="Verdana" w:cs="Times New Roman"/>
      <w:b/>
      <w:bCs/>
      <w:sz w:val="24"/>
      <w:szCs w:val="24"/>
    </w:rPr>
  </w:style>
  <w:style w:type="paragraph" w:customStyle="1" w:styleId="null">
    <w:name w:val="null"/>
    <w:basedOn w:val="Normal"/>
    <w:rsid w:val="00210AF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ull1">
    <w:name w:val="null1"/>
    <w:basedOn w:val="DefaultParagraphFont"/>
    <w:rsid w:val="00210AF6"/>
  </w:style>
  <w:style w:type="character" w:styleId="Hyperlink">
    <w:name w:val="Hyperlink"/>
    <w:basedOn w:val="DefaultParagraphFont"/>
    <w:uiPriority w:val="99"/>
    <w:unhideWhenUsed/>
    <w:rsid w:val="00210AF6"/>
    <w:rPr>
      <w:color w:val="0000FF" w:themeColor="hyperlink"/>
      <w:u w:val="single"/>
    </w:rPr>
  </w:style>
  <w:style w:type="paragraph" w:customStyle="1" w:styleId="Default">
    <w:name w:val="Default"/>
    <w:rsid w:val="00F520F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31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A61"/>
    <w:rPr>
      <w:rFonts w:ascii="Segoe UI" w:hAnsi="Segoe UI" w:cs="Segoe UI"/>
      <w:sz w:val="18"/>
      <w:szCs w:val="18"/>
    </w:rPr>
  </w:style>
  <w:style w:type="character" w:styleId="CommentReference">
    <w:name w:val="annotation reference"/>
    <w:basedOn w:val="DefaultParagraphFont"/>
    <w:uiPriority w:val="99"/>
    <w:semiHidden/>
    <w:unhideWhenUsed/>
    <w:rsid w:val="009C43A1"/>
    <w:rPr>
      <w:sz w:val="16"/>
      <w:szCs w:val="16"/>
    </w:rPr>
  </w:style>
  <w:style w:type="paragraph" w:styleId="CommentText">
    <w:name w:val="annotation text"/>
    <w:basedOn w:val="Normal"/>
    <w:link w:val="CommentTextChar"/>
    <w:uiPriority w:val="99"/>
    <w:unhideWhenUsed/>
    <w:rsid w:val="009C43A1"/>
    <w:pPr>
      <w:spacing w:line="240" w:lineRule="auto"/>
    </w:pPr>
    <w:rPr>
      <w:sz w:val="20"/>
      <w:szCs w:val="20"/>
    </w:rPr>
  </w:style>
  <w:style w:type="character" w:customStyle="1" w:styleId="CommentTextChar">
    <w:name w:val="Comment Text Char"/>
    <w:basedOn w:val="DefaultParagraphFont"/>
    <w:link w:val="CommentText"/>
    <w:uiPriority w:val="99"/>
    <w:rsid w:val="009C43A1"/>
    <w:rPr>
      <w:sz w:val="20"/>
      <w:szCs w:val="20"/>
    </w:rPr>
  </w:style>
  <w:style w:type="paragraph" w:styleId="CommentSubject">
    <w:name w:val="annotation subject"/>
    <w:basedOn w:val="CommentText"/>
    <w:next w:val="CommentText"/>
    <w:link w:val="CommentSubjectChar"/>
    <w:uiPriority w:val="99"/>
    <w:semiHidden/>
    <w:unhideWhenUsed/>
    <w:rsid w:val="009C43A1"/>
    <w:rPr>
      <w:b/>
      <w:bCs/>
    </w:rPr>
  </w:style>
  <w:style w:type="character" w:customStyle="1" w:styleId="CommentSubjectChar">
    <w:name w:val="Comment Subject Char"/>
    <w:basedOn w:val="CommentTextChar"/>
    <w:link w:val="CommentSubject"/>
    <w:uiPriority w:val="99"/>
    <w:semiHidden/>
    <w:rsid w:val="009C43A1"/>
    <w:rPr>
      <w:b/>
      <w:bCs/>
      <w:sz w:val="20"/>
      <w:szCs w:val="20"/>
    </w:rPr>
  </w:style>
  <w:style w:type="paragraph" w:styleId="Revision">
    <w:name w:val="Revision"/>
    <w:hidden/>
    <w:uiPriority w:val="99"/>
    <w:semiHidden/>
    <w:rsid w:val="006B680F"/>
    <w:pPr>
      <w:spacing w:after="0" w:line="240" w:lineRule="auto"/>
    </w:p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865434"/>
    <w:rPr>
      <w:rFonts w:ascii="Times New Roman" w:hAnsi="Times New Roman" w:cs="Times New Roman"/>
      <w:sz w:val="24"/>
      <w:szCs w:val="24"/>
      <w:lang w:eastAsia="en-GB"/>
    </w:rPr>
  </w:style>
  <w:style w:type="paragraph" w:styleId="NormalWeb">
    <w:name w:val="Normal (Web)"/>
    <w:basedOn w:val="Normal"/>
    <w:uiPriority w:val="99"/>
    <w:unhideWhenUsed/>
    <w:rsid w:val="00F953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3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026">
      <w:bodyDiv w:val="1"/>
      <w:marLeft w:val="0"/>
      <w:marRight w:val="0"/>
      <w:marTop w:val="0"/>
      <w:marBottom w:val="0"/>
      <w:divBdr>
        <w:top w:val="none" w:sz="0" w:space="0" w:color="auto"/>
        <w:left w:val="none" w:sz="0" w:space="0" w:color="auto"/>
        <w:bottom w:val="none" w:sz="0" w:space="0" w:color="auto"/>
        <w:right w:val="none" w:sz="0" w:space="0" w:color="auto"/>
      </w:divBdr>
    </w:div>
    <w:div w:id="9332761">
      <w:bodyDiv w:val="1"/>
      <w:marLeft w:val="0"/>
      <w:marRight w:val="0"/>
      <w:marTop w:val="0"/>
      <w:marBottom w:val="0"/>
      <w:divBdr>
        <w:top w:val="none" w:sz="0" w:space="0" w:color="auto"/>
        <w:left w:val="none" w:sz="0" w:space="0" w:color="auto"/>
        <w:bottom w:val="none" w:sz="0" w:space="0" w:color="auto"/>
        <w:right w:val="none" w:sz="0" w:space="0" w:color="auto"/>
      </w:divBdr>
    </w:div>
    <w:div w:id="25105052">
      <w:bodyDiv w:val="1"/>
      <w:marLeft w:val="0"/>
      <w:marRight w:val="0"/>
      <w:marTop w:val="0"/>
      <w:marBottom w:val="0"/>
      <w:divBdr>
        <w:top w:val="none" w:sz="0" w:space="0" w:color="auto"/>
        <w:left w:val="none" w:sz="0" w:space="0" w:color="auto"/>
        <w:bottom w:val="none" w:sz="0" w:space="0" w:color="auto"/>
        <w:right w:val="none" w:sz="0" w:space="0" w:color="auto"/>
      </w:divBdr>
    </w:div>
    <w:div w:id="26299715">
      <w:bodyDiv w:val="1"/>
      <w:marLeft w:val="0"/>
      <w:marRight w:val="0"/>
      <w:marTop w:val="0"/>
      <w:marBottom w:val="0"/>
      <w:divBdr>
        <w:top w:val="none" w:sz="0" w:space="0" w:color="auto"/>
        <w:left w:val="none" w:sz="0" w:space="0" w:color="auto"/>
        <w:bottom w:val="none" w:sz="0" w:space="0" w:color="auto"/>
        <w:right w:val="none" w:sz="0" w:space="0" w:color="auto"/>
      </w:divBdr>
    </w:div>
    <w:div w:id="99449421">
      <w:bodyDiv w:val="1"/>
      <w:marLeft w:val="0"/>
      <w:marRight w:val="0"/>
      <w:marTop w:val="0"/>
      <w:marBottom w:val="0"/>
      <w:divBdr>
        <w:top w:val="none" w:sz="0" w:space="0" w:color="auto"/>
        <w:left w:val="none" w:sz="0" w:space="0" w:color="auto"/>
        <w:bottom w:val="none" w:sz="0" w:space="0" w:color="auto"/>
        <w:right w:val="none" w:sz="0" w:space="0" w:color="auto"/>
      </w:divBdr>
    </w:div>
    <w:div w:id="174536305">
      <w:bodyDiv w:val="1"/>
      <w:marLeft w:val="0"/>
      <w:marRight w:val="0"/>
      <w:marTop w:val="0"/>
      <w:marBottom w:val="0"/>
      <w:divBdr>
        <w:top w:val="none" w:sz="0" w:space="0" w:color="auto"/>
        <w:left w:val="none" w:sz="0" w:space="0" w:color="auto"/>
        <w:bottom w:val="none" w:sz="0" w:space="0" w:color="auto"/>
        <w:right w:val="none" w:sz="0" w:space="0" w:color="auto"/>
      </w:divBdr>
    </w:div>
    <w:div w:id="176357600">
      <w:bodyDiv w:val="1"/>
      <w:marLeft w:val="0"/>
      <w:marRight w:val="0"/>
      <w:marTop w:val="0"/>
      <w:marBottom w:val="0"/>
      <w:divBdr>
        <w:top w:val="none" w:sz="0" w:space="0" w:color="auto"/>
        <w:left w:val="none" w:sz="0" w:space="0" w:color="auto"/>
        <w:bottom w:val="none" w:sz="0" w:space="0" w:color="auto"/>
        <w:right w:val="none" w:sz="0" w:space="0" w:color="auto"/>
      </w:divBdr>
    </w:div>
    <w:div w:id="194539451">
      <w:bodyDiv w:val="1"/>
      <w:marLeft w:val="0"/>
      <w:marRight w:val="0"/>
      <w:marTop w:val="0"/>
      <w:marBottom w:val="0"/>
      <w:divBdr>
        <w:top w:val="none" w:sz="0" w:space="0" w:color="auto"/>
        <w:left w:val="none" w:sz="0" w:space="0" w:color="auto"/>
        <w:bottom w:val="none" w:sz="0" w:space="0" w:color="auto"/>
        <w:right w:val="none" w:sz="0" w:space="0" w:color="auto"/>
      </w:divBdr>
    </w:div>
    <w:div w:id="195822855">
      <w:bodyDiv w:val="1"/>
      <w:marLeft w:val="0"/>
      <w:marRight w:val="0"/>
      <w:marTop w:val="0"/>
      <w:marBottom w:val="0"/>
      <w:divBdr>
        <w:top w:val="none" w:sz="0" w:space="0" w:color="auto"/>
        <w:left w:val="none" w:sz="0" w:space="0" w:color="auto"/>
        <w:bottom w:val="none" w:sz="0" w:space="0" w:color="auto"/>
        <w:right w:val="none" w:sz="0" w:space="0" w:color="auto"/>
      </w:divBdr>
    </w:div>
    <w:div w:id="202137728">
      <w:bodyDiv w:val="1"/>
      <w:marLeft w:val="0"/>
      <w:marRight w:val="0"/>
      <w:marTop w:val="0"/>
      <w:marBottom w:val="0"/>
      <w:divBdr>
        <w:top w:val="none" w:sz="0" w:space="0" w:color="auto"/>
        <w:left w:val="none" w:sz="0" w:space="0" w:color="auto"/>
        <w:bottom w:val="none" w:sz="0" w:space="0" w:color="auto"/>
        <w:right w:val="none" w:sz="0" w:space="0" w:color="auto"/>
      </w:divBdr>
    </w:div>
    <w:div w:id="203060616">
      <w:bodyDiv w:val="1"/>
      <w:marLeft w:val="0"/>
      <w:marRight w:val="0"/>
      <w:marTop w:val="0"/>
      <w:marBottom w:val="0"/>
      <w:divBdr>
        <w:top w:val="none" w:sz="0" w:space="0" w:color="auto"/>
        <w:left w:val="none" w:sz="0" w:space="0" w:color="auto"/>
        <w:bottom w:val="none" w:sz="0" w:space="0" w:color="auto"/>
        <w:right w:val="none" w:sz="0" w:space="0" w:color="auto"/>
      </w:divBdr>
    </w:div>
    <w:div w:id="209343336">
      <w:bodyDiv w:val="1"/>
      <w:marLeft w:val="0"/>
      <w:marRight w:val="0"/>
      <w:marTop w:val="0"/>
      <w:marBottom w:val="0"/>
      <w:divBdr>
        <w:top w:val="none" w:sz="0" w:space="0" w:color="auto"/>
        <w:left w:val="none" w:sz="0" w:space="0" w:color="auto"/>
        <w:bottom w:val="none" w:sz="0" w:space="0" w:color="auto"/>
        <w:right w:val="none" w:sz="0" w:space="0" w:color="auto"/>
      </w:divBdr>
    </w:div>
    <w:div w:id="234899785">
      <w:bodyDiv w:val="1"/>
      <w:marLeft w:val="0"/>
      <w:marRight w:val="0"/>
      <w:marTop w:val="0"/>
      <w:marBottom w:val="0"/>
      <w:divBdr>
        <w:top w:val="none" w:sz="0" w:space="0" w:color="auto"/>
        <w:left w:val="none" w:sz="0" w:space="0" w:color="auto"/>
        <w:bottom w:val="none" w:sz="0" w:space="0" w:color="auto"/>
        <w:right w:val="none" w:sz="0" w:space="0" w:color="auto"/>
      </w:divBdr>
    </w:div>
    <w:div w:id="248657254">
      <w:bodyDiv w:val="1"/>
      <w:marLeft w:val="0"/>
      <w:marRight w:val="0"/>
      <w:marTop w:val="0"/>
      <w:marBottom w:val="0"/>
      <w:divBdr>
        <w:top w:val="none" w:sz="0" w:space="0" w:color="auto"/>
        <w:left w:val="none" w:sz="0" w:space="0" w:color="auto"/>
        <w:bottom w:val="none" w:sz="0" w:space="0" w:color="auto"/>
        <w:right w:val="none" w:sz="0" w:space="0" w:color="auto"/>
      </w:divBdr>
    </w:div>
    <w:div w:id="269511065">
      <w:bodyDiv w:val="1"/>
      <w:marLeft w:val="0"/>
      <w:marRight w:val="0"/>
      <w:marTop w:val="0"/>
      <w:marBottom w:val="0"/>
      <w:divBdr>
        <w:top w:val="none" w:sz="0" w:space="0" w:color="auto"/>
        <w:left w:val="none" w:sz="0" w:space="0" w:color="auto"/>
        <w:bottom w:val="none" w:sz="0" w:space="0" w:color="auto"/>
        <w:right w:val="none" w:sz="0" w:space="0" w:color="auto"/>
      </w:divBdr>
    </w:div>
    <w:div w:id="297761373">
      <w:bodyDiv w:val="1"/>
      <w:marLeft w:val="0"/>
      <w:marRight w:val="0"/>
      <w:marTop w:val="0"/>
      <w:marBottom w:val="0"/>
      <w:divBdr>
        <w:top w:val="none" w:sz="0" w:space="0" w:color="auto"/>
        <w:left w:val="none" w:sz="0" w:space="0" w:color="auto"/>
        <w:bottom w:val="none" w:sz="0" w:space="0" w:color="auto"/>
        <w:right w:val="none" w:sz="0" w:space="0" w:color="auto"/>
      </w:divBdr>
    </w:div>
    <w:div w:id="313145201">
      <w:bodyDiv w:val="1"/>
      <w:marLeft w:val="0"/>
      <w:marRight w:val="0"/>
      <w:marTop w:val="0"/>
      <w:marBottom w:val="0"/>
      <w:divBdr>
        <w:top w:val="none" w:sz="0" w:space="0" w:color="auto"/>
        <w:left w:val="none" w:sz="0" w:space="0" w:color="auto"/>
        <w:bottom w:val="none" w:sz="0" w:space="0" w:color="auto"/>
        <w:right w:val="none" w:sz="0" w:space="0" w:color="auto"/>
      </w:divBdr>
    </w:div>
    <w:div w:id="323583045">
      <w:bodyDiv w:val="1"/>
      <w:marLeft w:val="0"/>
      <w:marRight w:val="0"/>
      <w:marTop w:val="0"/>
      <w:marBottom w:val="0"/>
      <w:divBdr>
        <w:top w:val="none" w:sz="0" w:space="0" w:color="auto"/>
        <w:left w:val="none" w:sz="0" w:space="0" w:color="auto"/>
        <w:bottom w:val="none" w:sz="0" w:space="0" w:color="auto"/>
        <w:right w:val="none" w:sz="0" w:space="0" w:color="auto"/>
      </w:divBdr>
    </w:div>
    <w:div w:id="337663463">
      <w:bodyDiv w:val="1"/>
      <w:marLeft w:val="0"/>
      <w:marRight w:val="0"/>
      <w:marTop w:val="0"/>
      <w:marBottom w:val="0"/>
      <w:divBdr>
        <w:top w:val="none" w:sz="0" w:space="0" w:color="auto"/>
        <w:left w:val="none" w:sz="0" w:space="0" w:color="auto"/>
        <w:bottom w:val="none" w:sz="0" w:space="0" w:color="auto"/>
        <w:right w:val="none" w:sz="0" w:space="0" w:color="auto"/>
      </w:divBdr>
    </w:div>
    <w:div w:id="351567815">
      <w:bodyDiv w:val="1"/>
      <w:marLeft w:val="0"/>
      <w:marRight w:val="0"/>
      <w:marTop w:val="0"/>
      <w:marBottom w:val="0"/>
      <w:divBdr>
        <w:top w:val="none" w:sz="0" w:space="0" w:color="auto"/>
        <w:left w:val="none" w:sz="0" w:space="0" w:color="auto"/>
        <w:bottom w:val="none" w:sz="0" w:space="0" w:color="auto"/>
        <w:right w:val="none" w:sz="0" w:space="0" w:color="auto"/>
      </w:divBdr>
    </w:div>
    <w:div w:id="372271770">
      <w:bodyDiv w:val="1"/>
      <w:marLeft w:val="0"/>
      <w:marRight w:val="0"/>
      <w:marTop w:val="0"/>
      <w:marBottom w:val="0"/>
      <w:divBdr>
        <w:top w:val="none" w:sz="0" w:space="0" w:color="auto"/>
        <w:left w:val="none" w:sz="0" w:space="0" w:color="auto"/>
        <w:bottom w:val="none" w:sz="0" w:space="0" w:color="auto"/>
        <w:right w:val="none" w:sz="0" w:space="0" w:color="auto"/>
      </w:divBdr>
    </w:div>
    <w:div w:id="395130603">
      <w:bodyDiv w:val="1"/>
      <w:marLeft w:val="0"/>
      <w:marRight w:val="0"/>
      <w:marTop w:val="0"/>
      <w:marBottom w:val="0"/>
      <w:divBdr>
        <w:top w:val="none" w:sz="0" w:space="0" w:color="auto"/>
        <w:left w:val="none" w:sz="0" w:space="0" w:color="auto"/>
        <w:bottom w:val="none" w:sz="0" w:space="0" w:color="auto"/>
        <w:right w:val="none" w:sz="0" w:space="0" w:color="auto"/>
      </w:divBdr>
    </w:div>
    <w:div w:id="423721258">
      <w:bodyDiv w:val="1"/>
      <w:marLeft w:val="0"/>
      <w:marRight w:val="0"/>
      <w:marTop w:val="0"/>
      <w:marBottom w:val="0"/>
      <w:divBdr>
        <w:top w:val="none" w:sz="0" w:space="0" w:color="auto"/>
        <w:left w:val="none" w:sz="0" w:space="0" w:color="auto"/>
        <w:bottom w:val="none" w:sz="0" w:space="0" w:color="auto"/>
        <w:right w:val="none" w:sz="0" w:space="0" w:color="auto"/>
      </w:divBdr>
    </w:div>
    <w:div w:id="425154671">
      <w:bodyDiv w:val="1"/>
      <w:marLeft w:val="0"/>
      <w:marRight w:val="0"/>
      <w:marTop w:val="0"/>
      <w:marBottom w:val="0"/>
      <w:divBdr>
        <w:top w:val="none" w:sz="0" w:space="0" w:color="auto"/>
        <w:left w:val="none" w:sz="0" w:space="0" w:color="auto"/>
        <w:bottom w:val="none" w:sz="0" w:space="0" w:color="auto"/>
        <w:right w:val="none" w:sz="0" w:space="0" w:color="auto"/>
      </w:divBdr>
    </w:div>
    <w:div w:id="434518925">
      <w:bodyDiv w:val="1"/>
      <w:marLeft w:val="0"/>
      <w:marRight w:val="0"/>
      <w:marTop w:val="0"/>
      <w:marBottom w:val="0"/>
      <w:divBdr>
        <w:top w:val="none" w:sz="0" w:space="0" w:color="auto"/>
        <w:left w:val="none" w:sz="0" w:space="0" w:color="auto"/>
        <w:bottom w:val="none" w:sz="0" w:space="0" w:color="auto"/>
        <w:right w:val="none" w:sz="0" w:space="0" w:color="auto"/>
      </w:divBdr>
    </w:div>
    <w:div w:id="445319924">
      <w:bodyDiv w:val="1"/>
      <w:marLeft w:val="0"/>
      <w:marRight w:val="0"/>
      <w:marTop w:val="0"/>
      <w:marBottom w:val="0"/>
      <w:divBdr>
        <w:top w:val="none" w:sz="0" w:space="0" w:color="auto"/>
        <w:left w:val="none" w:sz="0" w:space="0" w:color="auto"/>
        <w:bottom w:val="none" w:sz="0" w:space="0" w:color="auto"/>
        <w:right w:val="none" w:sz="0" w:space="0" w:color="auto"/>
      </w:divBdr>
      <w:divsChild>
        <w:div w:id="1765421198">
          <w:marLeft w:val="446"/>
          <w:marRight w:val="0"/>
          <w:marTop w:val="200"/>
          <w:marBottom w:val="0"/>
          <w:divBdr>
            <w:top w:val="none" w:sz="0" w:space="0" w:color="auto"/>
            <w:left w:val="none" w:sz="0" w:space="0" w:color="auto"/>
            <w:bottom w:val="none" w:sz="0" w:space="0" w:color="auto"/>
            <w:right w:val="none" w:sz="0" w:space="0" w:color="auto"/>
          </w:divBdr>
        </w:div>
        <w:div w:id="635722988">
          <w:marLeft w:val="446"/>
          <w:marRight w:val="0"/>
          <w:marTop w:val="200"/>
          <w:marBottom w:val="0"/>
          <w:divBdr>
            <w:top w:val="none" w:sz="0" w:space="0" w:color="auto"/>
            <w:left w:val="none" w:sz="0" w:space="0" w:color="auto"/>
            <w:bottom w:val="none" w:sz="0" w:space="0" w:color="auto"/>
            <w:right w:val="none" w:sz="0" w:space="0" w:color="auto"/>
          </w:divBdr>
        </w:div>
        <w:div w:id="1863399419">
          <w:marLeft w:val="446"/>
          <w:marRight w:val="0"/>
          <w:marTop w:val="200"/>
          <w:marBottom w:val="0"/>
          <w:divBdr>
            <w:top w:val="none" w:sz="0" w:space="0" w:color="auto"/>
            <w:left w:val="none" w:sz="0" w:space="0" w:color="auto"/>
            <w:bottom w:val="none" w:sz="0" w:space="0" w:color="auto"/>
            <w:right w:val="none" w:sz="0" w:space="0" w:color="auto"/>
          </w:divBdr>
        </w:div>
        <w:div w:id="486214063">
          <w:marLeft w:val="446"/>
          <w:marRight w:val="0"/>
          <w:marTop w:val="200"/>
          <w:marBottom w:val="0"/>
          <w:divBdr>
            <w:top w:val="none" w:sz="0" w:space="0" w:color="auto"/>
            <w:left w:val="none" w:sz="0" w:space="0" w:color="auto"/>
            <w:bottom w:val="none" w:sz="0" w:space="0" w:color="auto"/>
            <w:right w:val="none" w:sz="0" w:space="0" w:color="auto"/>
          </w:divBdr>
        </w:div>
      </w:divsChild>
    </w:div>
    <w:div w:id="447044257">
      <w:bodyDiv w:val="1"/>
      <w:marLeft w:val="0"/>
      <w:marRight w:val="0"/>
      <w:marTop w:val="0"/>
      <w:marBottom w:val="0"/>
      <w:divBdr>
        <w:top w:val="none" w:sz="0" w:space="0" w:color="auto"/>
        <w:left w:val="none" w:sz="0" w:space="0" w:color="auto"/>
        <w:bottom w:val="none" w:sz="0" w:space="0" w:color="auto"/>
        <w:right w:val="none" w:sz="0" w:space="0" w:color="auto"/>
      </w:divBdr>
    </w:div>
    <w:div w:id="460422097">
      <w:bodyDiv w:val="1"/>
      <w:marLeft w:val="0"/>
      <w:marRight w:val="0"/>
      <w:marTop w:val="0"/>
      <w:marBottom w:val="0"/>
      <w:divBdr>
        <w:top w:val="none" w:sz="0" w:space="0" w:color="auto"/>
        <w:left w:val="none" w:sz="0" w:space="0" w:color="auto"/>
        <w:bottom w:val="none" w:sz="0" w:space="0" w:color="auto"/>
        <w:right w:val="none" w:sz="0" w:space="0" w:color="auto"/>
      </w:divBdr>
    </w:div>
    <w:div w:id="478501245">
      <w:bodyDiv w:val="1"/>
      <w:marLeft w:val="0"/>
      <w:marRight w:val="0"/>
      <w:marTop w:val="0"/>
      <w:marBottom w:val="0"/>
      <w:divBdr>
        <w:top w:val="none" w:sz="0" w:space="0" w:color="auto"/>
        <w:left w:val="none" w:sz="0" w:space="0" w:color="auto"/>
        <w:bottom w:val="none" w:sz="0" w:space="0" w:color="auto"/>
        <w:right w:val="none" w:sz="0" w:space="0" w:color="auto"/>
      </w:divBdr>
    </w:div>
    <w:div w:id="484782783">
      <w:bodyDiv w:val="1"/>
      <w:marLeft w:val="0"/>
      <w:marRight w:val="0"/>
      <w:marTop w:val="0"/>
      <w:marBottom w:val="0"/>
      <w:divBdr>
        <w:top w:val="none" w:sz="0" w:space="0" w:color="auto"/>
        <w:left w:val="none" w:sz="0" w:space="0" w:color="auto"/>
        <w:bottom w:val="none" w:sz="0" w:space="0" w:color="auto"/>
        <w:right w:val="none" w:sz="0" w:space="0" w:color="auto"/>
      </w:divBdr>
    </w:div>
    <w:div w:id="491062616">
      <w:bodyDiv w:val="1"/>
      <w:marLeft w:val="0"/>
      <w:marRight w:val="0"/>
      <w:marTop w:val="0"/>
      <w:marBottom w:val="0"/>
      <w:divBdr>
        <w:top w:val="none" w:sz="0" w:space="0" w:color="auto"/>
        <w:left w:val="none" w:sz="0" w:space="0" w:color="auto"/>
        <w:bottom w:val="none" w:sz="0" w:space="0" w:color="auto"/>
        <w:right w:val="none" w:sz="0" w:space="0" w:color="auto"/>
      </w:divBdr>
    </w:div>
    <w:div w:id="495262742">
      <w:bodyDiv w:val="1"/>
      <w:marLeft w:val="0"/>
      <w:marRight w:val="0"/>
      <w:marTop w:val="0"/>
      <w:marBottom w:val="0"/>
      <w:divBdr>
        <w:top w:val="none" w:sz="0" w:space="0" w:color="auto"/>
        <w:left w:val="none" w:sz="0" w:space="0" w:color="auto"/>
        <w:bottom w:val="none" w:sz="0" w:space="0" w:color="auto"/>
        <w:right w:val="none" w:sz="0" w:space="0" w:color="auto"/>
      </w:divBdr>
    </w:div>
    <w:div w:id="498736241">
      <w:bodyDiv w:val="1"/>
      <w:marLeft w:val="0"/>
      <w:marRight w:val="0"/>
      <w:marTop w:val="0"/>
      <w:marBottom w:val="0"/>
      <w:divBdr>
        <w:top w:val="none" w:sz="0" w:space="0" w:color="auto"/>
        <w:left w:val="none" w:sz="0" w:space="0" w:color="auto"/>
        <w:bottom w:val="none" w:sz="0" w:space="0" w:color="auto"/>
        <w:right w:val="none" w:sz="0" w:space="0" w:color="auto"/>
      </w:divBdr>
    </w:div>
    <w:div w:id="517625770">
      <w:bodyDiv w:val="1"/>
      <w:marLeft w:val="0"/>
      <w:marRight w:val="0"/>
      <w:marTop w:val="0"/>
      <w:marBottom w:val="0"/>
      <w:divBdr>
        <w:top w:val="none" w:sz="0" w:space="0" w:color="auto"/>
        <w:left w:val="none" w:sz="0" w:space="0" w:color="auto"/>
        <w:bottom w:val="none" w:sz="0" w:space="0" w:color="auto"/>
        <w:right w:val="none" w:sz="0" w:space="0" w:color="auto"/>
      </w:divBdr>
    </w:div>
    <w:div w:id="523792187">
      <w:bodyDiv w:val="1"/>
      <w:marLeft w:val="0"/>
      <w:marRight w:val="0"/>
      <w:marTop w:val="0"/>
      <w:marBottom w:val="0"/>
      <w:divBdr>
        <w:top w:val="none" w:sz="0" w:space="0" w:color="auto"/>
        <w:left w:val="none" w:sz="0" w:space="0" w:color="auto"/>
        <w:bottom w:val="none" w:sz="0" w:space="0" w:color="auto"/>
        <w:right w:val="none" w:sz="0" w:space="0" w:color="auto"/>
      </w:divBdr>
    </w:div>
    <w:div w:id="529995994">
      <w:bodyDiv w:val="1"/>
      <w:marLeft w:val="0"/>
      <w:marRight w:val="0"/>
      <w:marTop w:val="0"/>
      <w:marBottom w:val="0"/>
      <w:divBdr>
        <w:top w:val="none" w:sz="0" w:space="0" w:color="auto"/>
        <w:left w:val="none" w:sz="0" w:space="0" w:color="auto"/>
        <w:bottom w:val="none" w:sz="0" w:space="0" w:color="auto"/>
        <w:right w:val="none" w:sz="0" w:space="0" w:color="auto"/>
      </w:divBdr>
    </w:div>
    <w:div w:id="559287238">
      <w:bodyDiv w:val="1"/>
      <w:marLeft w:val="0"/>
      <w:marRight w:val="0"/>
      <w:marTop w:val="0"/>
      <w:marBottom w:val="0"/>
      <w:divBdr>
        <w:top w:val="none" w:sz="0" w:space="0" w:color="auto"/>
        <w:left w:val="none" w:sz="0" w:space="0" w:color="auto"/>
        <w:bottom w:val="none" w:sz="0" w:space="0" w:color="auto"/>
        <w:right w:val="none" w:sz="0" w:space="0" w:color="auto"/>
      </w:divBdr>
    </w:div>
    <w:div w:id="618730273">
      <w:bodyDiv w:val="1"/>
      <w:marLeft w:val="0"/>
      <w:marRight w:val="0"/>
      <w:marTop w:val="0"/>
      <w:marBottom w:val="0"/>
      <w:divBdr>
        <w:top w:val="none" w:sz="0" w:space="0" w:color="auto"/>
        <w:left w:val="none" w:sz="0" w:space="0" w:color="auto"/>
        <w:bottom w:val="none" w:sz="0" w:space="0" w:color="auto"/>
        <w:right w:val="none" w:sz="0" w:space="0" w:color="auto"/>
      </w:divBdr>
    </w:div>
    <w:div w:id="643320114">
      <w:bodyDiv w:val="1"/>
      <w:marLeft w:val="0"/>
      <w:marRight w:val="0"/>
      <w:marTop w:val="0"/>
      <w:marBottom w:val="0"/>
      <w:divBdr>
        <w:top w:val="none" w:sz="0" w:space="0" w:color="auto"/>
        <w:left w:val="none" w:sz="0" w:space="0" w:color="auto"/>
        <w:bottom w:val="none" w:sz="0" w:space="0" w:color="auto"/>
        <w:right w:val="none" w:sz="0" w:space="0" w:color="auto"/>
      </w:divBdr>
    </w:div>
    <w:div w:id="659231263">
      <w:bodyDiv w:val="1"/>
      <w:marLeft w:val="0"/>
      <w:marRight w:val="0"/>
      <w:marTop w:val="0"/>
      <w:marBottom w:val="0"/>
      <w:divBdr>
        <w:top w:val="none" w:sz="0" w:space="0" w:color="auto"/>
        <w:left w:val="none" w:sz="0" w:space="0" w:color="auto"/>
        <w:bottom w:val="none" w:sz="0" w:space="0" w:color="auto"/>
        <w:right w:val="none" w:sz="0" w:space="0" w:color="auto"/>
      </w:divBdr>
    </w:div>
    <w:div w:id="667749201">
      <w:bodyDiv w:val="1"/>
      <w:marLeft w:val="0"/>
      <w:marRight w:val="0"/>
      <w:marTop w:val="0"/>
      <w:marBottom w:val="0"/>
      <w:divBdr>
        <w:top w:val="none" w:sz="0" w:space="0" w:color="auto"/>
        <w:left w:val="none" w:sz="0" w:space="0" w:color="auto"/>
        <w:bottom w:val="none" w:sz="0" w:space="0" w:color="auto"/>
        <w:right w:val="none" w:sz="0" w:space="0" w:color="auto"/>
      </w:divBdr>
    </w:div>
    <w:div w:id="669142905">
      <w:bodyDiv w:val="1"/>
      <w:marLeft w:val="0"/>
      <w:marRight w:val="0"/>
      <w:marTop w:val="0"/>
      <w:marBottom w:val="0"/>
      <w:divBdr>
        <w:top w:val="none" w:sz="0" w:space="0" w:color="auto"/>
        <w:left w:val="none" w:sz="0" w:space="0" w:color="auto"/>
        <w:bottom w:val="none" w:sz="0" w:space="0" w:color="auto"/>
        <w:right w:val="none" w:sz="0" w:space="0" w:color="auto"/>
      </w:divBdr>
    </w:div>
    <w:div w:id="709692812">
      <w:bodyDiv w:val="1"/>
      <w:marLeft w:val="0"/>
      <w:marRight w:val="0"/>
      <w:marTop w:val="0"/>
      <w:marBottom w:val="0"/>
      <w:divBdr>
        <w:top w:val="none" w:sz="0" w:space="0" w:color="auto"/>
        <w:left w:val="none" w:sz="0" w:space="0" w:color="auto"/>
        <w:bottom w:val="none" w:sz="0" w:space="0" w:color="auto"/>
        <w:right w:val="none" w:sz="0" w:space="0" w:color="auto"/>
      </w:divBdr>
    </w:div>
    <w:div w:id="741952712">
      <w:bodyDiv w:val="1"/>
      <w:marLeft w:val="0"/>
      <w:marRight w:val="0"/>
      <w:marTop w:val="0"/>
      <w:marBottom w:val="0"/>
      <w:divBdr>
        <w:top w:val="none" w:sz="0" w:space="0" w:color="auto"/>
        <w:left w:val="none" w:sz="0" w:space="0" w:color="auto"/>
        <w:bottom w:val="none" w:sz="0" w:space="0" w:color="auto"/>
        <w:right w:val="none" w:sz="0" w:space="0" w:color="auto"/>
      </w:divBdr>
    </w:div>
    <w:div w:id="746807384">
      <w:bodyDiv w:val="1"/>
      <w:marLeft w:val="0"/>
      <w:marRight w:val="0"/>
      <w:marTop w:val="0"/>
      <w:marBottom w:val="0"/>
      <w:divBdr>
        <w:top w:val="none" w:sz="0" w:space="0" w:color="auto"/>
        <w:left w:val="none" w:sz="0" w:space="0" w:color="auto"/>
        <w:bottom w:val="none" w:sz="0" w:space="0" w:color="auto"/>
        <w:right w:val="none" w:sz="0" w:space="0" w:color="auto"/>
      </w:divBdr>
    </w:div>
    <w:div w:id="750586794">
      <w:bodyDiv w:val="1"/>
      <w:marLeft w:val="0"/>
      <w:marRight w:val="0"/>
      <w:marTop w:val="0"/>
      <w:marBottom w:val="0"/>
      <w:divBdr>
        <w:top w:val="none" w:sz="0" w:space="0" w:color="auto"/>
        <w:left w:val="none" w:sz="0" w:space="0" w:color="auto"/>
        <w:bottom w:val="none" w:sz="0" w:space="0" w:color="auto"/>
        <w:right w:val="none" w:sz="0" w:space="0" w:color="auto"/>
      </w:divBdr>
    </w:div>
    <w:div w:id="775826235">
      <w:bodyDiv w:val="1"/>
      <w:marLeft w:val="0"/>
      <w:marRight w:val="0"/>
      <w:marTop w:val="0"/>
      <w:marBottom w:val="0"/>
      <w:divBdr>
        <w:top w:val="none" w:sz="0" w:space="0" w:color="auto"/>
        <w:left w:val="none" w:sz="0" w:space="0" w:color="auto"/>
        <w:bottom w:val="none" w:sz="0" w:space="0" w:color="auto"/>
        <w:right w:val="none" w:sz="0" w:space="0" w:color="auto"/>
      </w:divBdr>
    </w:div>
    <w:div w:id="803431743">
      <w:bodyDiv w:val="1"/>
      <w:marLeft w:val="0"/>
      <w:marRight w:val="0"/>
      <w:marTop w:val="0"/>
      <w:marBottom w:val="0"/>
      <w:divBdr>
        <w:top w:val="none" w:sz="0" w:space="0" w:color="auto"/>
        <w:left w:val="none" w:sz="0" w:space="0" w:color="auto"/>
        <w:bottom w:val="none" w:sz="0" w:space="0" w:color="auto"/>
        <w:right w:val="none" w:sz="0" w:space="0" w:color="auto"/>
      </w:divBdr>
    </w:div>
    <w:div w:id="804153210">
      <w:bodyDiv w:val="1"/>
      <w:marLeft w:val="0"/>
      <w:marRight w:val="0"/>
      <w:marTop w:val="0"/>
      <w:marBottom w:val="0"/>
      <w:divBdr>
        <w:top w:val="none" w:sz="0" w:space="0" w:color="auto"/>
        <w:left w:val="none" w:sz="0" w:space="0" w:color="auto"/>
        <w:bottom w:val="none" w:sz="0" w:space="0" w:color="auto"/>
        <w:right w:val="none" w:sz="0" w:space="0" w:color="auto"/>
      </w:divBdr>
      <w:divsChild>
        <w:div w:id="1134105073">
          <w:marLeft w:val="446"/>
          <w:marRight w:val="0"/>
          <w:marTop w:val="0"/>
          <w:marBottom w:val="0"/>
          <w:divBdr>
            <w:top w:val="none" w:sz="0" w:space="0" w:color="auto"/>
            <w:left w:val="none" w:sz="0" w:space="0" w:color="auto"/>
            <w:bottom w:val="none" w:sz="0" w:space="0" w:color="auto"/>
            <w:right w:val="none" w:sz="0" w:space="0" w:color="auto"/>
          </w:divBdr>
        </w:div>
        <w:div w:id="1645235039">
          <w:marLeft w:val="446"/>
          <w:marRight w:val="0"/>
          <w:marTop w:val="0"/>
          <w:marBottom w:val="0"/>
          <w:divBdr>
            <w:top w:val="none" w:sz="0" w:space="0" w:color="auto"/>
            <w:left w:val="none" w:sz="0" w:space="0" w:color="auto"/>
            <w:bottom w:val="none" w:sz="0" w:space="0" w:color="auto"/>
            <w:right w:val="none" w:sz="0" w:space="0" w:color="auto"/>
          </w:divBdr>
        </w:div>
        <w:div w:id="1888491273">
          <w:marLeft w:val="446"/>
          <w:marRight w:val="0"/>
          <w:marTop w:val="0"/>
          <w:marBottom w:val="0"/>
          <w:divBdr>
            <w:top w:val="none" w:sz="0" w:space="0" w:color="auto"/>
            <w:left w:val="none" w:sz="0" w:space="0" w:color="auto"/>
            <w:bottom w:val="none" w:sz="0" w:space="0" w:color="auto"/>
            <w:right w:val="none" w:sz="0" w:space="0" w:color="auto"/>
          </w:divBdr>
        </w:div>
      </w:divsChild>
    </w:div>
    <w:div w:id="811751859">
      <w:bodyDiv w:val="1"/>
      <w:marLeft w:val="0"/>
      <w:marRight w:val="0"/>
      <w:marTop w:val="0"/>
      <w:marBottom w:val="0"/>
      <w:divBdr>
        <w:top w:val="none" w:sz="0" w:space="0" w:color="auto"/>
        <w:left w:val="none" w:sz="0" w:space="0" w:color="auto"/>
        <w:bottom w:val="none" w:sz="0" w:space="0" w:color="auto"/>
        <w:right w:val="none" w:sz="0" w:space="0" w:color="auto"/>
      </w:divBdr>
    </w:div>
    <w:div w:id="818570596">
      <w:bodyDiv w:val="1"/>
      <w:marLeft w:val="0"/>
      <w:marRight w:val="0"/>
      <w:marTop w:val="0"/>
      <w:marBottom w:val="0"/>
      <w:divBdr>
        <w:top w:val="none" w:sz="0" w:space="0" w:color="auto"/>
        <w:left w:val="none" w:sz="0" w:space="0" w:color="auto"/>
        <w:bottom w:val="none" w:sz="0" w:space="0" w:color="auto"/>
        <w:right w:val="none" w:sz="0" w:space="0" w:color="auto"/>
      </w:divBdr>
    </w:div>
    <w:div w:id="832380746">
      <w:bodyDiv w:val="1"/>
      <w:marLeft w:val="0"/>
      <w:marRight w:val="0"/>
      <w:marTop w:val="0"/>
      <w:marBottom w:val="0"/>
      <w:divBdr>
        <w:top w:val="none" w:sz="0" w:space="0" w:color="auto"/>
        <w:left w:val="none" w:sz="0" w:space="0" w:color="auto"/>
        <w:bottom w:val="none" w:sz="0" w:space="0" w:color="auto"/>
        <w:right w:val="none" w:sz="0" w:space="0" w:color="auto"/>
      </w:divBdr>
    </w:div>
    <w:div w:id="853347094">
      <w:bodyDiv w:val="1"/>
      <w:marLeft w:val="0"/>
      <w:marRight w:val="0"/>
      <w:marTop w:val="0"/>
      <w:marBottom w:val="0"/>
      <w:divBdr>
        <w:top w:val="none" w:sz="0" w:space="0" w:color="auto"/>
        <w:left w:val="none" w:sz="0" w:space="0" w:color="auto"/>
        <w:bottom w:val="none" w:sz="0" w:space="0" w:color="auto"/>
        <w:right w:val="none" w:sz="0" w:space="0" w:color="auto"/>
      </w:divBdr>
    </w:div>
    <w:div w:id="863906865">
      <w:bodyDiv w:val="1"/>
      <w:marLeft w:val="0"/>
      <w:marRight w:val="0"/>
      <w:marTop w:val="0"/>
      <w:marBottom w:val="0"/>
      <w:divBdr>
        <w:top w:val="none" w:sz="0" w:space="0" w:color="auto"/>
        <w:left w:val="none" w:sz="0" w:space="0" w:color="auto"/>
        <w:bottom w:val="none" w:sz="0" w:space="0" w:color="auto"/>
        <w:right w:val="none" w:sz="0" w:space="0" w:color="auto"/>
      </w:divBdr>
    </w:div>
    <w:div w:id="865946728">
      <w:bodyDiv w:val="1"/>
      <w:marLeft w:val="0"/>
      <w:marRight w:val="0"/>
      <w:marTop w:val="0"/>
      <w:marBottom w:val="0"/>
      <w:divBdr>
        <w:top w:val="none" w:sz="0" w:space="0" w:color="auto"/>
        <w:left w:val="none" w:sz="0" w:space="0" w:color="auto"/>
        <w:bottom w:val="none" w:sz="0" w:space="0" w:color="auto"/>
        <w:right w:val="none" w:sz="0" w:space="0" w:color="auto"/>
      </w:divBdr>
    </w:div>
    <w:div w:id="874584536">
      <w:bodyDiv w:val="1"/>
      <w:marLeft w:val="0"/>
      <w:marRight w:val="0"/>
      <w:marTop w:val="0"/>
      <w:marBottom w:val="0"/>
      <w:divBdr>
        <w:top w:val="none" w:sz="0" w:space="0" w:color="auto"/>
        <w:left w:val="none" w:sz="0" w:space="0" w:color="auto"/>
        <w:bottom w:val="none" w:sz="0" w:space="0" w:color="auto"/>
        <w:right w:val="none" w:sz="0" w:space="0" w:color="auto"/>
      </w:divBdr>
    </w:div>
    <w:div w:id="878280220">
      <w:bodyDiv w:val="1"/>
      <w:marLeft w:val="0"/>
      <w:marRight w:val="0"/>
      <w:marTop w:val="0"/>
      <w:marBottom w:val="0"/>
      <w:divBdr>
        <w:top w:val="none" w:sz="0" w:space="0" w:color="auto"/>
        <w:left w:val="none" w:sz="0" w:space="0" w:color="auto"/>
        <w:bottom w:val="none" w:sz="0" w:space="0" w:color="auto"/>
        <w:right w:val="none" w:sz="0" w:space="0" w:color="auto"/>
      </w:divBdr>
    </w:div>
    <w:div w:id="899748012">
      <w:bodyDiv w:val="1"/>
      <w:marLeft w:val="0"/>
      <w:marRight w:val="0"/>
      <w:marTop w:val="0"/>
      <w:marBottom w:val="0"/>
      <w:divBdr>
        <w:top w:val="none" w:sz="0" w:space="0" w:color="auto"/>
        <w:left w:val="none" w:sz="0" w:space="0" w:color="auto"/>
        <w:bottom w:val="none" w:sz="0" w:space="0" w:color="auto"/>
        <w:right w:val="none" w:sz="0" w:space="0" w:color="auto"/>
      </w:divBdr>
    </w:div>
    <w:div w:id="904225347">
      <w:bodyDiv w:val="1"/>
      <w:marLeft w:val="0"/>
      <w:marRight w:val="0"/>
      <w:marTop w:val="0"/>
      <w:marBottom w:val="0"/>
      <w:divBdr>
        <w:top w:val="none" w:sz="0" w:space="0" w:color="auto"/>
        <w:left w:val="none" w:sz="0" w:space="0" w:color="auto"/>
        <w:bottom w:val="none" w:sz="0" w:space="0" w:color="auto"/>
        <w:right w:val="none" w:sz="0" w:space="0" w:color="auto"/>
      </w:divBdr>
    </w:div>
    <w:div w:id="918179245">
      <w:bodyDiv w:val="1"/>
      <w:marLeft w:val="0"/>
      <w:marRight w:val="0"/>
      <w:marTop w:val="0"/>
      <w:marBottom w:val="0"/>
      <w:divBdr>
        <w:top w:val="none" w:sz="0" w:space="0" w:color="auto"/>
        <w:left w:val="none" w:sz="0" w:space="0" w:color="auto"/>
        <w:bottom w:val="none" w:sz="0" w:space="0" w:color="auto"/>
        <w:right w:val="none" w:sz="0" w:space="0" w:color="auto"/>
      </w:divBdr>
      <w:divsChild>
        <w:div w:id="161706351">
          <w:marLeft w:val="446"/>
          <w:marRight w:val="0"/>
          <w:marTop w:val="200"/>
          <w:marBottom w:val="0"/>
          <w:divBdr>
            <w:top w:val="none" w:sz="0" w:space="0" w:color="auto"/>
            <w:left w:val="none" w:sz="0" w:space="0" w:color="auto"/>
            <w:bottom w:val="none" w:sz="0" w:space="0" w:color="auto"/>
            <w:right w:val="none" w:sz="0" w:space="0" w:color="auto"/>
          </w:divBdr>
        </w:div>
        <w:div w:id="1612280856">
          <w:marLeft w:val="446"/>
          <w:marRight w:val="0"/>
          <w:marTop w:val="200"/>
          <w:marBottom w:val="0"/>
          <w:divBdr>
            <w:top w:val="none" w:sz="0" w:space="0" w:color="auto"/>
            <w:left w:val="none" w:sz="0" w:space="0" w:color="auto"/>
            <w:bottom w:val="none" w:sz="0" w:space="0" w:color="auto"/>
            <w:right w:val="none" w:sz="0" w:space="0" w:color="auto"/>
          </w:divBdr>
        </w:div>
        <w:div w:id="1240360745">
          <w:marLeft w:val="446"/>
          <w:marRight w:val="0"/>
          <w:marTop w:val="200"/>
          <w:marBottom w:val="0"/>
          <w:divBdr>
            <w:top w:val="none" w:sz="0" w:space="0" w:color="auto"/>
            <w:left w:val="none" w:sz="0" w:space="0" w:color="auto"/>
            <w:bottom w:val="none" w:sz="0" w:space="0" w:color="auto"/>
            <w:right w:val="none" w:sz="0" w:space="0" w:color="auto"/>
          </w:divBdr>
        </w:div>
      </w:divsChild>
    </w:div>
    <w:div w:id="934358643">
      <w:bodyDiv w:val="1"/>
      <w:marLeft w:val="0"/>
      <w:marRight w:val="0"/>
      <w:marTop w:val="0"/>
      <w:marBottom w:val="0"/>
      <w:divBdr>
        <w:top w:val="none" w:sz="0" w:space="0" w:color="auto"/>
        <w:left w:val="none" w:sz="0" w:space="0" w:color="auto"/>
        <w:bottom w:val="none" w:sz="0" w:space="0" w:color="auto"/>
        <w:right w:val="none" w:sz="0" w:space="0" w:color="auto"/>
      </w:divBdr>
    </w:div>
    <w:div w:id="947851172">
      <w:bodyDiv w:val="1"/>
      <w:marLeft w:val="0"/>
      <w:marRight w:val="0"/>
      <w:marTop w:val="0"/>
      <w:marBottom w:val="0"/>
      <w:divBdr>
        <w:top w:val="none" w:sz="0" w:space="0" w:color="auto"/>
        <w:left w:val="none" w:sz="0" w:space="0" w:color="auto"/>
        <w:bottom w:val="none" w:sz="0" w:space="0" w:color="auto"/>
        <w:right w:val="none" w:sz="0" w:space="0" w:color="auto"/>
      </w:divBdr>
    </w:div>
    <w:div w:id="967130156">
      <w:bodyDiv w:val="1"/>
      <w:marLeft w:val="0"/>
      <w:marRight w:val="0"/>
      <w:marTop w:val="0"/>
      <w:marBottom w:val="0"/>
      <w:divBdr>
        <w:top w:val="none" w:sz="0" w:space="0" w:color="auto"/>
        <w:left w:val="none" w:sz="0" w:space="0" w:color="auto"/>
        <w:bottom w:val="none" w:sz="0" w:space="0" w:color="auto"/>
        <w:right w:val="none" w:sz="0" w:space="0" w:color="auto"/>
      </w:divBdr>
    </w:div>
    <w:div w:id="972447724">
      <w:bodyDiv w:val="1"/>
      <w:marLeft w:val="0"/>
      <w:marRight w:val="0"/>
      <w:marTop w:val="0"/>
      <w:marBottom w:val="0"/>
      <w:divBdr>
        <w:top w:val="none" w:sz="0" w:space="0" w:color="auto"/>
        <w:left w:val="none" w:sz="0" w:space="0" w:color="auto"/>
        <w:bottom w:val="none" w:sz="0" w:space="0" w:color="auto"/>
        <w:right w:val="none" w:sz="0" w:space="0" w:color="auto"/>
      </w:divBdr>
    </w:div>
    <w:div w:id="988362142">
      <w:bodyDiv w:val="1"/>
      <w:marLeft w:val="0"/>
      <w:marRight w:val="0"/>
      <w:marTop w:val="0"/>
      <w:marBottom w:val="0"/>
      <w:divBdr>
        <w:top w:val="none" w:sz="0" w:space="0" w:color="auto"/>
        <w:left w:val="none" w:sz="0" w:space="0" w:color="auto"/>
        <w:bottom w:val="none" w:sz="0" w:space="0" w:color="auto"/>
        <w:right w:val="none" w:sz="0" w:space="0" w:color="auto"/>
      </w:divBdr>
      <w:divsChild>
        <w:div w:id="36709671">
          <w:marLeft w:val="446"/>
          <w:marRight w:val="0"/>
          <w:marTop w:val="0"/>
          <w:marBottom w:val="0"/>
          <w:divBdr>
            <w:top w:val="none" w:sz="0" w:space="0" w:color="auto"/>
            <w:left w:val="none" w:sz="0" w:space="0" w:color="auto"/>
            <w:bottom w:val="none" w:sz="0" w:space="0" w:color="auto"/>
            <w:right w:val="none" w:sz="0" w:space="0" w:color="auto"/>
          </w:divBdr>
        </w:div>
        <w:div w:id="1963337126">
          <w:marLeft w:val="446"/>
          <w:marRight w:val="0"/>
          <w:marTop w:val="0"/>
          <w:marBottom w:val="0"/>
          <w:divBdr>
            <w:top w:val="none" w:sz="0" w:space="0" w:color="auto"/>
            <w:left w:val="none" w:sz="0" w:space="0" w:color="auto"/>
            <w:bottom w:val="none" w:sz="0" w:space="0" w:color="auto"/>
            <w:right w:val="none" w:sz="0" w:space="0" w:color="auto"/>
          </w:divBdr>
        </w:div>
        <w:div w:id="303202154">
          <w:marLeft w:val="446"/>
          <w:marRight w:val="0"/>
          <w:marTop w:val="0"/>
          <w:marBottom w:val="0"/>
          <w:divBdr>
            <w:top w:val="none" w:sz="0" w:space="0" w:color="auto"/>
            <w:left w:val="none" w:sz="0" w:space="0" w:color="auto"/>
            <w:bottom w:val="none" w:sz="0" w:space="0" w:color="auto"/>
            <w:right w:val="none" w:sz="0" w:space="0" w:color="auto"/>
          </w:divBdr>
        </w:div>
      </w:divsChild>
    </w:div>
    <w:div w:id="997221989">
      <w:bodyDiv w:val="1"/>
      <w:marLeft w:val="0"/>
      <w:marRight w:val="0"/>
      <w:marTop w:val="0"/>
      <w:marBottom w:val="0"/>
      <w:divBdr>
        <w:top w:val="none" w:sz="0" w:space="0" w:color="auto"/>
        <w:left w:val="none" w:sz="0" w:space="0" w:color="auto"/>
        <w:bottom w:val="none" w:sz="0" w:space="0" w:color="auto"/>
        <w:right w:val="none" w:sz="0" w:space="0" w:color="auto"/>
      </w:divBdr>
    </w:div>
    <w:div w:id="1012337022">
      <w:bodyDiv w:val="1"/>
      <w:marLeft w:val="0"/>
      <w:marRight w:val="0"/>
      <w:marTop w:val="0"/>
      <w:marBottom w:val="0"/>
      <w:divBdr>
        <w:top w:val="none" w:sz="0" w:space="0" w:color="auto"/>
        <w:left w:val="none" w:sz="0" w:space="0" w:color="auto"/>
        <w:bottom w:val="none" w:sz="0" w:space="0" w:color="auto"/>
        <w:right w:val="none" w:sz="0" w:space="0" w:color="auto"/>
      </w:divBdr>
    </w:div>
    <w:div w:id="1015811349">
      <w:bodyDiv w:val="1"/>
      <w:marLeft w:val="0"/>
      <w:marRight w:val="0"/>
      <w:marTop w:val="0"/>
      <w:marBottom w:val="0"/>
      <w:divBdr>
        <w:top w:val="none" w:sz="0" w:space="0" w:color="auto"/>
        <w:left w:val="none" w:sz="0" w:space="0" w:color="auto"/>
        <w:bottom w:val="none" w:sz="0" w:space="0" w:color="auto"/>
        <w:right w:val="none" w:sz="0" w:space="0" w:color="auto"/>
      </w:divBdr>
    </w:div>
    <w:div w:id="1020886919">
      <w:bodyDiv w:val="1"/>
      <w:marLeft w:val="0"/>
      <w:marRight w:val="0"/>
      <w:marTop w:val="0"/>
      <w:marBottom w:val="0"/>
      <w:divBdr>
        <w:top w:val="none" w:sz="0" w:space="0" w:color="auto"/>
        <w:left w:val="none" w:sz="0" w:space="0" w:color="auto"/>
        <w:bottom w:val="none" w:sz="0" w:space="0" w:color="auto"/>
        <w:right w:val="none" w:sz="0" w:space="0" w:color="auto"/>
      </w:divBdr>
    </w:div>
    <w:div w:id="1021855784">
      <w:bodyDiv w:val="1"/>
      <w:marLeft w:val="0"/>
      <w:marRight w:val="0"/>
      <w:marTop w:val="0"/>
      <w:marBottom w:val="0"/>
      <w:divBdr>
        <w:top w:val="none" w:sz="0" w:space="0" w:color="auto"/>
        <w:left w:val="none" w:sz="0" w:space="0" w:color="auto"/>
        <w:bottom w:val="none" w:sz="0" w:space="0" w:color="auto"/>
        <w:right w:val="none" w:sz="0" w:space="0" w:color="auto"/>
      </w:divBdr>
    </w:div>
    <w:div w:id="1045367771">
      <w:bodyDiv w:val="1"/>
      <w:marLeft w:val="0"/>
      <w:marRight w:val="0"/>
      <w:marTop w:val="0"/>
      <w:marBottom w:val="0"/>
      <w:divBdr>
        <w:top w:val="none" w:sz="0" w:space="0" w:color="auto"/>
        <w:left w:val="none" w:sz="0" w:space="0" w:color="auto"/>
        <w:bottom w:val="none" w:sz="0" w:space="0" w:color="auto"/>
        <w:right w:val="none" w:sz="0" w:space="0" w:color="auto"/>
      </w:divBdr>
    </w:div>
    <w:div w:id="1053307442">
      <w:bodyDiv w:val="1"/>
      <w:marLeft w:val="0"/>
      <w:marRight w:val="0"/>
      <w:marTop w:val="0"/>
      <w:marBottom w:val="0"/>
      <w:divBdr>
        <w:top w:val="none" w:sz="0" w:space="0" w:color="auto"/>
        <w:left w:val="none" w:sz="0" w:space="0" w:color="auto"/>
        <w:bottom w:val="none" w:sz="0" w:space="0" w:color="auto"/>
        <w:right w:val="none" w:sz="0" w:space="0" w:color="auto"/>
      </w:divBdr>
    </w:div>
    <w:div w:id="1056128916">
      <w:bodyDiv w:val="1"/>
      <w:marLeft w:val="0"/>
      <w:marRight w:val="0"/>
      <w:marTop w:val="0"/>
      <w:marBottom w:val="0"/>
      <w:divBdr>
        <w:top w:val="none" w:sz="0" w:space="0" w:color="auto"/>
        <w:left w:val="none" w:sz="0" w:space="0" w:color="auto"/>
        <w:bottom w:val="none" w:sz="0" w:space="0" w:color="auto"/>
        <w:right w:val="none" w:sz="0" w:space="0" w:color="auto"/>
      </w:divBdr>
    </w:div>
    <w:div w:id="1067650264">
      <w:bodyDiv w:val="1"/>
      <w:marLeft w:val="0"/>
      <w:marRight w:val="0"/>
      <w:marTop w:val="0"/>
      <w:marBottom w:val="0"/>
      <w:divBdr>
        <w:top w:val="none" w:sz="0" w:space="0" w:color="auto"/>
        <w:left w:val="none" w:sz="0" w:space="0" w:color="auto"/>
        <w:bottom w:val="none" w:sz="0" w:space="0" w:color="auto"/>
        <w:right w:val="none" w:sz="0" w:space="0" w:color="auto"/>
      </w:divBdr>
    </w:div>
    <w:div w:id="1074013309">
      <w:bodyDiv w:val="1"/>
      <w:marLeft w:val="0"/>
      <w:marRight w:val="0"/>
      <w:marTop w:val="0"/>
      <w:marBottom w:val="0"/>
      <w:divBdr>
        <w:top w:val="none" w:sz="0" w:space="0" w:color="auto"/>
        <w:left w:val="none" w:sz="0" w:space="0" w:color="auto"/>
        <w:bottom w:val="none" w:sz="0" w:space="0" w:color="auto"/>
        <w:right w:val="none" w:sz="0" w:space="0" w:color="auto"/>
      </w:divBdr>
    </w:div>
    <w:div w:id="1090657283">
      <w:bodyDiv w:val="1"/>
      <w:marLeft w:val="0"/>
      <w:marRight w:val="0"/>
      <w:marTop w:val="0"/>
      <w:marBottom w:val="0"/>
      <w:divBdr>
        <w:top w:val="none" w:sz="0" w:space="0" w:color="auto"/>
        <w:left w:val="none" w:sz="0" w:space="0" w:color="auto"/>
        <w:bottom w:val="none" w:sz="0" w:space="0" w:color="auto"/>
        <w:right w:val="none" w:sz="0" w:space="0" w:color="auto"/>
      </w:divBdr>
    </w:div>
    <w:div w:id="1093739714">
      <w:bodyDiv w:val="1"/>
      <w:marLeft w:val="0"/>
      <w:marRight w:val="0"/>
      <w:marTop w:val="0"/>
      <w:marBottom w:val="0"/>
      <w:divBdr>
        <w:top w:val="none" w:sz="0" w:space="0" w:color="auto"/>
        <w:left w:val="none" w:sz="0" w:space="0" w:color="auto"/>
        <w:bottom w:val="none" w:sz="0" w:space="0" w:color="auto"/>
        <w:right w:val="none" w:sz="0" w:space="0" w:color="auto"/>
      </w:divBdr>
    </w:div>
    <w:div w:id="1096755874">
      <w:bodyDiv w:val="1"/>
      <w:marLeft w:val="0"/>
      <w:marRight w:val="0"/>
      <w:marTop w:val="0"/>
      <w:marBottom w:val="0"/>
      <w:divBdr>
        <w:top w:val="none" w:sz="0" w:space="0" w:color="auto"/>
        <w:left w:val="none" w:sz="0" w:space="0" w:color="auto"/>
        <w:bottom w:val="none" w:sz="0" w:space="0" w:color="auto"/>
        <w:right w:val="none" w:sz="0" w:space="0" w:color="auto"/>
      </w:divBdr>
    </w:div>
    <w:div w:id="1098792439">
      <w:bodyDiv w:val="1"/>
      <w:marLeft w:val="0"/>
      <w:marRight w:val="0"/>
      <w:marTop w:val="0"/>
      <w:marBottom w:val="0"/>
      <w:divBdr>
        <w:top w:val="none" w:sz="0" w:space="0" w:color="auto"/>
        <w:left w:val="none" w:sz="0" w:space="0" w:color="auto"/>
        <w:bottom w:val="none" w:sz="0" w:space="0" w:color="auto"/>
        <w:right w:val="none" w:sz="0" w:space="0" w:color="auto"/>
      </w:divBdr>
    </w:div>
    <w:div w:id="1103456843">
      <w:bodyDiv w:val="1"/>
      <w:marLeft w:val="0"/>
      <w:marRight w:val="0"/>
      <w:marTop w:val="0"/>
      <w:marBottom w:val="0"/>
      <w:divBdr>
        <w:top w:val="none" w:sz="0" w:space="0" w:color="auto"/>
        <w:left w:val="none" w:sz="0" w:space="0" w:color="auto"/>
        <w:bottom w:val="none" w:sz="0" w:space="0" w:color="auto"/>
        <w:right w:val="none" w:sz="0" w:space="0" w:color="auto"/>
      </w:divBdr>
    </w:div>
    <w:div w:id="1120567227">
      <w:bodyDiv w:val="1"/>
      <w:marLeft w:val="0"/>
      <w:marRight w:val="0"/>
      <w:marTop w:val="0"/>
      <w:marBottom w:val="0"/>
      <w:divBdr>
        <w:top w:val="none" w:sz="0" w:space="0" w:color="auto"/>
        <w:left w:val="none" w:sz="0" w:space="0" w:color="auto"/>
        <w:bottom w:val="none" w:sz="0" w:space="0" w:color="auto"/>
        <w:right w:val="none" w:sz="0" w:space="0" w:color="auto"/>
      </w:divBdr>
    </w:div>
    <w:div w:id="1131746317">
      <w:bodyDiv w:val="1"/>
      <w:marLeft w:val="0"/>
      <w:marRight w:val="0"/>
      <w:marTop w:val="0"/>
      <w:marBottom w:val="0"/>
      <w:divBdr>
        <w:top w:val="none" w:sz="0" w:space="0" w:color="auto"/>
        <w:left w:val="none" w:sz="0" w:space="0" w:color="auto"/>
        <w:bottom w:val="none" w:sz="0" w:space="0" w:color="auto"/>
        <w:right w:val="none" w:sz="0" w:space="0" w:color="auto"/>
      </w:divBdr>
    </w:div>
    <w:div w:id="1153718147">
      <w:bodyDiv w:val="1"/>
      <w:marLeft w:val="0"/>
      <w:marRight w:val="0"/>
      <w:marTop w:val="0"/>
      <w:marBottom w:val="0"/>
      <w:divBdr>
        <w:top w:val="none" w:sz="0" w:space="0" w:color="auto"/>
        <w:left w:val="none" w:sz="0" w:space="0" w:color="auto"/>
        <w:bottom w:val="none" w:sz="0" w:space="0" w:color="auto"/>
        <w:right w:val="none" w:sz="0" w:space="0" w:color="auto"/>
      </w:divBdr>
    </w:div>
    <w:div w:id="1250192299">
      <w:bodyDiv w:val="1"/>
      <w:marLeft w:val="0"/>
      <w:marRight w:val="0"/>
      <w:marTop w:val="0"/>
      <w:marBottom w:val="0"/>
      <w:divBdr>
        <w:top w:val="none" w:sz="0" w:space="0" w:color="auto"/>
        <w:left w:val="none" w:sz="0" w:space="0" w:color="auto"/>
        <w:bottom w:val="none" w:sz="0" w:space="0" w:color="auto"/>
        <w:right w:val="none" w:sz="0" w:space="0" w:color="auto"/>
      </w:divBdr>
    </w:div>
    <w:div w:id="1256866550">
      <w:bodyDiv w:val="1"/>
      <w:marLeft w:val="0"/>
      <w:marRight w:val="0"/>
      <w:marTop w:val="0"/>
      <w:marBottom w:val="0"/>
      <w:divBdr>
        <w:top w:val="none" w:sz="0" w:space="0" w:color="auto"/>
        <w:left w:val="none" w:sz="0" w:space="0" w:color="auto"/>
        <w:bottom w:val="none" w:sz="0" w:space="0" w:color="auto"/>
        <w:right w:val="none" w:sz="0" w:space="0" w:color="auto"/>
      </w:divBdr>
    </w:div>
    <w:div w:id="1258631589">
      <w:bodyDiv w:val="1"/>
      <w:marLeft w:val="0"/>
      <w:marRight w:val="0"/>
      <w:marTop w:val="0"/>
      <w:marBottom w:val="0"/>
      <w:divBdr>
        <w:top w:val="none" w:sz="0" w:space="0" w:color="auto"/>
        <w:left w:val="none" w:sz="0" w:space="0" w:color="auto"/>
        <w:bottom w:val="none" w:sz="0" w:space="0" w:color="auto"/>
        <w:right w:val="none" w:sz="0" w:space="0" w:color="auto"/>
      </w:divBdr>
    </w:div>
    <w:div w:id="1268856418">
      <w:bodyDiv w:val="1"/>
      <w:marLeft w:val="0"/>
      <w:marRight w:val="0"/>
      <w:marTop w:val="0"/>
      <w:marBottom w:val="0"/>
      <w:divBdr>
        <w:top w:val="none" w:sz="0" w:space="0" w:color="auto"/>
        <w:left w:val="none" w:sz="0" w:space="0" w:color="auto"/>
        <w:bottom w:val="none" w:sz="0" w:space="0" w:color="auto"/>
        <w:right w:val="none" w:sz="0" w:space="0" w:color="auto"/>
      </w:divBdr>
    </w:div>
    <w:div w:id="1283149346">
      <w:bodyDiv w:val="1"/>
      <w:marLeft w:val="0"/>
      <w:marRight w:val="0"/>
      <w:marTop w:val="0"/>
      <w:marBottom w:val="0"/>
      <w:divBdr>
        <w:top w:val="none" w:sz="0" w:space="0" w:color="auto"/>
        <w:left w:val="none" w:sz="0" w:space="0" w:color="auto"/>
        <w:bottom w:val="none" w:sz="0" w:space="0" w:color="auto"/>
        <w:right w:val="none" w:sz="0" w:space="0" w:color="auto"/>
      </w:divBdr>
    </w:div>
    <w:div w:id="1288244726">
      <w:bodyDiv w:val="1"/>
      <w:marLeft w:val="0"/>
      <w:marRight w:val="0"/>
      <w:marTop w:val="0"/>
      <w:marBottom w:val="0"/>
      <w:divBdr>
        <w:top w:val="none" w:sz="0" w:space="0" w:color="auto"/>
        <w:left w:val="none" w:sz="0" w:space="0" w:color="auto"/>
        <w:bottom w:val="none" w:sz="0" w:space="0" w:color="auto"/>
        <w:right w:val="none" w:sz="0" w:space="0" w:color="auto"/>
      </w:divBdr>
    </w:div>
    <w:div w:id="1289973199">
      <w:bodyDiv w:val="1"/>
      <w:marLeft w:val="0"/>
      <w:marRight w:val="0"/>
      <w:marTop w:val="0"/>
      <w:marBottom w:val="0"/>
      <w:divBdr>
        <w:top w:val="none" w:sz="0" w:space="0" w:color="auto"/>
        <w:left w:val="none" w:sz="0" w:space="0" w:color="auto"/>
        <w:bottom w:val="none" w:sz="0" w:space="0" w:color="auto"/>
        <w:right w:val="none" w:sz="0" w:space="0" w:color="auto"/>
      </w:divBdr>
    </w:div>
    <w:div w:id="1294603888">
      <w:bodyDiv w:val="1"/>
      <w:marLeft w:val="0"/>
      <w:marRight w:val="0"/>
      <w:marTop w:val="0"/>
      <w:marBottom w:val="0"/>
      <w:divBdr>
        <w:top w:val="none" w:sz="0" w:space="0" w:color="auto"/>
        <w:left w:val="none" w:sz="0" w:space="0" w:color="auto"/>
        <w:bottom w:val="none" w:sz="0" w:space="0" w:color="auto"/>
        <w:right w:val="none" w:sz="0" w:space="0" w:color="auto"/>
      </w:divBdr>
    </w:div>
    <w:div w:id="1302617834">
      <w:bodyDiv w:val="1"/>
      <w:marLeft w:val="0"/>
      <w:marRight w:val="0"/>
      <w:marTop w:val="0"/>
      <w:marBottom w:val="0"/>
      <w:divBdr>
        <w:top w:val="none" w:sz="0" w:space="0" w:color="auto"/>
        <w:left w:val="none" w:sz="0" w:space="0" w:color="auto"/>
        <w:bottom w:val="none" w:sz="0" w:space="0" w:color="auto"/>
        <w:right w:val="none" w:sz="0" w:space="0" w:color="auto"/>
      </w:divBdr>
    </w:div>
    <w:div w:id="1308438788">
      <w:bodyDiv w:val="1"/>
      <w:marLeft w:val="0"/>
      <w:marRight w:val="0"/>
      <w:marTop w:val="0"/>
      <w:marBottom w:val="0"/>
      <w:divBdr>
        <w:top w:val="none" w:sz="0" w:space="0" w:color="auto"/>
        <w:left w:val="none" w:sz="0" w:space="0" w:color="auto"/>
        <w:bottom w:val="none" w:sz="0" w:space="0" w:color="auto"/>
        <w:right w:val="none" w:sz="0" w:space="0" w:color="auto"/>
      </w:divBdr>
    </w:div>
    <w:div w:id="1324158288">
      <w:bodyDiv w:val="1"/>
      <w:marLeft w:val="0"/>
      <w:marRight w:val="0"/>
      <w:marTop w:val="0"/>
      <w:marBottom w:val="0"/>
      <w:divBdr>
        <w:top w:val="none" w:sz="0" w:space="0" w:color="auto"/>
        <w:left w:val="none" w:sz="0" w:space="0" w:color="auto"/>
        <w:bottom w:val="none" w:sz="0" w:space="0" w:color="auto"/>
        <w:right w:val="none" w:sz="0" w:space="0" w:color="auto"/>
      </w:divBdr>
    </w:div>
    <w:div w:id="1327125893">
      <w:bodyDiv w:val="1"/>
      <w:marLeft w:val="0"/>
      <w:marRight w:val="0"/>
      <w:marTop w:val="0"/>
      <w:marBottom w:val="0"/>
      <w:divBdr>
        <w:top w:val="none" w:sz="0" w:space="0" w:color="auto"/>
        <w:left w:val="none" w:sz="0" w:space="0" w:color="auto"/>
        <w:bottom w:val="none" w:sz="0" w:space="0" w:color="auto"/>
        <w:right w:val="none" w:sz="0" w:space="0" w:color="auto"/>
      </w:divBdr>
    </w:div>
    <w:div w:id="1338266440">
      <w:bodyDiv w:val="1"/>
      <w:marLeft w:val="0"/>
      <w:marRight w:val="0"/>
      <w:marTop w:val="0"/>
      <w:marBottom w:val="0"/>
      <w:divBdr>
        <w:top w:val="none" w:sz="0" w:space="0" w:color="auto"/>
        <w:left w:val="none" w:sz="0" w:space="0" w:color="auto"/>
        <w:bottom w:val="none" w:sz="0" w:space="0" w:color="auto"/>
        <w:right w:val="none" w:sz="0" w:space="0" w:color="auto"/>
      </w:divBdr>
    </w:div>
    <w:div w:id="1353218315">
      <w:bodyDiv w:val="1"/>
      <w:marLeft w:val="0"/>
      <w:marRight w:val="0"/>
      <w:marTop w:val="0"/>
      <w:marBottom w:val="0"/>
      <w:divBdr>
        <w:top w:val="none" w:sz="0" w:space="0" w:color="auto"/>
        <w:left w:val="none" w:sz="0" w:space="0" w:color="auto"/>
        <w:bottom w:val="none" w:sz="0" w:space="0" w:color="auto"/>
        <w:right w:val="none" w:sz="0" w:space="0" w:color="auto"/>
      </w:divBdr>
    </w:div>
    <w:div w:id="1372459006">
      <w:bodyDiv w:val="1"/>
      <w:marLeft w:val="0"/>
      <w:marRight w:val="0"/>
      <w:marTop w:val="0"/>
      <w:marBottom w:val="0"/>
      <w:divBdr>
        <w:top w:val="none" w:sz="0" w:space="0" w:color="auto"/>
        <w:left w:val="none" w:sz="0" w:space="0" w:color="auto"/>
        <w:bottom w:val="none" w:sz="0" w:space="0" w:color="auto"/>
        <w:right w:val="none" w:sz="0" w:space="0" w:color="auto"/>
      </w:divBdr>
    </w:div>
    <w:div w:id="1392071991">
      <w:bodyDiv w:val="1"/>
      <w:marLeft w:val="0"/>
      <w:marRight w:val="0"/>
      <w:marTop w:val="0"/>
      <w:marBottom w:val="0"/>
      <w:divBdr>
        <w:top w:val="none" w:sz="0" w:space="0" w:color="auto"/>
        <w:left w:val="none" w:sz="0" w:space="0" w:color="auto"/>
        <w:bottom w:val="none" w:sz="0" w:space="0" w:color="auto"/>
        <w:right w:val="none" w:sz="0" w:space="0" w:color="auto"/>
      </w:divBdr>
    </w:div>
    <w:div w:id="1413039534">
      <w:bodyDiv w:val="1"/>
      <w:marLeft w:val="0"/>
      <w:marRight w:val="0"/>
      <w:marTop w:val="0"/>
      <w:marBottom w:val="0"/>
      <w:divBdr>
        <w:top w:val="none" w:sz="0" w:space="0" w:color="auto"/>
        <w:left w:val="none" w:sz="0" w:space="0" w:color="auto"/>
        <w:bottom w:val="none" w:sz="0" w:space="0" w:color="auto"/>
        <w:right w:val="none" w:sz="0" w:space="0" w:color="auto"/>
      </w:divBdr>
    </w:div>
    <w:div w:id="1475677487">
      <w:bodyDiv w:val="1"/>
      <w:marLeft w:val="0"/>
      <w:marRight w:val="0"/>
      <w:marTop w:val="0"/>
      <w:marBottom w:val="0"/>
      <w:divBdr>
        <w:top w:val="none" w:sz="0" w:space="0" w:color="auto"/>
        <w:left w:val="none" w:sz="0" w:space="0" w:color="auto"/>
        <w:bottom w:val="none" w:sz="0" w:space="0" w:color="auto"/>
        <w:right w:val="none" w:sz="0" w:space="0" w:color="auto"/>
      </w:divBdr>
    </w:div>
    <w:div w:id="1485391394">
      <w:bodyDiv w:val="1"/>
      <w:marLeft w:val="0"/>
      <w:marRight w:val="0"/>
      <w:marTop w:val="0"/>
      <w:marBottom w:val="0"/>
      <w:divBdr>
        <w:top w:val="none" w:sz="0" w:space="0" w:color="auto"/>
        <w:left w:val="none" w:sz="0" w:space="0" w:color="auto"/>
        <w:bottom w:val="none" w:sz="0" w:space="0" w:color="auto"/>
        <w:right w:val="none" w:sz="0" w:space="0" w:color="auto"/>
      </w:divBdr>
    </w:div>
    <w:div w:id="1488354146">
      <w:bodyDiv w:val="1"/>
      <w:marLeft w:val="0"/>
      <w:marRight w:val="0"/>
      <w:marTop w:val="0"/>
      <w:marBottom w:val="0"/>
      <w:divBdr>
        <w:top w:val="none" w:sz="0" w:space="0" w:color="auto"/>
        <w:left w:val="none" w:sz="0" w:space="0" w:color="auto"/>
        <w:bottom w:val="none" w:sz="0" w:space="0" w:color="auto"/>
        <w:right w:val="none" w:sz="0" w:space="0" w:color="auto"/>
      </w:divBdr>
    </w:div>
    <w:div w:id="1504667777">
      <w:bodyDiv w:val="1"/>
      <w:marLeft w:val="0"/>
      <w:marRight w:val="0"/>
      <w:marTop w:val="0"/>
      <w:marBottom w:val="0"/>
      <w:divBdr>
        <w:top w:val="none" w:sz="0" w:space="0" w:color="auto"/>
        <w:left w:val="none" w:sz="0" w:space="0" w:color="auto"/>
        <w:bottom w:val="none" w:sz="0" w:space="0" w:color="auto"/>
        <w:right w:val="none" w:sz="0" w:space="0" w:color="auto"/>
      </w:divBdr>
    </w:div>
    <w:div w:id="1508401059">
      <w:bodyDiv w:val="1"/>
      <w:marLeft w:val="0"/>
      <w:marRight w:val="0"/>
      <w:marTop w:val="0"/>
      <w:marBottom w:val="0"/>
      <w:divBdr>
        <w:top w:val="none" w:sz="0" w:space="0" w:color="auto"/>
        <w:left w:val="none" w:sz="0" w:space="0" w:color="auto"/>
        <w:bottom w:val="none" w:sz="0" w:space="0" w:color="auto"/>
        <w:right w:val="none" w:sz="0" w:space="0" w:color="auto"/>
      </w:divBdr>
    </w:div>
    <w:div w:id="1512454118">
      <w:bodyDiv w:val="1"/>
      <w:marLeft w:val="0"/>
      <w:marRight w:val="0"/>
      <w:marTop w:val="0"/>
      <w:marBottom w:val="0"/>
      <w:divBdr>
        <w:top w:val="none" w:sz="0" w:space="0" w:color="auto"/>
        <w:left w:val="none" w:sz="0" w:space="0" w:color="auto"/>
        <w:bottom w:val="none" w:sz="0" w:space="0" w:color="auto"/>
        <w:right w:val="none" w:sz="0" w:space="0" w:color="auto"/>
      </w:divBdr>
    </w:div>
    <w:div w:id="1537230526">
      <w:bodyDiv w:val="1"/>
      <w:marLeft w:val="0"/>
      <w:marRight w:val="0"/>
      <w:marTop w:val="0"/>
      <w:marBottom w:val="0"/>
      <w:divBdr>
        <w:top w:val="none" w:sz="0" w:space="0" w:color="auto"/>
        <w:left w:val="none" w:sz="0" w:space="0" w:color="auto"/>
        <w:bottom w:val="none" w:sz="0" w:space="0" w:color="auto"/>
        <w:right w:val="none" w:sz="0" w:space="0" w:color="auto"/>
      </w:divBdr>
    </w:div>
    <w:div w:id="1540897783">
      <w:bodyDiv w:val="1"/>
      <w:marLeft w:val="0"/>
      <w:marRight w:val="0"/>
      <w:marTop w:val="0"/>
      <w:marBottom w:val="0"/>
      <w:divBdr>
        <w:top w:val="none" w:sz="0" w:space="0" w:color="auto"/>
        <w:left w:val="none" w:sz="0" w:space="0" w:color="auto"/>
        <w:bottom w:val="none" w:sz="0" w:space="0" w:color="auto"/>
        <w:right w:val="none" w:sz="0" w:space="0" w:color="auto"/>
      </w:divBdr>
    </w:div>
    <w:div w:id="1544947079">
      <w:bodyDiv w:val="1"/>
      <w:marLeft w:val="0"/>
      <w:marRight w:val="0"/>
      <w:marTop w:val="0"/>
      <w:marBottom w:val="0"/>
      <w:divBdr>
        <w:top w:val="none" w:sz="0" w:space="0" w:color="auto"/>
        <w:left w:val="none" w:sz="0" w:space="0" w:color="auto"/>
        <w:bottom w:val="none" w:sz="0" w:space="0" w:color="auto"/>
        <w:right w:val="none" w:sz="0" w:space="0" w:color="auto"/>
      </w:divBdr>
    </w:div>
    <w:div w:id="1585260004">
      <w:bodyDiv w:val="1"/>
      <w:marLeft w:val="0"/>
      <w:marRight w:val="0"/>
      <w:marTop w:val="0"/>
      <w:marBottom w:val="0"/>
      <w:divBdr>
        <w:top w:val="none" w:sz="0" w:space="0" w:color="auto"/>
        <w:left w:val="none" w:sz="0" w:space="0" w:color="auto"/>
        <w:bottom w:val="none" w:sz="0" w:space="0" w:color="auto"/>
        <w:right w:val="none" w:sz="0" w:space="0" w:color="auto"/>
      </w:divBdr>
    </w:div>
    <w:div w:id="1588075583">
      <w:bodyDiv w:val="1"/>
      <w:marLeft w:val="0"/>
      <w:marRight w:val="0"/>
      <w:marTop w:val="0"/>
      <w:marBottom w:val="0"/>
      <w:divBdr>
        <w:top w:val="none" w:sz="0" w:space="0" w:color="auto"/>
        <w:left w:val="none" w:sz="0" w:space="0" w:color="auto"/>
        <w:bottom w:val="none" w:sz="0" w:space="0" w:color="auto"/>
        <w:right w:val="none" w:sz="0" w:space="0" w:color="auto"/>
      </w:divBdr>
    </w:div>
    <w:div w:id="1590582409">
      <w:bodyDiv w:val="1"/>
      <w:marLeft w:val="0"/>
      <w:marRight w:val="0"/>
      <w:marTop w:val="0"/>
      <w:marBottom w:val="0"/>
      <w:divBdr>
        <w:top w:val="none" w:sz="0" w:space="0" w:color="auto"/>
        <w:left w:val="none" w:sz="0" w:space="0" w:color="auto"/>
        <w:bottom w:val="none" w:sz="0" w:space="0" w:color="auto"/>
        <w:right w:val="none" w:sz="0" w:space="0" w:color="auto"/>
      </w:divBdr>
    </w:div>
    <w:div w:id="1591307751">
      <w:bodyDiv w:val="1"/>
      <w:marLeft w:val="0"/>
      <w:marRight w:val="0"/>
      <w:marTop w:val="0"/>
      <w:marBottom w:val="0"/>
      <w:divBdr>
        <w:top w:val="none" w:sz="0" w:space="0" w:color="auto"/>
        <w:left w:val="none" w:sz="0" w:space="0" w:color="auto"/>
        <w:bottom w:val="none" w:sz="0" w:space="0" w:color="auto"/>
        <w:right w:val="none" w:sz="0" w:space="0" w:color="auto"/>
      </w:divBdr>
    </w:div>
    <w:div w:id="1619414041">
      <w:bodyDiv w:val="1"/>
      <w:marLeft w:val="0"/>
      <w:marRight w:val="0"/>
      <w:marTop w:val="0"/>
      <w:marBottom w:val="0"/>
      <w:divBdr>
        <w:top w:val="none" w:sz="0" w:space="0" w:color="auto"/>
        <w:left w:val="none" w:sz="0" w:space="0" w:color="auto"/>
        <w:bottom w:val="none" w:sz="0" w:space="0" w:color="auto"/>
        <w:right w:val="none" w:sz="0" w:space="0" w:color="auto"/>
      </w:divBdr>
    </w:div>
    <w:div w:id="1642807089">
      <w:bodyDiv w:val="1"/>
      <w:marLeft w:val="0"/>
      <w:marRight w:val="0"/>
      <w:marTop w:val="0"/>
      <w:marBottom w:val="0"/>
      <w:divBdr>
        <w:top w:val="none" w:sz="0" w:space="0" w:color="auto"/>
        <w:left w:val="none" w:sz="0" w:space="0" w:color="auto"/>
        <w:bottom w:val="none" w:sz="0" w:space="0" w:color="auto"/>
        <w:right w:val="none" w:sz="0" w:space="0" w:color="auto"/>
      </w:divBdr>
    </w:div>
    <w:div w:id="1649095672">
      <w:bodyDiv w:val="1"/>
      <w:marLeft w:val="0"/>
      <w:marRight w:val="0"/>
      <w:marTop w:val="0"/>
      <w:marBottom w:val="0"/>
      <w:divBdr>
        <w:top w:val="none" w:sz="0" w:space="0" w:color="auto"/>
        <w:left w:val="none" w:sz="0" w:space="0" w:color="auto"/>
        <w:bottom w:val="none" w:sz="0" w:space="0" w:color="auto"/>
        <w:right w:val="none" w:sz="0" w:space="0" w:color="auto"/>
      </w:divBdr>
    </w:div>
    <w:div w:id="1659769970">
      <w:bodyDiv w:val="1"/>
      <w:marLeft w:val="0"/>
      <w:marRight w:val="0"/>
      <w:marTop w:val="0"/>
      <w:marBottom w:val="0"/>
      <w:divBdr>
        <w:top w:val="none" w:sz="0" w:space="0" w:color="auto"/>
        <w:left w:val="none" w:sz="0" w:space="0" w:color="auto"/>
        <w:bottom w:val="none" w:sz="0" w:space="0" w:color="auto"/>
        <w:right w:val="none" w:sz="0" w:space="0" w:color="auto"/>
      </w:divBdr>
    </w:div>
    <w:div w:id="1668053327">
      <w:bodyDiv w:val="1"/>
      <w:marLeft w:val="0"/>
      <w:marRight w:val="0"/>
      <w:marTop w:val="0"/>
      <w:marBottom w:val="0"/>
      <w:divBdr>
        <w:top w:val="none" w:sz="0" w:space="0" w:color="auto"/>
        <w:left w:val="none" w:sz="0" w:space="0" w:color="auto"/>
        <w:bottom w:val="none" w:sz="0" w:space="0" w:color="auto"/>
        <w:right w:val="none" w:sz="0" w:space="0" w:color="auto"/>
      </w:divBdr>
    </w:div>
    <w:div w:id="1687292260">
      <w:bodyDiv w:val="1"/>
      <w:marLeft w:val="0"/>
      <w:marRight w:val="0"/>
      <w:marTop w:val="0"/>
      <w:marBottom w:val="0"/>
      <w:divBdr>
        <w:top w:val="none" w:sz="0" w:space="0" w:color="auto"/>
        <w:left w:val="none" w:sz="0" w:space="0" w:color="auto"/>
        <w:bottom w:val="none" w:sz="0" w:space="0" w:color="auto"/>
        <w:right w:val="none" w:sz="0" w:space="0" w:color="auto"/>
      </w:divBdr>
    </w:div>
    <w:div w:id="1704208354">
      <w:bodyDiv w:val="1"/>
      <w:marLeft w:val="0"/>
      <w:marRight w:val="0"/>
      <w:marTop w:val="0"/>
      <w:marBottom w:val="0"/>
      <w:divBdr>
        <w:top w:val="none" w:sz="0" w:space="0" w:color="auto"/>
        <w:left w:val="none" w:sz="0" w:space="0" w:color="auto"/>
        <w:bottom w:val="none" w:sz="0" w:space="0" w:color="auto"/>
        <w:right w:val="none" w:sz="0" w:space="0" w:color="auto"/>
      </w:divBdr>
    </w:div>
    <w:div w:id="1706440936">
      <w:bodyDiv w:val="1"/>
      <w:marLeft w:val="0"/>
      <w:marRight w:val="0"/>
      <w:marTop w:val="0"/>
      <w:marBottom w:val="0"/>
      <w:divBdr>
        <w:top w:val="none" w:sz="0" w:space="0" w:color="auto"/>
        <w:left w:val="none" w:sz="0" w:space="0" w:color="auto"/>
        <w:bottom w:val="none" w:sz="0" w:space="0" w:color="auto"/>
        <w:right w:val="none" w:sz="0" w:space="0" w:color="auto"/>
      </w:divBdr>
    </w:div>
    <w:div w:id="1711874856">
      <w:bodyDiv w:val="1"/>
      <w:marLeft w:val="0"/>
      <w:marRight w:val="0"/>
      <w:marTop w:val="0"/>
      <w:marBottom w:val="0"/>
      <w:divBdr>
        <w:top w:val="none" w:sz="0" w:space="0" w:color="auto"/>
        <w:left w:val="none" w:sz="0" w:space="0" w:color="auto"/>
        <w:bottom w:val="none" w:sz="0" w:space="0" w:color="auto"/>
        <w:right w:val="none" w:sz="0" w:space="0" w:color="auto"/>
      </w:divBdr>
    </w:div>
    <w:div w:id="1759013582">
      <w:bodyDiv w:val="1"/>
      <w:marLeft w:val="0"/>
      <w:marRight w:val="0"/>
      <w:marTop w:val="0"/>
      <w:marBottom w:val="0"/>
      <w:divBdr>
        <w:top w:val="none" w:sz="0" w:space="0" w:color="auto"/>
        <w:left w:val="none" w:sz="0" w:space="0" w:color="auto"/>
        <w:bottom w:val="none" w:sz="0" w:space="0" w:color="auto"/>
        <w:right w:val="none" w:sz="0" w:space="0" w:color="auto"/>
      </w:divBdr>
    </w:div>
    <w:div w:id="1759249795">
      <w:bodyDiv w:val="1"/>
      <w:marLeft w:val="0"/>
      <w:marRight w:val="0"/>
      <w:marTop w:val="0"/>
      <w:marBottom w:val="0"/>
      <w:divBdr>
        <w:top w:val="none" w:sz="0" w:space="0" w:color="auto"/>
        <w:left w:val="none" w:sz="0" w:space="0" w:color="auto"/>
        <w:bottom w:val="none" w:sz="0" w:space="0" w:color="auto"/>
        <w:right w:val="none" w:sz="0" w:space="0" w:color="auto"/>
      </w:divBdr>
    </w:div>
    <w:div w:id="1772966566">
      <w:bodyDiv w:val="1"/>
      <w:marLeft w:val="0"/>
      <w:marRight w:val="0"/>
      <w:marTop w:val="0"/>
      <w:marBottom w:val="0"/>
      <w:divBdr>
        <w:top w:val="none" w:sz="0" w:space="0" w:color="auto"/>
        <w:left w:val="none" w:sz="0" w:space="0" w:color="auto"/>
        <w:bottom w:val="none" w:sz="0" w:space="0" w:color="auto"/>
        <w:right w:val="none" w:sz="0" w:space="0" w:color="auto"/>
      </w:divBdr>
    </w:div>
    <w:div w:id="1792437136">
      <w:bodyDiv w:val="1"/>
      <w:marLeft w:val="0"/>
      <w:marRight w:val="0"/>
      <w:marTop w:val="0"/>
      <w:marBottom w:val="0"/>
      <w:divBdr>
        <w:top w:val="none" w:sz="0" w:space="0" w:color="auto"/>
        <w:left w:val="none" w:sz="0" w:space="0" w:color="auto"/>
        <w:bottom w:val="none" w:sz="0" w:space="0" w:color="auto"/>
        <w:right w:val="none" w:sz="0" w:space="0" w:color="auto"/>
      </w:divBdr>
    </w:div>
    <w:div w:id="1792823890">
      <w:bodyDiv w:val="1"/>
      <w:marLeft w:val="0"/>
      <w:marRight w:val="0"/>
      <w:marTop w:val="0"/>
      <w:marBottom w:val="0"/>
      <w:divBdr>
        <w:top w:val="none" w:sz="0" w:space="0" w:color="auto"/>
        <w:left w:val="none" w:sz="0" w:space="0" w:color="auto"/>
        <w:bottom w:val="none" w:sz="0" w:space="0" w:color="auto"/>
        <w:right w:val="none" w:sz="0" w:space="0" w:color="auto"/>
      </w:divBdr>
    </w:div>
    <w:div w:id="1818913405">
      <w:bodyDiv w:val="1"/>
      <w:marLeft w:val="0"/>
      <w:marRight w:val="0"/>
      <w:marTop w:val="0"/>
      <w:marBottom w:val="0"/>
      <w:divBdr>
        <w:top w:val="none" w:sz="0" w:space="0" w:color="auto"/>
        <w:left w:val="none" w:sz="0" w:space="0" w:color="auto"/>
        <w:bottom w:val="none" w:sz="0" w:space="0" w:color="auto"/>
        <w:right w:val="none" w:sz="0" w:space="0" w:color="auto"/>
      </w:divBdr>
    </w:div>
    <w:div w:id="1838182821">
      <w:bodyDiv w:val="1"/>
      <w:marLeft w:val="0"/>
      <w:marRight w:val="0"/>
      <w:marTop w:val="0"/>
      <w:marBottom w:val="0"/>
      <w:divBdr>
        <w:top w:val="none" w:sz="0" w:space="0" w:color="auto"/>
        <w:left w:val="none" w:sz="0" w:space="0" w:color="auto"/>
        <w:bottom w:val="none" w:sz="0" w:space="0" w:color="auto"/>
        <w:right w:val="none" w:sz="0" w:space="0" w:color="auto"/>
      </w:divBdr>
    </w:div>
    <w:div w:id="1841264372">
      <w:bodyDiv w:val="1"/>
      <w:marLeft w:val="0"/>
      <w:marRight w:val="0"/>
      <w:marTop w:val="0"/>
      <w:marBottom w:val="0"/>
      <w:divBdr>
        <w:top w:val="none" w:sz="0" w:space="0" w:color="auto"/>
        <w:left w:val="none" w:sz="0" w:space="0" w:color="auto"/>
        <w:bottom w:val="none" w:sz="0" w:space="0" w:color="auto"/>
        <w:right w:val="none" w:sz="0" w:space="0" w:color="auto"/>
      </w:divBdr>
    </w:div>
    <w:div w:id="1867593005">
      <w:bodyDiv w:val="1"/>
      <w:marLeft w:val="0"/>
      <w:marRight w:val="0"/>
      <w:marTop w:val="0"/>
      <w:marBottom w:val="0"/>
      <w:divBdr>
        <w:top w:val="none" w:sz="0" w:space="0" w:color="auto"/>
        <w:left w:val="none" w:sz="0" w:space="0" w:color="auto"/>
        <w:bottom w:val="none" w:sz="0" w:space="0" w:color="auto"/>
        <w:right w:val="none" w:sz="0" w:space="0" w:color="auto"/>
      </w:divBdr>
    </w:div>
    <w:div w:id="1882356170">
      <w:bodyDiv w:val="1"/>
      <w:marLeft w:val="0"/>
      <w:marRight w:val="0"/>
      <w:marTop w:val="0"/>
      <w:marBottom w:val="0"/>
      <w:divBdr>
        <w:top w:val="none" w:sz="0" w:space="0" w:color="auto"/>
        <w:left w:val="none" w:sz="0" w:space="0" w:color="auto"/>
        <w:bottom w:val="none" w:sz="0" w:space="0" w:color="auto"/>
        <w:right w:val="none" w:sz="0" w:space="0" w:color="auto"/>
      </w:divBdr>
    </w:div>
    <w:div w:id="1962566580">
      <w:bodyDiv w:val="1"/>
      <w:marLeft w:val="0"/>
      <w:marRight w:val="0"/>
      <w:marTop w:val="0"/>
      <w:marBottom w:val="0"/>
      <w:divBdr>
        <w:top w:val="none" w:sz="0" w:space="0" w:color="auto"/>
        <w:left w:val="none" w:sz="0" w:space="0" w:color="auto"/>
        <w:bottom w:val="none" w:sz="0" w:space="0" w:color="auto"/>
        <w:right w:val="none" w:sz="0" w:space="0" w:color="auto"/>
      </w:divBdr>
    </w:div>
    <w:div w:id="1964799667">
      <w:bodyDiv w:val="1"/>
      <w:marLeft w:val="0"/>
      <w:marRight w:val="0"/>
      <w:marTop w:val="0"/>
      <w:marBottom w:val="0"/>
      <w:divBdr>
        <w:top w:val="none" w:sz="0" w:space="0" w:color="auto"/>
        <w:left w:val="none" w:sz="0" w:space="0" w:color="auto"/>
        <w:bottom w:val="none" w:sz="0" w:space="0" w:color="auto"/>
        <w:right w:val="none" w:sz="0" w:space="0" w:color="auto"/>
      </w:divBdr>
    </w:div>
    <w:div w:id="1982149726">
      <w:bodyDiv w:val="1"/>
      <w:marLeft w:val="0"/>
      <w:marRight w:val="0"/>
      <w:marTop w:val="0"/>
      <w:marBottom w:val="0"/>
      <w:divBdr>
        <w:top w:val="none" w:sz="0" w:space="0" w:color="auto"/>
        <w:left w:val="none" w:sz="0" w:space="0" w:color="auto"/>
        <w:bottom w:val="none" w:sz="0" w:space="0" w:color="auto"/>
        <w:right w:val="none" w:sz="0" w:space="0" w:color="auto"/>
      </w:divBdr>
    </w:div>
    <w:div w:id="2010059374">
      <w:bodyDiv w:val="1"/>
      <w:marLeft w:val="0"/>
      <w:marRight w:val="0"/>
      <w:marTop w:val="0"/>
      <w:marBottom w:val="0"/>
      <w:divBdr>
        <w:top w:val="none" w:sz="0" w:space="0" w:color="auto"/>
        <w:left w:val="none" w:sz="0" w:space="0" w:color="auto"/>
        <w:bottom w:val="none" w:sz="0" w:space="0" w:color="auto"/>
        <w:right w:val="none" w:sz="0" w:space="0" w:color="auto"/>
      </w:divBdr>
    </w:div>
    <w:div w:id="2022003441">
      <w:bodyDiv w:val="1"/>
      <w:marLeft w:val="0"/>
      <w:marRight w:val="0"/>
      <w:marTop w:val="0"/>
      <w:marBottom w:val="0"/>
      <w:divBdr>
        <w:top w:val="none" w:sz="0" w:space="0" w:color="auto"/>
        <w:left w:val="none" w:sz="0" w:space="0" w:color="auto"/>
        <w:bottom w:val="none" w:sz="0" w:space="0" w:color="auto"/>
        <w:right w:val="none" w:sz="0" w:space="0" w:color="auto"/>
      </w:divBdr>
    </w:div>
    <w:div w:id="2028604359">
      <w:bodyDiv w:val="1"/>
      <w:marLeft w:val="0"/>
      <w:marRight w:val="0"/>
      <w:marTop w:val="0"/>
      <w:marBottom w:val="0"/>
      <w:divBdr>
        <w:top w:val="none" w:sz="0" w:space="0" w:color="auto"/>
        <w:left w:val="none" w:sz="0" w:space="0" w:color="auto"/>
        <w:bottom w:val="none" w:sz="0" w:space="0" w:color="auto"/>
        <w:right w:val="none" w:sz="0" w:space="0" w:color="auto"/>
      </w:divBdr>
    </w:div>
    <w:div w:id="2029720939">
      <w:bodyDiv w:val="1"/>
      <w:marLeft w:val="0"/>
      <w:marRight w:val="0"/>
      <w:marTop w:val="0"/>
      <w:marBottom w:val="0"/>
      <w:divBdr>
        <w:top w:val="none" w:sz="0" w:space="0" w:color="auto"/>
        <w:left w:val="none" w:sz="0" w:space="0" w:color="auto"/>
        <w:bottom w:val="none" w:sz="0" w:space="0" w:color="auto"/>
        <w:right w:val="none" w:sz="0" w:space="0" w:color="auto"/>
      </w:divBdr>
      <w:divsChild>
        <w:div w:id="1597591508">
          <w:marLeft w:val="446"/>
          <w:marRight w:val="0"/>
          <w:marTop w:val="200"/>
          <w:marBottom w:val="0"/>
          <w:divBdr>
            <w:top w:val="none" w:sz="0" w:space="0" w:color="auto"/>
            <w:left w:val="none" w:sz="0" w:space="0" w:color="auto"/>
            <w:bottom w:val="none" w:sz="0" w:space="0" w:color="auto"/>
            <w:right w:val="none" w:sz="0" w:space="0" w:color="auto"/>
          </w:divBdr>
        </w:div>
        <w:div w:id="478770434">
          <w:marLeft w:val="446"/>
          <w:marRight w:val="0"/>
          <w:marTop w:val="200"/>
          <w:marBottom w:val="0"/>
          <w:divBdr>
            <w:top w:val="none" w:sz="0" w:space="0" w:color="auto"/>
            <w:left w:val="none" w:sz="0" w:space="0" w:color="auto"/>
            <w:bottom w:val="none" w:sz="0" w:space="0" w:color="auto"/>
            <w:right w:val="none" w:sz="0" w:space="0" w:color="auto"/>
          </w:divBdr>
        </w:div>
      </w:divsChild>
    </w:div>
    <w:div w:id="2033606214">
      <w:bodyDiv w:val="1"/>
      <w:marLeft w:val="0"/>
      <w:marRight w:val="0"/>
      <w:marTop w:val="0"/>
      <w:marBottom w:val="0"/>
      <w:divBdr>
        <w:top w:val="none" w:sz="0" w:space="0" w:color="auto"/>
        <w:left w:val="none" w:sz="0" w:space="0" w:color="auto"/>
        <w:bottom w:val="none" w:sz="0" w:space="0" w:color="auto"/>
        <w:right w:val="none" w:sz="0" w:space="0" w:color="auto"/>
      </w:divBdr>
    </w:div>
    <w:div w:id="2045396480">
      <w:bodyDiv w:val="1"/>
      <w:marLeft w:val="0"/>
      <w:marRight w:val="0"/>
      <w:marTop w:val="0"/>
      <w:marBottom w:val="0"/>
      <w:divBdr>
        <w:top w:val="none" w:sz="0" w:space="0" w:color="auto"/>
        <w:left w:val="none" w:sz="0" w:space="0" w:color="auto"/>
        <w:bottom w:val="none" w:sz="0" w:space="0" w:color="auto"/>
        <w:right w:val="none" w:sz="0" w:space="0" w:color="auto"/>
      </w:divBdr>
    </w:div>
    <w:div w:id="2045665315">
      <w:bodyDiv w:val="1"/>
      <w:marLeft w:val="0"/>
      <w:marRight w:val="0"/>
      <w:marTop w:val="0"/>
      <w:marBottom w:val="0"/>
      <w:divBdr>
        <w:top w:val="none" w:sz="0" w:space="0" w:color="auto"/>
        <w:left w:val="none" w:sz="0" w:space="0" w:color="auto"/>
        <w:bottom w:val="none" w:sz="0" w:space="0" w:color="auto"/>
        <w:right w:val="none" w:sz="0" w:space="0" w:color="auto"/>
      </w:divBdr>
    </w:div>
    <w:div w:id="2064408794">
      <w:bodyDiv w:val="1"/>
      <w:marLeft w:val="0"/>
      <w:marRight w:val="0"/>
      <w:marTop w:val="0"/>
      <w:marBottom w:val="0"/>
      <w:divBdr>
        <w:top w:val="none" w:sz="0" w:space="0" w:color="auto"/>
        <w:left w:val="none" w:sz="0" w:space="0" w:color="auto"/>
        <w:bottom w:val="none" w:sz="0" w:space="0" w:color="auto"/>
        <w:right w:val="none" w:sz="0" w:space="0" w:color="auto"/>
      </w:divBdr>
    </w:div>
    <w:div w:id="2070685453">
      <w:bodyDiv w:val="1"/>
      <w:marLeft w:val="0"/>
      <w:marRight w:val="0"/>
      <w:marTop w:val="0"/>
      <w:marBottom w:val="0"/>
      <w:divBdr>
        <w:top w:val="none" w:sz="0" w:space="0" w:color="auto"/>
        <w:left w:val="none" w:sz="0" w:space="0" w:color="auto"/>
        <w:bottom w:val="none" w:sz="0" w:space="0" w:color="auto"/>
        <w:right w:val="none" w:sz="0" w:space="0" w:color="auto"/>
      </w:divBdr>
    </w:div>
    <w:div w:id="2107650966">
      <w:bodyDiv w:val="1"/>
      <w:marLeft w:val="0"/>
      <w:marRight w:val="0"/>
      <w:marTop w:val="0"/>
      <w:marBottom w:val="0"/>
      <w:divBdr>
        <w:top w:val="none" w:sz="0" w:space="0" w:color="auto"/>
        <w:left w:val="none" w:sz="0" w:space="0" w:color="auto"/>
        <w:bottom w:val="none" w:sz="0" w:space="0" w:color="auto"/>
        <w:right w:val="none" w:sz="0" w:space="0" w:color="auto"/>
      </w:divBdr>
    </w:div>
    <w:div w:id="2113426413">
      <w:bodyDiv w:val="1"/>
      <w:marLeft w:val="0"/>
      <w:marRight w:val="0"/>
      <w:marTop w:val="0"/>
      <w:marBottom w:val="0"/>
      <w:divBdr>
        <w:top w:val="none" w:sz="0" w:space="0" w:color="auto"/>
        <w:left w:val="none" w:sz="0" w:space="0" w:color="auto"/>
        <w:bottom w:val="none" w:sz="0" w:space="0" w:color="auto"/>
        <w:right w:val="none" w:sz="0" w:space="0" w:color="auto"/>
      </w:divBdr>
    </w:div>
    <w:div w:id="2120176823">
      <w:bodyDiv w:val="1"/>
      <w:marLeft w:val="0"/>
      <w:marRight w:val="0"/>
      <w:marTop w:val="0"/>
      <w:marBottom w:val="0"/>
      <w:divBdr>
        <w:top w:val="none" w:sz="0" w:space="0" w:color="auto"/>
        <w:left w:val="none" w:sz="0" w:space="0" w:color="auto"/>
        <w:bottom w:val="none" w:sz="0" w:space="0" w:color="auto"/>
        <w:right w:val="none" w:sz="0" w:space="0" w:color="auto"/>
      </w:divBdr>
    </w:div>
    <w:div w:id="2121562678">
      <w:bodyDiv w:val="1"/>
      <w:marLeft w:val="0"/>
      <w:marRight w:val="0"/>
      <w:marTop w:val="0"/>
      <w:marBottom w:val="0"/>
      <w:divBdr>
        <w:top w:val="none" w:sz="0" w:space="0" w:color="auto"/>
        <w:left w:val="none" w:sz="0" w:space="0" w:color="auto"/>
        <w:bottom w:val="none" w:sz="0" w:space="0" w:color="auto"/>
        <w:right w:val="none" w:sz="0" w:space="0" w:color="auto"/>
      </w:divBdr>
    </w:div>
    <w:div w:id="2126344595">
      <w:bodyDiv w:val="1"/>
      <w:marLeft w:val="0"/>
      <w:marRight w:val="0"/>
      <w:marTop w:val="0"/>
      <w:marBottom w:val="0"/>
      <w:divBdr>
        <w:top w:val="none" w:sz="0" w:space="0" w:color="auto"/>
        <w:left w:val="none" w:sz="0" w:space="0" w:color="auto"/>
        <w:bottom w:val="none" w:sz="0" w:space="0" w:color="auto"/>
        <w:right w:val="none" w:sz="0" w:space="0" w:color="auto"/>
      </w:divBdr>
    </w:div>
    <w:div w:id="212854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7E5D2C7864C97BA82E637C6FB9B24"/>
        <w:category>
          <w:name w:val="General"/>
          <w:gallery w:val="placeholder"/>
        </w:category>
        <w:types>
          <w:type w:val="bbPlcHdr"/>
        </w:types>
        <w:behaviors>
          <w:behavior w:val="content"/>
        </w:behaviors>
        <w:guid w:val="{AA3C5C35-8486-4E89-966B-6274447BB73F}"/>
      </w:docPartPr>
      <w:docPartBody>
        <w:p w:rsidR="007E6B5B" w:rsidRDefault="0063685B" w:rsidP="0063685B">
          <w:pPr>
            <w:pStyle w:val="0017E5D2C7864C97BA82E637C6FB9B24"/>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5B"/>
    <w:rsid w:val="00002D7C"/>
    <w:rsid w:val="00002F83"/>
    <w:rsid w:val="000D105E"/>
    <w:rsid w:val="000D60A8"/>
    <w:rsid w:val="000E27F9"/>
    <w:rsid w:val="000E7D26"/>
    <w:rsid w:val="00106685"/>
    <w:rsid w:val="00124C6C"/>
    <w:rsid w:val="00151E5B"/>
    <w:rsid w:val="001561F6"/>
    <w:rsid w:val="001A0E3D"/>
    <w:rsid w:val="001E7CBA"/>
    <w:rsid w:val="00211EF5"/>
    <w:rsid w:val="002403D8"/>
    <w:rsid w:val="0026026D"/>
    <w:rsid w:val="00264666"/>
    <w:rsid w:val="00264BAC"/>
    <w:rsid w:val="002E4BEF"/>
    <w:rsid w:val="002F595B"/>
    <w:rsid w:val="00346DF5"/>
    <w:rsid w:val="003D2D71"/>
    <w:rsid w:val="003D4E3F"/>
    <w:rsid w:val="004009A7"/>
    <w:rsid w:val="00436E4B"/>
    <w:rsid w:val="00451F3B"/>
    <w:rsid w:val="00467600"/>
    <w:rsid w:val="004B20C0"/>
    <w:rsid w:val="004D71AF"/>
    <w:rsid w:val="004E7917"/>
    <w:rsid w:val="004F617C"/>
    <w:rsid w:val="005302BB"/>
    <w:rsid w:val="00533780"/>
    <w:rsid w:val="00551E01"/>
    <w:rsid w:val="00556F21"/>
    <w:rsid w:val="00581EE8"/>
    <w:rsid w:val="005E5E4D"/>
    <w:rsid w:val="00603346"/>
    <w:rsid w:val="0062439D"/>
    <w:rsid w:val="0063685B"/>
    <w:rsid w:val="00644756"/>
    <w:rsid w:val="006457A6"/>
    <w:rsid w:val="00662EC9"/>
    <w:rsid w:val="006B122F"/>
    <w:rsid w:val="006D06B9"/>
    <w:rsid w:val="00700519"/>
    <w:rsid w:val="00701E3E"/>
    <w:rsid w:val="00763A92"/>
    <w:rsid w:val="00767692"/>
    <w:rsid w:val="00792BA2"/>
    <w:rsid w:val="007C7CAA"/>
    <w:rsid w:val="007D5800"/>
    <w:rsid w:val="007E6B5B"/>
    <w:rsid w:val="007F7789"/>
    <w:rsid w:val="00803FA8"/>
    <w:rsid w:val="008120FB"/>
    <w:rsid w:val="00815448"/>
    <w:rsid w:val="00844E9F"/>
    <w:rsid w:val="008841D2"/>
    <w:rsid w:val="008A5D4D"/>
    <w:rsid w:val="008A7956"/>
    <w:rsid w:val="008C1415"/>
    <w:rsid w:val="008E053C"/>
    <w:rsid w:val="008F53DB"/>
    <w:rsid w:val="008F743D"/>
    <w:rsid w:val="009335C5"/>
    <w:rsid w:val="009535C1"/>
    <w:rsid w:val="0096219B"/>
    <w:rsid w:val="009904CA"/>
    <w:rsid w:val="00993E1D"/>
    <w:rsid w:val="009C6ECB"/>
    <w:rsid w:val="00A07161"/>
    <w:rsid w:val="00A455C3"/>
    <w:rsid w:val="00A46852"/>
    <w:rsid w:val="00A5105B"/>
    <w:rsid w:val="00A61E6B"/>
    <w:rsid w:val="00A83B0F"/>
    <w:rsid w:val="00A97166"/>
    <w:rsid w:val="00AD5ED0"/>
    <w:rsid w:val="00B070D8"/>
    <w:rsid w:val="00B07367"/>
    <w:rsid w:val="00B15D33"/>
    <w:rsid w:val="00B5508D"/>
    <w:rsid w:val="00C3028E"/>
    <w:rsid w:val="00C30797"/>
    <w:rsid w:val="00C561EE"/>
    <w:rsid w:val="00C6157D"/>
    <w:rsid w:val="00C715F5"/>
    <w:rsid w:val="00C8507D"/>
    <w:rsid w:val="00CD283B"/>
    <w:rsid w:val="00CD770B"/>
    <w:rsid w:val="00D45707"/>
    <w:rsid w:val="00DA38D4"/>
    <w:rsid w:val="00E16C15"/>
    <w:rsid w:val="00E215BE"/>
    <w:rsid w:val="00E65900"/>
    <w:rsid w:val="00E70507"/>
    <w:rsid w:val="00E82EDE"/>
    <w:rsid w:val="00EB7738"/>
    <w:rsid w:val="00EC1654"/>
    <w:rsid w:val="00ED6836"/>
    <w:rsid w:val="00F11ED9"/>
    <w:rsid w:val="00F23426"/>
    <w:rsid w:val="00F96931"/>
    <w:rsid w:val="00FC24AB"/>
    <w:rsid w:val="00FE3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B"/>
    <w:rPr>
      <w:color w:val="808080"/>
    </w:rPr>
  </w:style>
  <w:style w:type="paragraph" w:customStyle="1" w:styleId="0017E5D2C7864C97BA82E637C6FB9B24">
    <w:name w:val="0017E5D2C7864C97BA82E637C6FB9B24"/>
    <w:rsid w:val="00636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862E6E60497C4680C5AB25B02F4E10" ma:contentTypeVersion="4" ma:contentTypeDescription="Create a new document." ma:contentTypeScope="" ma:versionID="4014e19c38200eeeeb3717f38defa6ae">
  <xsd:schema xmlns:xsd="http://www.w3.org/2001/XMLSchema" xmlns:xs="http://www.w3.org/2001/XMLSchema" xmlns:p="http://schemas.microsoft.com/office/2006/metadata/properties" xmlns:ns3="c9a6731c-53d6-464c-b253-c810b90fd6a8" targetNamespace="http://schemas.microsoft.com/office/2006/metadata/properties" ma:root="true" ma:fieldsID="7d4280e0d54e8983bf6a74d3d7b5a152" ns3:_="">
    <xsd:import namespace="c9a6731c-53d6-464c-b253-c810b90fd6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6731c-53d6-464c-b253-c810b90fd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9F448-8F2B-4BBA-8A65-A566D8C2BBD7}">
  <ds:schemaRefs>
    <ds:schemaRef ds:uri="http://schemas.microsoft.com/sharepoint/v3/contenttype/forms"/>
  </ds:schemaRefs>
</ds:datastoreItem>
</file>

<file path=customXml/itemProps2.xml><?xml version="1.0" encoding="utf-8"?>
<ds:datastoreItem xmlns:ds="http://schemas.openxmlformats.org/officeDocument/2006/customXml" ds:itemID="{1B6AD85A-CE4B-4163-9608-0A3A0216288E}">
  <ds:schemaRefs>
    <ds:schemaRef ds:uri="c9a6731c-53d6-464c-b253-c810b90fd6a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8890A2A-FB17-4B84-813C-0D66B843F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6731c-53d6-464c-b253-c810b90fd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CF7DF-2536-4542-9D09-2D916E11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Francis</dc:creator>
  <cp:keywords/>
  <dc:description/>
  <cp:lastModifiedBy>Liz Blayney (Public Health Wales - No. 2 Capital Quarter)</cp:lastModifiedBy>
  <cp:revision>15</cp:revision>
  <cp:lastPrinted>2020-03-24T14:09:00Z</cp:lastPrinted>
  <dcterms:created xsi:type="dcterms:W3CDTF">2023-01-10T09:45:00Z</dcterms:created>
  <dcterms:modified xsi:type="dcterms:W3CDTF">2023-01-23T15:41:00Z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0x010100FE862E6E60497C4680C5AB25B02F4E10</vt:lpwstr>
  </property>
</Properties>
</file>