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57720" w14:textId="32A3BBEC" w:rsidR="00B14157" w:rsidRDefault="00B14157" w:rsidP="006279AC">
      <w:pPr>
        <w:tabs>
          <w:tab w:val="left" w:pos="1275"/>
        </w:tabs>
        <w:rPr>
          <w:b/>
        </w:rPr>
      </w:pPr>
    </w:p>
    <w:tbl>
      <w:tblPr>
        <w:tblStyle w:val="TableGrid"/>
        <w:tblpPr w:leftFromText="180" w:rightFromText="180" w:horzAnchor="margin" w:tblpY="109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7"/>
        <w:gridCol w:w="5959"/>
      </w:tblGrid>
      <w:tr w:rsidR="00B14157" w:rsidRPr="008F1F7E" w14:paraId="174465F5" w14:textId="77777777" w:rsidTr="006279AC">
        <w:tc>
          <w:tcPr>
            <w:tcW w:w="9016" w:type="dxa"/>
            <w:gridSpan w:val="2"/>
            <w:vAlign w:val="center"/>
          </w:tcPr>
          <w:p w14:paraId="3607FD33" w14:textId="77777777" w:rsidR="00AD1ADD" w:rsidRDefault="00AD1ADD" w:rsidP="006279AC">
            <w:pPr>
              <w:rPr>
                <w:b/>
                <w:noProof/>
                <w:lang w:eastAsia="en-GB"/>
              </w:rPr>
            </w:pPr>
          </w:p>
          <w:p w14:paraId="482E1C49" w14:textId="50ADC915" w:rsidR="00B14157" w:rsidRDefault="006279AC" w:rsidP="006279AC">
            <w:pPr>
              <w:rPr>
                <w:b/>
                <w:sz w:val="28"/>
              </w:rPr>
            </w:pPr>
            <w:r w:rsidRPr="008F1F7E">
              <w:rPr>
                <w:b/>
                <w:noProof/>
                <w:lang w:eastAsia="en-GB"/>
              </w:rPr>
              <w:drawing>
                <wp:inline distT="0" distB="0" distL="0" distR="0" wp14:anchorId="379F9172" wp14:editId="004CA9C9">
                  <wp:extent cx="5772150" cy="1357062"/>
                  <wp:effectExtent l="0" t="0" r="0" b="0"/>
                  <wp:docPr id="4"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7" cstate="print"/>
                          <a:srcRect/>
                          <a:stretch>
                            <a:fillRect/>
                          </a:stretch>
                        </pic:blipFill>
                        <pic:spPr bwMode="auto">
                          <a:xfrm>
                            <a:off x="0" y="0"/>
                            <a:ext cx="5803048" cy="1364326"/>
                          </a:xfrm>
                          <a:prstGeom prst="rect">
                            <a:avLst/>
                          </a:prstGeom>
                          <a:noFill/>
                          <a:ln w="9525">
                            <a:noFill/>
                            <a:miter lim="800000"/>
                            <a:headEnd/>
                            <a:tailEnd/>
                          </a:ln>
                        </pic:spPr>
                      </pic:pic>
                    </a:graphicData>
                  </a:graphic>
                </wp:inline>
              </w:drawing>
            </w:r>
          </w:p>
          <w:p w14:paraId="2C000173" w14:textId="77777777" w:rsidR="00B14157" w:rsidRPr="00912C7B" w:rsidRDefault="00B14157" w:rsidP="006279AC">
            <w:pPr>
              <w:rPr>
                <w:b/>
                <w:sz w:val="28"/>
              </w:rPr>
            </w:pPr>
          </w:p>
        </w:tc>
      </w:tr>
      <w:tr w:rsidR="00B14157" w:rsidRPr="008F1F7E" w14:paraId="3BE54668" w14:textId="77777777" w:rsidTr="006279AC">
        <w:tc>
          <w:tcPr>
            <w:tcW w:w="9016" w:type="dxa"/>
            <w:gridSpan w:val="2"/>
            <w:tcBorders>
              <w:bottom w:val="single" w:sz="4" w:space="0" w:color="auto"/>
            </w:tcBorders>
            <w:vAlign w:val="center"/>
          </w:tcPr>
          <w:p w14:paraId="36081EED" w14:textId="07080A97" w:rsidR="00B14157" w:rsidRDefault="00B14157" w:rsidP="006279AC">
            <w:pPr>
              <w:jc w:val="center"/>
              <w:rPr>
                <w:b/>
                <w:sz w:val="36"/>
                <w:szCs w:val="36"/>
              </w:rPr>
            </w:pPr>
            <w:r>
              <w:rPr>
                <w:b/>
                <w:sz w:val="36"/>
                <w:szCs w:val="36"/>
              </w:rPr>
              <w:t>EU Transition Preparedness</w:t>
            </w:r>
            <w:r w:rsidR="006279AC">
              <w:rPr>
                <w:b/>
                <w:sz w:val="36"/>
                <w:szCs w:val="36"/>
              </w:rPr>
              <w:t xml:space="preserve"> Programme</w:t>
            </w:r>
          </w:p>
          <w:p w14:paraId="70974967" w14:textId="77777777" w:rsidR="00B14157" w:rsidRDefault="00B14157" w:rsidP="006279AC">
            <w:pPr>
              <w:jc w:val="center"/>
              <w:rPr>
                <w:b/>
                <w:sz w:val="36"/>
                <w:szCs w:val="36"/>
              </w:rPr>
            </w:pPr>
            <w:r>
              <w:rPr>
                <w:b/>
                <w:sz w:val="36"/>
                <w:szCs w:val="36"/>
              </w:rPr>
              <w:t>Project Closure Report</w:t>
            </w:r>
          </w:p>
          <w:p w14:paraId="76E7F66A" w14:textId="77777777" w:rsidR="00B14157" w:rsidRPr="00D34F08" w:rsidRDefault="00B14157" w:rsidP="006279AC">
            <w:pPr>
              <w:jc w:val="center"/>
              <w:rPr>
                <w:b/>
                <w:sz w:val="36"/>
                <w:szCs w:val="36"/>
              </w:rPr>
            </w:pPr>
          </w:p>
        </w:tc>
      </w:tr>
      <w:tr w:rsidR="00B14157" w:rsidRPr="001C60B5" w14:paraId="6325E874" w14:textId="77777777" w:rsidTr="006279AC">
        <w:tc>
          <w:tcPr>
            <w:tcW w:w="2802" w:type="dxa"/>
            <w:tcBorders>
              <w:top w:val="single" w:sz="4" w:space="0" w:color="auto"/>
              <w:left w:val="single" w:sz="4" w:space="0" w:color="auto"/>
              <w:bottom w:val="single" w:sz="4" w:space="0" w:color="auto"/>
              <w:right w:val="single" w:sz="4" w:space="0" w:color="auto"/>
            </w:tcBorders>
          </w:tcPr>
          <w:p w14:paraId="65CACE09" w14:textId="77777777" w:rsidR="00B14157" w:rsidRPr="00292B58" w:rsidRDefault="00B14157" w:rsidP="006279AC">
            <w:pPr>
              <w:rPr>
                <w:b/>
                <w:sz w:val="24"/>
                <w:szCs w:val="24"/>
              </w:rPr>
            </w:pPr>
            <w:r w:rsidRPr="00292B58">
              <w:rPr>
                <w:b/>
                <w:sz w:val="24"/>
                <w:szCs w:val="24"/>
              </w:rPr>
              <w:t>Executive lead:</w:t>
            </w:r>
          </w:p>
        </w:tc>
        <w:tc>
          <w:tcPr>
            <w:tcW w:w="6214" w:type="dxa"/>
            <w:tcBorders>
              <w:top w:val="single" w:sz="4" w:space="0" w:color="auto"/>
              <w:left w:val="single" w:sz="4" w:space="0" w:color="auto"/>
              <w:bottom w:val="single" w:sz="4" w:space="0" w:color="auto"/>
              <w:right w:val="single" w:sz="4" w:space="0" w:color="auto"/>
            </w:tcBorders>
          </w:tcPr>
          <w:p w14:paraId="304F0956" w14:textId="77777777" w:rsidR="00B14157" w:rsidRPr="00292B58" w:rsidRDefault="00B14157" w:rsidP="006279AC">
            <w:pPr>
              <w:rPr>
                <w:color w:val="FF0000"/>
                <w:sz w:val="24"/>
                <w:szCs w:val="24"/>
              </w:rPr>
            </w:pPr>
            <w:r w:rsidRPr="00292B58">
              <w:rPr>
                <w:color w:val="000000" w:themeColor="text1"/>
                <w:sz w:val="24"/>
                <w:szCs w:val="24"/>
              </w:rPr>
              <w:t>Andrew Jones, Interim Executive Director of Public Health Services</w:t>
            </w:r>
          </w:p>
        </w:tc>
      </w:tr>
      <w:tr w:rsidR="00B14157" w:rsidRPr="001C60B5" w14:paraId="42E788AA" w14:textId="77777777" w:rsidTr="006279AC">
        <w:tc>
          <w:tcPr>
            <w:tcW w:w="2802" w:type="dxa"/>
            <w:tcBorders>
              <w:top w:val="single" w:sz="4" w:space="0" w:color="auto"/>
              <w:left w:val="single" w:sz="4" w:space="0" w:color="auto"/>
              <w:bottom w:val="single" w:sz="4" w:space="0" w:color="auto"/>
              <w:right w:val="single" w:sz="4" w:space="0" w:color="auto"/>
            </w:tcBorders>
          </w:tcPr>
          <w:p w14:paraId="40539D88" w14:textId="77777777" w:rsidR="00B14157" w:rsidRPr="00292B58" w:rsidRDefault="00B14157" w:rsidP="006279AC">
            <w:pPr>
              <w:rPr>
                <w:b/>
                <w:sz w:val="24"/>
                <w:szCs w:val="24"/>
              </w:rPr>
            </w:pPr>
            <w:r w:rsidRPr="00292B58">
              <w:rPr>
                <w:b/>
                <w:sz w:val="24"/>
                <w:szCs w:val="24"/>
              </w:rPr>
              <w:t>Author:</w:t>
            </w:r>
          </w:p>
        </w:tc>
        <w:tc>
          <w:tcPr>
            <w:tcW w:w="6214" w:type="dxa"/>
            <w:tcBorders>
              <w:top w:val="single" w:sz="4" w:space="0" w:color="auto"/>
              <w:left w:val="single" w:sz="4" w:space="0" w:color="auto"/>
              <w:bottom w:val="single" w:sz="4" w:space="0" w:color="auto"/>
              <w:right w:val="single" w:sz="4" w:space="0" w:color="auto"/>
            </w:tcBorders>
          </w:tcPr>
          <w:p w14:paraId="62CF39C1" w14:textId="77777777" w:rsidR="00B14157" w:rsidRPr="00292B58" w:rsidRDefault="00B14157" w:rsidP="006279AC">
            <w:pPr>
              <w:rPr>
                <w:color w:val="000000" w:themeColor="text1"/>
                <w:sz w:val="24"/>
                <w:szCs w:val="24"/>
              </w:rPr>
            </w:pPr>
            <w:r w:rsidRPr="00292B58">
              <w:rPr>
                <w:color w:val="000000" w:themeColor="text1"/>
                <w:sz w:val="24"/>
                <w:szCs w:val="24"/>
              </w:rPr>
              <w:t xml:space="preserve">Deborah Murray, Senior Project Manager </w:t>
            </w:r>
          </w:p>
        </w:tc>
      </w:tr>
      <w:tr w:rsidR="00B14157" w:rsidRPr="001C60B5" w14:paraId="1F6A9779" w14:textId="77777777" w:rsidTr="006279AC">
        <w:trPr>
          <w:trHeight w:val="149"/>
        </w:trPr>
        <w:tc>
          <w:tcPr>
            <w:tcW w:w="2802" w:type="dxa"/>
            <w:tcBorders>
              <w:top w:val="single" w:sz="4" w:space="0" w:color="auto"/>
              <w:left w:val="single" w:sz="4" w:space="0" w:color="auto"/>
              <w:bottom w:val="single" w:sz="4" w:space="0" w:color="auto"/>
              <w:right w:val="single" w:sz="4" w:space="0" w:color="auto"/>
            </w:tcBorders>
          </w:tcPr>
          <w:p w14:paraId="4772BCA5" w14:textId="77777777" w:rsidR="00B14157" w:rsidRPr="005B4E75" w:rsidRDefault="00B14157" w:rsidP="006279AC">
            <w:pPr>
              <w:rPr>
                <w:b/>
                <w:sz w:val="12"/>
                <w:szCs w:val="12"/>
              </w:rPr>
            </w:pPr>
          </w:p>
        </w:tc>
        <w:tc>
          <w:tcPr>
            <w:tcW w:w="6214" w:type="dxa"/>
            <w:tcBorders>
              <w:top w:val="single" w:sz="4" w:space="0" w:color="auto"/>
              <w:left w:val="single" w:sz="4" w:space="0" w:color="auto"/>
              <w:bottom w:val="single" w:sz="4" w:space="0" w:color="auto"/>
              <w:right w:val="single" w:sz="4" w:space="0" w:color="auto"/>
            </w:tcBorders>
          </w:tcPr>
          <w:p w14:paraId="17BBEC72" w14:textId="77777777" w:rsidR="00B14157" w:rsidRPr="005B4E75" w:rsidRDefault="00B14157" w:rsidP="006279AC">
            <w:pPr>
              <w:rPr>
                <w:sz w:val="12"/>
                <w:szCs w:val="12"/>
              </w:rPr>
            </w:pPr>
          </w:p>
        </w:tc>
      </w:tr>
      <w:tr w:rsidR="00B14157" w:rsidRPr="001C60B5" w14:paraId="06993CE2" w14:textId="77777777" w:rsidTr="006279AC">
        <w:tc>
          <w:tcPr>
            <w:tcW w:w="2802" w:type="dxa"/>
            <w:tcBorders>
              <w:top w:val="single" w:sz="4" w:space="0" w:color="auto"/>
              <w:left w:val="single" w:sz="4" w:space="0" w:color="auto"/>
              <w:bottom w:val="single" w:sz="4" w:space="0" w:color="auto"/>
              <w:right w:val="single" w:sz="4" w:space="0" w:color="auto"/>
            </w:tcBorders>
          </w:tcPr>
          <w:p w14:paraId="5741D06D" w14:textId="2B1BF556" w:rsidR="00B14157" w:rsidRPr="00292B58" w:rsidRDefault="00B14157" w:rsidP="006279AC">
            <w:pPr>
              <w:rPr>
                <w:b/>
                <w:sz w:val="24"/>
                <w:szCs w:val="24"/>
              </w:rPr>
            </w:pPr>
            <w:r w:rsidRPr="00292B58">
              <w:rPr>
                <w:b/>
                <w:sz w:val="24"/>
                <w:szCs w:val="24"/>
              </w:rPr>
              <w:t>Approval</w:t>
            </w:r>
            <w:r w:rsidR="00BB0323">
              <w:rPr>
                <w:b/>
                <w:sz w:val="24"/>
                <w:szCs w:val="24"/>
              </w:rPr>
              <w:t xml:space="preserve"> </w:t>
            </w:r>
            <w:r w:rsidRPr="00292B58">
              <w:rPr>
                <w:b/>
                <w:sz w:val="24"/>
                <w:szCs w:val="24"/>
              </w:rPr>
              <w:t>/</w:t>
            </w:r>
            <w:r w:rsidR="00BB0323">
              <w:rPr>
                <w:b/>
                <w:sz w:val="24"/>
                <w:szCs w:val="24"/>
              </w:rPr>
              <w:t xml:space="preserve"> </w:t>
            </w:r>
            <w:r w:rsidRPr="00292B58">
              <w:rPr>
                <w:b/>
                <w:sz w:val="24"/>
                <w:szCs w:val="24"/>
              </w:rPr>
              <w:t>Scrutiny route:</w:t>
            </w:r>
          </w:p>
        </w:tc>
        <w:tc>
          <w:tcPr>
            <w:tcW w:w="6214" w:type="dxa"/>
            <w:tcBorders>
              <w:top w:val="single" w:sz="4" w:space="0" w:color="auto"/>
              <w:left w:val="single" w:sz="4" w:space="0" w:color="auto"/>
              <w:bottom w:val="single" w:sz="4" w:space="0" w:color="auto"/>
              <w:right w:val="single" w:sz="4" w:space="0" w:color="auto"/>
            </w:tcBorders>
          </w:tcPr>
          <w:p w14:paraId="12E5CCC7" w14:textId="49A3BCD5" w:rsidR="00B14157" w:rsidRPr="00D606C9" w:rsidRDefault="00B14157" w:rsidP="006279AC">
            <w:pPr>
              <w:pStyle w:val="ListParagraph"/>
              <w:numPr>
                <w:ilvl w:val="0"/>
                <w:numId w:val="35"/>
              </w:numPr>
              <w:ind w:left="352" w:hanging="352"/>
              <w:jc w:val="both"/>
              <w:rPr>
                <w:color w:val="000000" w:themeColor="text1"/>
                <w:sz w:val="24"/>
                <w:szCs w:val="24"/>
              </w:rPr>
            </w:pPr>
            <w:r w:rsidRPr="00D606C9">
              <w:rPr>
                <w:color w:val="000000" w:themeColor="text1"/>
                <w:sz w:val="24"/>
                <w:szCs w:val="24"/>
              </w:rPr>
              <w:t>Public Health Wales EU Exit Preparedness Programme SRO Group</w:t>
            </w:r>
            <w:r w:rsidR="006279AC">
              <w:rPr>
                <w:color w:val="000000" w:themeColor="text1"/>
                <w:sz w:val="24"/>
                <w:szCs w:val="24"/>
              </w:rPr>
              <w:t xml:space="preserve"> (29 March 2021)</w:t>
            </w:r>
          </w:p>
          <w:p w14:paraId="14EDA658" w14:textId="2B17CB6A" w:rsidR="00B14157" w:rsidRPr="00D606C9" w:rsidRDefault="00B14157" w:rsidP="006279AC">
            <w:pPr>
              <w:pStyle w:val="ListParagraph"/>
              <w:numPr>
                <w:ilvl w:val="0"/>
                <w:numId w:val="35"/>
              </w:numPr>
              <w:ind w:left="352" w:hanging="352"/>
              <w:jc w:val="both"/>
              <w:rPr>
                <w:color w:val="000000" w:themeColor="text1"/>
                <w:sz w:val="24"/>
                <w:szCs w:val="24"/>
              </w:rPr>
            </w:pPr>
            <w:r w:rsidRPr="00D606C9">
              <w:rPr>
                <w:color w:val="000000" w:themeColor="text1"/>
                <w:sz w:val="24"/>
                <w:szCs w:val="24"/>
              </w:rPr>
              <w:t>Public Health Wales Business Executive Team</w:t>
            </w:r>
            <w:r w:rsidR="006279AC">
              <w:rPr>
                <w:color w:val="000000" w:themeColor="text1"/>
                <w:sz w:val="24"/>
                <w:szCs w:val="24"/>
              </w:rPr>
              <w:t xml:space="preserve"> (6 April 2021)</w:t>
            </w:r>
          </w:p>
          <w:p w14:paraId="7C132C59" w14:textId="481430B0" w:rsidR="002E06A8" w:rsidRPr="002E06A8" w:rsidRDefault="002E06A8" w:rsidP="001D7978">
            <w:pPr>
              <w:pStyle w:val="ListParagraph"/>
              <w:numPr>
                <w:ilvl w:val="0"/>
                <w:numId w:val="35"/>
              </w:numPr>
              <w:ind w:left="352" w:hanging="352"/>
              <w:jc w:val="both"/>
              <w:rPr>
                <w:color w:val="000000" w:themeColor="text1"/>
              </w:rPr>
            </w:pPr>
            <w:r w:rsidRPr="00D606C9">
              <w:rPr>
                <w:color w:val="000000" w:themeColor="text1"/>
                <w:sz w:val="24"/>
                <w:szCs w:val="24"/>
              </w:rPr>
              <w:t>Public Health Wales Board</w:t>
            </w:r>
            <w:r w:rsidR="006279AC">
              <w:rPr>
                <w:color w:val="000000" w:themeColor="text1"/>
                <w:sz w:val="24"/>
                <w:szCs w:val="24"/>
              </w:rPr>
              <w:t xml:space="preserve"> (2</w:t>
            </w:r>
            <w:r w:rsidR="001D7978">
              <w:rPr>
                <w:color w:val="000000" w:themeColor="text1"/>
                <w:sz w:val="24"/>
                <w:szCs w:val="24"/>
              </w:rPr>
              <w:t>7 May</w:t>
            </w:r>
            <w:r w:rsidR="006279AC">
              <w:rPr>
                <w:color w:val="000000" w:themeColor="text1"/>
                <w:sz w:val="24"/>
                <w:szCs w:val="24"/>
              </w:rPr>
              <w:t xml:space="preserve"> 2021)</w:t>
            </w:r>
          </w:p>
        </w:tc>
      </w:tr>
      <w:tr w:rsidR="00B14157" w:rsidRPr="001C60B5" w14:paraId="79E4B4C7" w14:textId="77777777" w:rsidTr="006279AC">
        <w:trPr>
          <w:trHeight w:val="317"/>
        </w:trPr>
        <w:tc>
          <w:tcPr>
            <w:tcW w:w="9016" w:type="dxa"/>
            <w:gridSpan w:val="2"/>
            <w:tcBorders>
              <w:top w:val="single" w:sz="4" w:space="0" w:color="auto"/>
            </w:tcBorders>
          </w:tcPr>
          <w:p w14:paraId="3FC168F7" w14:textId="77777777" w:rsidR="00B14157" w:rsidRPr="005B4E75" w:rsidRDefault="00B14157" w:rsidP="006279AC">
            <w:pPr>
              <w:rPr>
                <w:b/>
                <w:sz w:val="12"/>
                <w:szCs w:val="12"/>
              </w:rPr>
            </w:pPr>
          </w:p>
        </w:tc>
      </w:tr>
    </w:tbl>
    <w:p w14:paraId="225EAB34" w14:textId="1379D500" w:rsidR="006279AC" w:rsidRDefault="006279AC" w:rsidP="006279AC">
      <w:pPr>
        <w:rPr>
          <w:b/>
        </w:rPr>
      </w:pPr>
    </w:p>
    <w:p w14:paraId="29821394" w14:textId="3FC3AABB" w:rsidR="006279AC" w:rsidRDefault="00AD1ADD" w:rsidP="00AD1ADD">
      <w:pPr>
        <w:jc w:val="right"/>
        <w:rPr>
          <w:b/>
        </w:rPr>
      </w:pPr>
      <w:r>
        <w:rPr>
          <w:b/>
        </w:rPr>
        <w:t>Appendix 1</w:t>
      </w:r>
      <w:bookmarkStart w:id="0" w:name="_GoBack"/>
      <w:bookmarkEnd w:id="0"/>
    </w:p>
    <w:p w14:paraId="773E5D65" w14:textId="77777777" w:rsidR="00B14157" w:rsidRDefault="00B14157" w:rsidP="00B14157">
      <w:pPr>
        <w:pStyle w:val="Heading1"/>
        <w:numPr>
          <w:ilvl w:val="0"/>
          <w:numId w:val="17"/>
        </w:numPr>
        <w:ind w:left="851" w:hanging="851"/>
      </w:pPr>
      <w:r w:rsidRPr="0051545B">
        <w:t>PURPOSE</w:t>
      </w:r>
    </w:p>
    <w:p w14:paraId="2E91D8F0" w14:textId="77777777" w:rsidR="00B14157" w:rsidRPr="0051545B" w:rsidRDefault="00B14157" w:rsidP="00B14157">
      <w:pPr>
        <w:jc w:val="both"/>
      </w:pPr>
    </w:p>
    <w:p w14:paraId="2C3C42BC" w14:textId="77777777" w:rsidR="00B14157" w:rsidRDefault="00B14157" w:rsidP="00B14157">
      <w:pPr>
        <w:ind w:left="851" w:hanging="851"/>
        <w:jc w:val="both"/>
      </w:pPr>
      <w:r>
        <w:t>1.1</w:t>
      </w:r>
      <w:r>
        <w:tab/>
      </w:r>
      <w:r w:rsidRPr="0051545B">
        <w:t xml:space="preserve">The purpose of this </w:t>
      </w:r>
      <w:r>
        <w:t xml:space="preserve">Programme Closure Report </w:t>
      </w:r>
      <w:r w:rsidRPr="0051545B">
        <w:t>is to bring together into one place:</w:t>
      </w:r>
    </w:p>
    <w:p w14:paraId="1ED8EE15" w14:textId="77777777" w:rsidR="00B14157" w:rsidRPr="0051545B" w:rsidRDefault="00B14157" w:rsidP="00B14157">
      <w:pPr>
        <w:jc w:val="both"/>
      </w:pPr>
    </w:p>
    <w:p w14:paraId="667A7D6A" w14:textId="2333B2E0" w:rsidR="006279AC" w:rsidRDefault="00B14157" w:rsidP="00266477">
      <w:pPr>
        <w:pStyle w:val="ListParagraph"/>
        <w:numPr>
          <w:ilvl w:val="0"/>
          <w:numId w:val="5"/>
        </w:numPr>
        <w:spacing w:after="200"/>
        <w:ind w:left="709" w:hanging="567"/>
        <w:jc w:val="both"/>
      </w:pPr>
      <w:r w:rsidRPr="0051545B">
        <w:t xml:space="preserve">an overview of the work of the </w:t>
      </w:r>
      <w:r>
        <w:t xml:space="preserve">Public Health Wales EU </w:t>
      </w:r>
      <w:r w:rsidR="00BB0323">
        <w:t xml:space="preserve">Transition Preparedness </w:t>
      </w:r>
      <w:r>
        <w:t>Programme (‘Brexit Programme’) for the period November 2018 to 31 March 2021</w:t>
      </w:r>
    </w:p>
    <w:p w14:paraId="47945902" w14:textId="77777777" w:rsidR="006279AC" w:rsidRDefault="006279AC" w:rsidP="00266477">
      <w:pPr>
        <w:pStyle w:val="ListParagraph"/>
        <w:spacing w:after="200"/>
        <w:ind w:left="709" w:hanging="567"/>
        <w:jc w:val="both"/>
      </w:pPr>
    </w:p>
    <w:p w14:paraId="3C22CFB4" w14:textId="3BD72432" w:rsidR="00B14157" w:rsidRDefault="00B14157" w:rsidP="00266477">
      <w:pPr>
        <w:pStyle w:val="ListParagraph"/>
        <w:numPr>
          <w:ilvl w:val="0"/>
          <w:numId w:val="5"/>
        </w:numPr>
        <w:spacing w:after="200"/>
        <w:ind w:left="709" w:hanging="567"/>
        <w:jc w:val="both"/>
      </w:pPr>
      <w:r w:rsidRPr="0051545B">
        <w:t xml:space="preserve">the suite of products produced to support the </w:t>
      </w:r>
      <w:r>
        <w:t>Programme</w:t>
      </w:r>
    </w:p>
    <w:p w14:paraId="1E87136C" w14:textId="77777777" w:rsidR="00B14157" w:rsidRDefault="00B14157" w:rsidP="00266477">
      <w:pPr>
        <w:pStyle w:val="ListParagraph"/>
        <w:ind w:left="709" w:hanging="567"/>
        <w:jc w:val="both"/>
      </w:pPr>
    </w:p>
    <w:p w14:paraId="3F00D759" w14:textId="77777777" w:rsidR="00B14157" w:rsidRDefault="00B14157" w:rsidP="00266477">
      <w:pPr>
        <w:pStyle w:val="ListParagraph"/>
        <w:numPr>
          <w:ilvl w:val="0"/>
          <w:numId w:val="5"/>
        </w:numPr>
        <w:spacing w:after="200"/>
        <w:ind w:left="709" w:hanging="567"/>
        <w:jc w:val="both"/>
      </w:pPr>
      <w:r>
        <w:t xml:space="preserve">the suite of products produced to support the </w:t>
      </w:r>
      <w:r w:rsidRPr="0051545B">
        <w:t xml:space="preserve">Health </w:t>
      </w:r>
      <w:r>
        <w:t xml:space="preserve">Protection (including Health Securities) Sub Group of the </w:t>
      </w:r>
      <w:r w:rsidRPr="0051545B">
        <w:t xml:space="preserve">EU Transition </w:t>
      </w:r>
      <w:r>
        <w:t>Leadership Group, and</w:t>
      </w:r>
    </w:p>
    <w:p w14:paraId="1E524541" w14:textId="77777777" w:rsidR="00B14157" w:rsidRDefault="00B14157" w:rsidP="00266477">
      <w:pPr>
        <w:pStyle w:val="ListParagraph"/>
        <w:ind w:left="709" w:hanging="567"/>
        <w:jc w:val="both"/>
      </w:pPr>
    </w:p>
    <w:p w14:paraId="6C37FF75" w14:textId="172B5C23" w:rsidR="007E4744" w:rsidRDefault="00B14157" w:rsidP="00266477">
      <w:pPr>
        <w:pStyle w:val="ListParagraph"/>
        <w:numPr>
          <w:ilvl w:val="0"/>
          <w:numId w:val="5"/>
        </w:numPr>
        <w:spacing w:after="200"/>
        <w:ind w:left="709" w:hanging="567"/>
        <w:jc w:val="both"/>
        <w:sectPr w:rsidR="007E4744" w:rsidSect="006279AC">
          <w:footerReference w:type="default" r:id="rId8"/>
          <w:pgSz w:w="11906" w:h="16838"/>
          <w:pgMar w:top="22" w:right="1440" w:bottom="1440" w:left="1440" w:header="708" w:footer="708" w:gutter="0"/>
          <w:cols w:space="708"/>
          <w:docGrid w:linePitch="360"/>
        </w:sectPr>
      </w:pPr>
      <w:r>
        <w:t xml:space="preserve">an outline of the End Stage Action Plan which sets out legacy work </w:t>
      </w:r>
      <w:r w:rsidR="00BB0323">
        <w:t xml:space="preserve">from </w:t>
      </w:r>
      <w:r>
        <w:t>April 2021 onwards.</w:t>
      </w:r>
    </w:p>
    <w:p w14:paraId="393A5371" w14:textId="77777777" w:rsidR="00B14157" w:rsidRPr="0051545B" w:rsidRDefault="00B14157" w:rsidP="00B14157">
      <w:pPr>
        <w:pStyle w:val="Heading1"/>
        <w:numPr>
          <w:ilvl w:val="0"/>
          <w:numId w:val="17"/>
        </w:numPr>
        <w:ind w:left="851" w:hanging="851"/>
      </w:pPr>
      <w:r w:rsidRPr="0051545B">
        <w:lastRenderedPageBreak/>
        <w:t>INTRODUCTION</w:t>
      </w:r>
    </w:p>
    <w:p w14:paraId="0D9FEB79" w14:textId="77777777" w:rsidR="00B14157" w:rsidRDefault="00B14157" w:rsidP="00B14157">
      <w:pPr>
        <w:jc w:val="both"/>
      </w:pPr>
    </w:p>
    <w:p w14:paraId="4B193721" w14:textId="20D0C7F9" w:rsidR="00B14157" w:rsidRDefault="00B14157" w:rsidP="00B14157">
      <w:pPr>
        <w:ind w:left="851" w:hanging="851"/>
        <w:contextualSpacing/>
        <w:jc w:val="both"/>
        <w:rPr>
          <w:rFonts w:eastAsia="Times New Roman" w:cs="Times New Roman"/>
          <w:bCs/>
          <w:kern w:val="36"/>
          <w:lang w:eastAsia="en-GB"/>
        </w:rPr>
      </w:pPr>
      <w:r>
        <w:rPr>
          <w:rFonts w:eastAsiaTheme="minorEastAsia"/>
          <w:color w:val="000000" w:themeColor="text1"/>
          <w:kern w:val="24"/>
          <w:lang w:eastAsia="en-GB"/>
        </w:rPr>
        <w:t>2.1</w:t>
      </w:r>
      <w:r>
        <w:rPr>
          <w:rFonts w:eastAsiaTheme="minorEastAsia"/>
          <w:color w:val="000000" w:themeColor="text1"/>
          <w:kern w:val="24"/>
          <w:lang w:eastAsia="en-GB"/>
        </w:rPr>
        <w:tab/>
      </w:r>
      <w:r w:rsidRPr="00221063">
        <w:rPr>
          <w:rFonts w:eastAsiaTheme="minorEastAsia"/>
          <w:color w:val="000000" w:themeColor="text1"/>
          <w:kern w:val="24"/>
          <w:lang w:eastAsia="en-GB"/>
        </w:rPr>
        <w:t xml:space="preserve">Following the UK European Membership Referendum in </w:t>
      </w:r>
      <w:r>
        <w:rPr>
          <w:rFonts w:eastAsiaTheme="minorEastAsia"/>
          <w:color w:val="000000" w:themeColor="text1"/>
          <w:kern w:val="24"/>
          <w:lang w:eastAsia="en-GB"/>
        </w:rPr>
        <w:t xml:space="preserve">June 2016 when the UK voted to leave the EU, </w:t>
      </w:r>
      <w:r w:rsidRPr="008A24A9">
        <w:t xml:space="preserve">NHS organisations </w:t>
      </w:r>
      <w:r>
        <w:t xml:space="preserve">were </w:t>
      </w:r>
      <w:r w:rsidRPr="008A24A9">
        <w:t>asked to consider and prepare for the potential impact of a no-deal Brexit</w:t>
      </w:r>
      <w:r>
        <w:t xml:space="preserve"> on 29 </w:t>
      </w:r>
      <w:r w:rsidRPr="008A24A9">
        <w:t>M</w:t>
      </w:r>
      <w:r>
        <w:t xml:space="preserve">arch 2019. </w:t>
      </w:r>
      <w:r w:rsidR="00BB0323">
        <w:t xml:space="preserve"> </w:t>
      </w:r>
      <w:r w:rsidRPr="00352BC6">
        <w:rPr>
          <w:rFonts w:eastAsiaTheme="minorEastAsia"/>
          <w:color w:val="000000" w:themeColor="text1"/>
          <w:kern w:val="24"/>
          <w:lang w:eastAsia="en-GB"/>
        </w:rPr>
        <w:t>Following several extensions</w:t>
      </w:r>
      <w:r>
        <w:rPr>
          <w:rFonts w:eastAsiaTheme="minorEastAsia"/>
          <w:color w:val="000000" w:themeColor="text1"/>
          <w:kern w:val="24"/>
          <w:lang w:eastAsia="en-GB"/>
        </w:rPr>
        <w:t xml:space="preserve">, </w:t>
      </w:r>
      <w:r w:rsidRPr="00352BC6">
        <w:rPr>
          <w:rFonts w:eastAsiaTheme="minorEastAsia"/>
          <w:color w:val="000000" w:themeColor="text1"/>
          <w:kern w:val="24"/>
          <w:lang w:eastAsia="en-GB"/>
        </w:rPr>
        <w:t xml:space="preserve">the </w:t>
      </w:r>
      <w:r>
        <w:rPr>
          <w:rFonts w:eastAsiaTheme="minorEastAsia"/>
          <w:color w:val="000000" w:themeColor="text1"/>
          <w:kern w:val="24"/>
          <w:lang w:eastAsia="en-GB"/>
        </w:rPr>
        <w:t xml:space="preserve">UK finally left the EU on 31 January 2020, entering into a Transition Period which ended on 31 December 2020.  During this time, the main focus and preparation within </w:t>
      </w:r>
      <w:r w:rsidR="00180BBA">
        <w:rPr>
          <w:rFonts w:eastAsiaTheme="minorEastAsia"/>
          <w:color w:val="000000" w:themeColor="text1"/>
          <w:kern w:val="24"/>
          <w:lang w:eastAsia="en-GB"/>
        </w:rPr>
        <w:t xml:space="preserve">Public Health Wales </w:t>
      </w:r>
      <w:r>
        <w:rPr>
          <w:rFonts w:eastAsiaTheme="minorEastAsia"/>
          <w:color w:val="000000" w:themeColor="text1"/>
          <w:kern w:val="24"/>
          <w:lang w:eastAsia="en-GB"/>
        </w:rPr>
        <w:t xml:space="preserve">was in relation to the potential for a ‘No Deal’.  However, on 24 December 2020 an EU-UK Trade and Cooperation Agreement (TCA) was reached which came into force on 1 January 2021.  The TCA was ratified by the UK </w:t>
      </w:r>
      <w:r w:rsidR="004F1974">
        <w:rPr>
          <w:rFonts w:eastAsiaTheme="minorEastAsia"/>
          <w:color w:val="000000" w:themeColor="text1"/>
          <w:kern w:val="24"/>
          <w:lang w:eastAsia="en-GB"/>
        </w:rPr>
        <w:t xml:space="preserve">in December 2020 and </w:t>
      </w:r>
      <w:r>
        <w:rPr>
          <w:rFonts w:eastAsiaTheme="minorEastAsia"/>
          <w:color w:val="000000" w:themeColor="text1"/>
          <w:kern w:val="24"/>
          <w:lang w:eastAsia="en-GB"/>
        </w:rPr>
        <w:t xml:space="preserve">by the European Parliament </w:t>
      </w:r>
      <w:r w:rsidR="004F1974">
        <w:rPr>
          <w:rFonts w:eastAsiaTheme="minorEastAsia"/>
          <w:color w:val="000000" w:themeColor="text1"/>
          <w:kern w:val="24"/>
          <w:lang w:eastAsia="en-GB"/>
        </w:rPr>
        <w:t xml:space="preserve">on 21 April 2021.  Agreements, including summary documents, </w:t>
      </w:r>
      <w:r w:rsidRPr="00A7186B">
        <w:rPr>
          <w:rFonts w:eastAsia="Times New Roman" w:cs="Times New Roman"/>
          <w:bCs/>
          <w:kern w:val="36"/>
          <w:lang w:eastAsia="en-GB"/>
        </w:rPr>
        <w:t>reached between the U</w:t>
      </w:r>
      <w:r>
        <w:rPr>
          <w:rFonts w:eastAsia="Times New Roman" w:cs="Times New Roman"/>
          <w:bCs/>
          <w:kern w:val="36"/>
          <w:lang w:eastAsia="en-GB"/>
        </w:rPr>
        <w:t xml:space="preserve">K and </w:t>
      </w:r>
      <w:r w:rsidRPr="00A7186B">
        <w:rPr>
          <w:rFonts w:eastAsia="Times New Roman" w:cs="Times New Roman"/>
          <w:bCs/>
          <w:kern w:val="36"/>
          <w:lang w:eastAsia="en-GB"/>
        </w:rPr>
        <w:t>the E</w:t>
      </w:r>
      <w:r>
        <w:rPr>
          <w:rFonts w:eastAsia="Times New Roman" w:cs="Times New Roman"/>
          <w:bCs/>
          <w:kern w:val="36"/>
          <w:lang w:eastAsia="en-GB"/>
        </w:rPr>
        <w:t xml:space="preserve">U </w:t>
      </w:r>
      <w:r w:rsidR="004F1974">
        <w:rPr>
          <w:rFonts w:eastAsia="Times New Roman" w:cs="Times New Roman"/>
          <w:bCs/>
          <w:kern w:val="36"/>
          <w:lang w:eastAsia="en-GB"/>
        </w:rPr>
        <w:t>can be accessed here</w:t>
      </w:r>
      <w:r w:rsidRPr="00A7186B">
        <w:rPr>
          <w:rFonts w:eastAsia="Times New Roman" w:cs="Times New Roman"/>
          <w:bCs/>
          <w:kern w:val="36"/>
          <w:lang w:eastAsia="en-GB"/>
        </w:rPr>
        <w:t>:</w:t>
      </w:r>
    </w:p>
    <w:p w14:paraId="447F97D5" w14:textId="457B59E8" w:rsidR="004F1974" w:rsidRDefault="004F1974" w:rsidP="00B14157">
      <w:pPr>
        <w:ind w:left="851" w:hanging="851"/>
        <w:contextualSpacing/>
        <w:jc w:val="both"/>
        <w:rPr>
          <w:rFonts w:eastAsia="Times New Roman" w:cs="Times New Roman"/>
          <w:bCs/>
          <w:kern w:val="36"/>
          <w:lang w:eastAsia="en-GB"/>
        </w:rPr>
      </w:pPr>
    </w:p>
    <w:p w14:paraId="1890EA0A" w14:textId="367595A6" w:rsidR="004F1974" w:rsidRDefault="00CD3DF6" w:rsidP="004F1974">
      <w:pPr>
        <w:ind w:left="851"/>
        <w:contextualSpacing/>
        <w:jc w:val="both"/>
        <w:rPr>
          <w:rFonts w:eastAsia="Times New Roman" w:cs="Times New Roman"/>
          <w:bCs/>
          <w:kern w:val="36"/>
          <w:lang w:eastAsia="en-GB"/>
        </w:rPr>
      </w:pPr>
      <w:hyperlink r:id="rId9" w:history="1">
        <w:r w:rsidR="004F1974">
          <w:rPr>
            <w:rStyle w:val="Hyperlink"/>
            <w:rFonts w:eastAsia="Times New Roman" w:cs="Times New Roman"/>
            <w:bCs/>
            <w:kern w:val="36"/>
            <w:lang w:eastAsia="en-GB"/>
          </w:rPr>
          <w:t>EU Exit TCA documents</w:t>
        </w:r>
      </w:hyperlink>
    </w:p>
    <w:p w14:paraId="60DA4111" w14:textId="77777777" w:rsidR="00B14157" w:rsidRDefault="00B14157" w:rsidP="00B14157">
      <w:pPr>
        <w:ind w:left="851" w:hanging="851"/>
        <w:contextualSpacing/>
        <w:jc w:val="both"/>
        <w:rPr>
          <w:rFonts w:eastAsiaTheme="minorEastAsia"/>
          <w:color w:val="000000" w:themeColor="text1"/>
          <w:kern w:val="24"/>
          <w:lang w:eastAsia="en-GB"/>
        </w:rPr>
      </w:pPr>
    </w:p>
    <w:p w14:paraId="2FFF0F9B" w14:textId="77777777" w:rsidR="00B14157" w:rsidRDefault="00B14157" w:rsidP="00B14157">
      <w:pPr>
        <w:ind w:left="851" w:hanging="851"/>
        <w:contextualSpacing/>
        <w:jc w:val="both"/>
        <w:rPr>
          <w:rFonts w:eastAsiaTheme="minorEastAsia"/>
          <w:color w:val="000000" w:themeColor="text1"/>
          <w:kern w:val="24"/>
          <w:lang w:eastAsia="en-GB"/>
        </w:rPr>
      </w:pPr>
      <w:r>
        <w:rPr>
          <w:rFonts w:eastAsiaTheme="minorEastAsia"/>
          <w:color w:val="000000" w:themeColor="text1"/>
          <w:kern w:val="24"/>
          <w:lang w:eastAsia="en-GB"/>
        </w:rPr>
        <w:t>2.2</w:t>
      </w:r>
      <w:r>
        <w:rPr>
          <w:rFonts w:eastAsiaTheme="minorEastAsia"/>
          <w:color w:val="000000" w:themeColor="text1"/>
          <w:kern w:val="24"/>
          <w:lang w:eastAsia="en-GB"/>
        </w:rPr>
        <w:tab/>
        <w:t>Public Health Wales set up a formal EU Exit Programme in November 2018 to ensure the organisation was fully prepared for when the UK left the EU.</w:t>
      </w:r>
    </w:p>
    <w:p w14:paraId="67066C65" w14:textId="77777777" w:rsidR="00B14157" w:rsidRDefault="00B14157" w:rsidP="00B14157">
      <w:pPr>
        <w:ind w:left="851" w:hanging="851"/>
        <w:contextualSpacing/>
        <w:jc w:val="both"/>
        <w:rPr>
          <w:rFonts w:eastAsiaTheme="minorEastAsia"/>
          <w:color w:val="000000" w:themeColor="text1"/>
          <w:kern w:val="24"/>
          <w:lang w:eastAsia="en-GB"/>
        </w:rPr>
      </w:pPr>
    </w:p>
    <w:p w14:paraId="7C795CA4" w14:textId="23BB845E" w:rsidR="00B14157" w:rsidRDefault="00B14157" w:rsidP="00B14157">
      <w:pPr>
        <w:ind w:left="851" w:hanging="851"/>
        <w:contextualSpacing/>
        <w:jc w:val="both"/>
        <w:rPr>
          <w:rFonts w:eastAsiaTheme="minorEastAsia"/>
          <w:color w:val="000000" w:themeColor="text1"/>
          <w:kern w:val="24"/>
          <w:lang w:eastAsia="en-GB"/>
        </w:rPr>
      </w:pPr>
      <w:r>
        <w:rPr>
          <w:rFonts w:eastAsiaTheme="minorEastAsia"/>
          <w:color w:val="000000" w:themeColor="text1"/>
          <w:kern w:val="24"/>
          <w:lang w:eastAsia="en-GB"/>
        </w:rPr>
        <w:t>2.3</w:t>
      </w:r>
      <w:r>
        <w:rPr>
          <w:rFonts w:eastAsiaTheme="minorEastAsia"/>
          <w:color w:val="000000" w:themeColor="text1"/>
          <w:kern w:val="24"/>
          <w:lang w:eastAsia="en-GB"/>
        </w:rPr>
        <w:tab/>
        <w:t xml:space="preserve">Due to the COVID-19 response, the Programme was paused in </w:t>
      </w:r>
      <w:r w:rsidR="004F1974">
        <w:rPr>
          <w:rFonts w:eastAsiaTheme="minorEastAsia"/>
          <w:color w:val="000000" w:themeColor="text1"/>
          <w:kern w:val="24"/>
          <w:lang w:eastAsia="en-GB"/>
        </w:rPr>
        <w:t xml:space="preserve">January </w:t>
      </w:r>
      <w:r>
        <w:rPr>
          <w:rFonts w:eastAsiaTheme="minorEastAsia"/>
          <w:color w:val="000000" w:themeColor="text1"/>
          <w:kern w:val="24"/>
          <w:lang w:eastAsia="en-GB"/>
        </w:rPr>
        <w:t>2020 and resumed in September 2020.</w:t>
      </w:r>
    </w:p>
    <w:p w14:paraId="56E40CBE" w14:textId="77777777" w:rsidR="00B14157" w:rsidRDefault="00B14157" w:rsidP="00B14157">
      <w:pPr>
        <w:ind w:left="851" w:hanging="851"/>
        <w:contextualSpacing/>
        <w:jc w:val="both"/>
        <w:rPr>
          <w:rFonts w:eastAsiaTheme="minorEastAsia"/>
          <w:color w:val="000000" w:themeColor="text1"/>
          <w:kern w:val="24"/>
          <w:lang w:eastAsia="en-GB"/>
        </w:rPr>
      </w:pPr>
    </w:p>
    <w:p w14:paraId="05C9B6F5" w14:textId="3205603E" w:rsidR="00B14157" w:rsidRDefault="00B14157" w:rsidP="00B14157">
      <w:pPr>
        <w:ind w:left="851" w:hanging="851"/>
        <w:contextualSpacing/>
        <w:jc w:val="both"/>
        <w:rPr>
          <w:rFonts w:eastAsiaTheme="minorEastAsia"/>
          <w:color w:val="000000" w:themeColor="text1"/>
          <w:kern w:val="24"/>
          <w:lang w:eastAsia="en-GB"/>
        </w:rPr>
      </w:pPr>
      <w:r>
        <w:rPr>
          <w:rFonts w:eastAsiaTheme="minorEastAsia"/>
          <w:color w:val="000000" w:themeColor="text1"/>
          <w:kern w:val="24"/>
          <w:lang w:eastAsia="en-GB"/>
        </w:rPr>
        <w:t>2.4</w:t>
      </w:r>
      <w:r>
        <w:rPr>
          <w:rFonts w:eastAsiaTheme="minorEastAsia"/>
          <w:color w:val="000000" w:themeColor="text1"/>
          <w:kern w:val="24"/>
          <w:lang w:eastAsia="en-GB"/>
        </w:rPr>
        <w:tab/>
        <w:t xml:space="preserve">Regular updates </w:t>
      </w:r>
      <w:r w:rsidR="004F1974">
        <w:rPr>
          <w:rFonts w:eastAsiaTheme="minorEastAsia"/>
          <w:color w:val="000000" w:themeColor="text1"/>
          <w:kern w:val="24"/>
          <w:lang w:eastAsia="en-GB"/>
        </w:rPr>
        <w:t xml:space="preserve">were </w:t>
      </w:r>
      <w:r>
        <w:rPr>
          <w:rFonts w:eastAsiaTheme="minorEastAsia"/>
          <w:color w:val="000000" w:themeColor="text1"/>
          <w:kern w:val="24"/>
          <w:lang w:eastAsia="en-GB"/>
        </w:rPr>
        <w:t xml:space="preserve">provided to the </w:t>
      </w:r>
      <w:r w:rsidR="008809B1">
        <w:t xml:space="preserve">Public Health Wales </w:t>
      </w:r>
      <w:r>
        <w:rPr>
          <w:rFonts w:eastAsiaTheme="minorEastAsia"/>
          <w:color w:val="000000" w:themeColor="text1"/>
          <w:kern w:val="24"/>
          <w:lang w:eastAsia="en-GB"/>
        </w:rPr>
        <w:t xml:space="preserve">Business Executive Team and Board throughout the length of the Programme.  A schedule of internal reports and presentations provided is included at </w:t>
      </w:r>
      <w:r w:rsidRPr="00661A7F">
        <w:rPr>
          <w:rFonts w:eastAsiaTheme="minorEastAsia"/>
          <w:b/>
          <w:color w:val="000000" w:themeColor="text1"/>
          <w:kern w:val="24"/>
          <w:lang w:eastAsia="en-GB"/>
        </w:rPr>
        <w:t>Appendix A</w:t>
      </w:r>
      <w:r>
        <w:rPr>
          <w:rFonts w:eastAsiaTheme="minorEastAsia"/>
          <w:color w:val="000000" w:themeColor="text1"/>
          <w:kern w:val="24"/>
          <w:lang w:eastAsia="en-GB"/>
        </w:rPr>
        <w:t xml:space="preserve"> to this report.</w:t>
      </w:r>
    </w:p>
    <w:p w14:paraId="267C97FE" w14:textId="77777777" w:rsidR="00B14157" w:rsidRDefault="00B14157" w:rsidP="00B14157">
      <w:pPr>
        <w:ind w:left="851" w:hanging="851"/>
        <w:contextualSpacing/>
        <w:jc w:val="both"/>
        <w:rPr>
          <w:rFonts w:eastAsia="Times New Roman" w:cs="Times New Roman"/>
          <w:bCs/>
          <w:kern w:val="36"/>
          <w:lang w:eastAsia="en-GB"/>
        </w:rPr>
      </w:pPr>
    </w:p>
    <w:p w14:paraId="4D51D7FA" w14:textId="2A13D5C2" w:rsidR="00B14157" w:rsidRPr="007E4744" w:rsidRDefault="00B14157" w:rsidP="007E4744">
      <w:pPr>
        <w:ind w:left="851" w:hanging="851"/>
        <w:jc w:val="both"/>
        <w:rPr>
          <w:rFonts w:eastAsia="Times New Roman" w:cs="Times New Roman"/>
          <w:bCs/>
          <w:kern w:val="36"/>
          <w:lang w:eastAsia="en-GB"/>
        </w:rPr>
      </w:pPr>
      <w:r>
        <w:rPr>
          <w:rFonts w:eastAsia="Times New Roman" w:cs="Times New Roman"/>
          <w:bCs/>
          <w:kern w:val="36"/>
          <w:lang w:eastAsia="en-GB"/>
        </w:rPr>
        <w:t>2.5</w:t>
      </w:r>
      <w:r>
        <w:rPr>
          <w:rFonts w:eastAsia="Times New Roman" w:cs="Times New Roman"/>
          <w:bCs/>
          <w:kern w:val="36"/>
          <w:lang w:eastAsia="en-GB"/>
        </w:rPr>
        <w:tab/>
        <w:t>The Programme formally close</w:t>
      </w:r>
      <w:r w:rsidR="004F1974">
        <w:rPr>
          <w:rFonts w:eastAsia="Times New Roman" w:cs="Times New Roman"/>
          <w:bCs/>
          <w:kern w:val="36"/>
          <w:lang w:eastAsia="en-GB"/>
        </w:rPr>
        <w:t>d</w:t>
      </w:r>
      <w:r>
        <w:rPr>
          <w:rFonts w:eastAsia="Times New Roman" w:cs="Times New Roman"/>
          <w:bCs/>
          <w:kern w:val="36"/>
          <w:lang w:eastAsia="en-GB"/>
        </w:rPr>
        <w:t xml:space="preserve"> on 31 March 2021; this report sets out work undertaken throughout the life of the Programme and how outstanding and / or ongoing work </w:t>
      </w:r>
      <w:r w:rsidR="004F1974">
        <w:rPr>
          <w:rFonts w:eastAsia="Times New Roman" w:cs="Times New Roman"/>
          <w:bCs/>
          <w:kern w:val="36"/>
          <w:lang w:eastAsia="en-GB"/>
        </w:rPr>
        <w:t xml:space="preserve">is being </w:t>
      </w:r>
      <w:r>
        <w:rPr>
          <w:rFonts w:eastAsia="Times New Roman" w:cs="Times New Roman"/>
          <w:bCs/>
          <w:kern w:val="36"/>
          <w:lang w:eastAsia="en-GB"/>
        </w:rPr>
        <w:t>taken forward April 2021</w:t>
      </w:r>
      <w:r w:rsidR="004F1974">
        <w:rPr>
          <w:rFonts w:eastAsia="Times New Roman" w:cs="Times New Roman"/>
          <w:bCs/>
          <w:kern w:val="36"/>
          <w:lang w:eastAsia="en-GB"/>
        </w:rPr>
        <w:t xml:space="preserve"> onwards</w:t>
      </w:r>
      <w:r>
        <w:rPr>
          <w:rFonts w:eastAsia="Times New Roman" w:cs="Times New Roman"/>
          <w:bCs/>
          <w:kern w:val="36"/>
          <w:lang w:eastAsia="en-GB"/>
        </w:rPr>
        <w:t>.</w:t>
      </w:r>
    </w:p>
    <w:p w14:paraId="57D75D7F" w14:textId="77777777" w:rsidR="00B14157" w:rsidRPr="001D2EC9" w:rsidRDefault="00B14157" w:rsidP="00B14157">
      <w:pPr>
        <w:jc w:val="both"/>
        <w:rPr>
          <w:rFonts w:eastAsia="Times New Roman" w:cs="Times New Roman"/>
          <w:b/>
          <w:bCs/>
          <w:kern w:val="36"/>
          <w:lang w:eastAsia="en-GB"/>
        </w:rPr>
      </w:pPr>
    </w:p>
    <w:p w14:paraId="7C2ABC81" w14:textId="77777777" w:rsidR="00B14157" w:rsidRPr="001D2EC9" w:rsidRDefault="00B14157" w:rsidP="00B14157">
      <w:pPr>
        <w:pStyle w:val="ListParagraph"/>
        <w:numPr>
          <w:ilvl w:val="0"/>
          <w:numId w:val="17"/>
        </w:numPr>
        <w:ind w:left="851" w:hanging="851"/>
        <w:jc w:val="both"/>
        <w:rPr>
          <w:b/>
        </w:rPr>
      </w:pPr>
      <w:r w:rsidRPr="001D2EC9">
        <w:rPr>
          <w:b/>
        </w:rPr>
        <w:t>STRUCTURE OF DOCUMENT</w:t>
      </w:r>
    </w:p>
    <w:p w14:paraId="0E8EAC3C" w14:textId="77777777" w:rsidR="00B14157" w:rsidRPr="001D2EC9" w:rsidRDefault="00B14157" w:rsidP="00B14157">
      <w:pPr>
        <w:jc w:val="both"/>
        <w:rPr>
          <w:b/>
        </w:rPr>
      </w:pPr>
    </w:p>
    <w:p w14:paraId="12722795" w14:textId="4010304B" w:rsidR="00B14157" w:rsidRDefault="00B14157" w:rsidP="00B14157">
      <w:pPr>
        <w:ind w:left="851" w:hanging="851"/>
        <w:jc w:val="both"/>
      </w:pPr>
      <w:r>
        <w:t>3.1</w:t>
      </w:r>
      <w:r>
        <w:tab/>
        <w:t>The Report contai</w:t>
      </w:r>
      <w:r w:rsidR="004F1974">
        <w:t xml:space="preserve">ns an activity summary of each phase, </w:t>
      </w:r>
      <w:r>
        <w:t xml:space="preserve">together with the key products produced within that </w:t>
      </w:r>
      <w:r w:rsidR="004F1974">
        <w:t>phase</w:t>
      </w:r>
      <w:r>
        <w:t>.</w:t>
      </w:r>
    </w:p>
    <w:p w14:paraId="406531EE" w14:textId="77777777" w:rsidR="00B14157" w:rsidRDefault="00B14157" w:rsidP="00B14157">
      <w:pPr>
        <w:ind w:left="709" w:hanging="709"/>
        <w:jc w:val="both"/>
      </w:pPr>
    </w:p>
    <w:p w14:paraId="05395726" w14:textId="77777777" w:rsidR="00B14157" w:rsidRDefault="00B14157" w:rsidP="00B14157">
      <w:pPr>
        <w:ind w:left="851" w:hanging="851"/>
        <w:jc w:val="both"/>
      </w:pPr>
      <w:r>
        <w:t>3.2</w:t>
      </w:r>
      <w:r>
        <w:tab/>
        <w:t>Three aspects of the Brexit Programme are particularly worth noting:</w:t>
      </w:r>
    </w:p>
    <w:p w14:paraId="03D0FE90" w14:textId="77777777" w:rsidR="00B14157" w:rsidRDefault="00B14157" w:rsidP="00B14157">
      <w:pPr>
        <w:jc w:val="both"/>
      </w:pPr>
    </w:p>
    <w:p w14:paraId="03C27ECE" w14:textId="77777777" w:rsidR="00B14157" w:rsidRDefault="00B14157" w:rsidP="00B14157">
      <w:pPr>
        <w:pStyle w:val="ListParagraph"/>
        <w:numPr>
          <w:ilvl w:val="0"/>
          <w:numId w:val="6"/>
        </w:numPr>
        <w:spacing w:after="200"/>
        <w:ind w:left="1418" w:hanging="567"/>
        <w:jc w:val="both"/>
      </w:pPr>
      <w:r>
        <w:t>its ability to operate independently of arrangements and negotiations being undertaken by Public Health England on behalf of the UK in relation to health protection / health securities was limited</w:t>
      </w:r>
    </w:p>
    <w:p w14:paraId="578769EB" w14:textId="36F5EDB0" w:rsidR="00B14157" w:rsidRDefault="00B14157" w:rsidP="00B14157">
      <w:pPr>
        <w:pStyle w:val="ListParagraph"/>
        <w:numPr>
          <w:ilvl w:val="0"/>
          <w:numId w:val="6"/>
        </w:numPr>
        <w:spacing w:after="200"/>
        <w:ind w:left="1418" w:hanging="567"/>
        <w:jc w:val="both"/>
      </w:pPr>
      <w:r>
        <w:t xml:space="preserve">the </w:t>
      </w:r>
      <w:r w:rsidRPr="00E35B25">
        <w:t>significant uncertainty about whether the U</w:t>
      </w:r>
      <w:r>
        <w:t>K would exit with or without a D</w:t>
      </w:r>
      <w:r w:rsidRPr="00E35B25">
        <w:t>eal</w:t>
      </w:r>
      <w:r>
        <w:t>, including 2 deadline extensions to Article 50 and the UK entering into a transition period in on 31 January 2020, prior to the TCA finally agreed on 24 December 2020</w:t>
      </w:r>
    </w:p>
    <w:p w14:paraId="13AC406C" w14:textId="77777777" w:rsidR="004F1974" w:rsidRDefault="004F1974" w:rsidP="004F1974">
      <w:pPr>
        <w:pStyle w:val="ListParagraph"/>
        <w:spacing w:after="200"/>
        <w:ind w:left="1418"/>
        <w:jc w:val="both"/>
      </w:pPr>
    </w:p>
    <w:p w14:paraId="00F74859" w14:textId="77777777" w:rsidR="00B14157" w:rsidRPr="00E35B25" w:rsidRDefault="00B14157" w:rsidP="00B14157">
      <w:pPr>
        <w:pStyle w:val="ListParagraph"/>
        <w:numPr>
          <w:ilvl w:val="0"/>
          <w:numId w:val="6"/>
        </w:numPr>
        <w:spacing w:after="200"/>
        <w:ind w:left="1418" w:hanging="567"/>
        <w:jc w:val="both"/>
      </w:pPr>
      <w:r>
        <w:t>the impact of COVID-19 from January 2020 onwards and the resumption and closure of the Programme during the pandemic response.</w:t>
      </w:r>
    </w:p>
    <w:p w14:paraId="299F27FE" w14:textId="7EB3D29A" w:rsidR="00B14157" w:rsidRDefault="00B14157" w:rsidP="00B14157">
      <w:pPr>
        <w:ind w:left="851" w:hanging="851"/>
        <w:jc w:val="both"/>
      </w:pPr>
      <w:r>
        <w:t>3.3</w:t>
      </w:r>
      <w:r>
        <w:tab/>
        <w:t xml:space="preserve">The Closure Report </w:t>
      </w:r>
      <w:r w:rsidR="004F1974">
        <w:t xml:space="preserve">is structured using </w:t>
      </w:r>
      <w:r>
        <w:t>the three phases of the Programme:</w:t>
      </w:r>
    </w:p>
    <w:p w14:paraId="59CE14D0" w14:textId="77777777" w:rsidR="00B14157" w:rsidRDefault="00B14157" w:rsidP="00B14157">
      <w:pPr>
        <w:jc w:val="both"/>
      </w:pPr>
    </w:p>
    <w:p w14:paraId="5201573A" w14:textId="77777777" w:rsidR="00B14157" w:rsidRDefault="00B14157" w:rsidP="00B14157">
      <w:pPr>
        <w:pStyle w:val="ListParagraph"/>
        <w:numPr>
          <w:ilvl w:val="0"/>
          <w:numId w:val="8"/>
        </w:numPr>
        <w:ind w:left="1418" w:hanging="567"/>
        <w:jc w:val="both"/>
      </w:pPr>
      <w:r>
        <w:t>Phase I (November 2018 – April 2019)</w:t>
      </w:r>
    </w:p>
    <w:p w14:paraId="187C1E32" w14:textId="0F7AB6C3" w:rsidR="00B14157" w:rsidRDefault="00B14157" w:rsidP="00B14157">
      <w:pPr>
        <w:pStyle w:val="ListParagraph"/>
        <w:numPr>
          <w:ilvl w:val="0"/>
          <w:numId w:val="8"/>
        </w:numPr>
        <w:ind w:left="1418" w:hanging="567"/>
        <w:jc w:val="both"/>
      </w:pPr>
      <w:r>
        <w:t xml:space="preserve">Phase II (May 2019 – </w:t>
      </w:r>
      <w:r w:rsidR="00A24E22">
        <w:t xml:space="preserve">February </w:t>
      </w:r>
      <w:r>
        <w:t>2020), and</w:t>
      </w:r>
    </w:p>
    <w:p w14:paraId="6C9F1AA2" w14:textId="77777777" w:rsidR="00B14157" w:rsidRDefault="00B14157" w:rsidP="00B14157">
      <w:pPr>
        <w:pStyle w:val="ListParagraph"/>
        <w:numPr>
          <w:ilvl w:val="0"/>
          <w:numId w:val="8"/>
        </w:numPr>
        <w:ind w:left="1418" w:hanging="567"/>
        <w:jc w:val="both"/>
      </w:pPr>
      <w:r>
        <w:t xml:space="preserve">Phase III (September 2020 – 31 March 2021). </w:t>
      </w:r>
    </w:p>
    <w:p w14:paraId="2ECDBB14" w14:textId="77777777" w:rsidR="00B14157" w:rsidRDefault="00B14157" w:rsidP="00B14157">
      <w:pPr>
        <w:jc w:val="both"/>
      </w:pPr>
    </w:p>
    <w:p w14:paraId="258EBC6B" w14:textId="4576CEB6" w:rsidR="00B14157" w:rsidRPr="0028426F" w:rsidRDefault="00B14157" w:rsidP="00B14157">
      <w:pPr>
        <w:ind w:left="851" w:hanging="851"/>
        <w:jc w:val="both"/>
      </w:pPr>
      <w:r>
        <w:t>3.4</w:t>
      </w:r>
      <w:r>
        <w:tab/>
        <w:t xml:space="preserve">Items in </w:t>
      </w:r>
      <w:r w:rsidRPr="003F4A1C">
        <w:rPr>
          <w:i/>
        </w:rPr>
        <w:t>italics</w:t>
      </w:r>
      <w:r>
        <w:t xml:space="preserve"> refer to products produced by the Programme; a full list of products referenced are listed at </w:t>
      </w:r>
      <w:r>
        <w:rPr>
          <w:b/>
        </w:rPr>
        <w:t>Appendix A</w:t>
      </w:r>
      <w:r w:rsidRPr="0028426F">
        <w:t xml:space="preserve"> of this report.</w:t>
      </w:r>
    </w:p>
    <w:p w14:paraId="6FDF19A7" w14:textId="77777777" w:rsidR="00B14157" w:rsidRDefault="00B14157" w:rsidP="00B14157">
      <w:pPr>
        <w:jc w:val="both"/>
      </w:pPr>
    </w:p>
    <w:p w14:paraId="5CE81221" w14:textId="77777777" w:rsidR="00B14157" w:rsidRPr="008F305F" w:rsidRDefault="00B14157" w:rsidP="00B14157">
      <w:pPr>
        <w:pStyle w:val="ListParagraph"/>
        <w:numPr>
          <w:ilvl w:val="0"/>
          <w:numId w:val="17"/>
        </w:numPr>
        <w:ind w:left="851" w:hanging="851"/>
        <w:jc w:val="both"/>
        <w:rPr>
          <w:b/>
        </w:rPr>
      </w:pPr>
      <w:r w:rsidRPr="008F305F">
        <w:rPr>
          <w:b/>
        </w:rPr>
        <w:t>P</w:t>
      </w:r>
      <w:r>
        <w:rPr>
          <w:b/>
        </w:rPr>
        <w:t xml:space="preserve">HASE I </w:t>
      </w:r>
      <w:r w:rsidRPr="008F305F">
        <w:rPr>
          <w:b/>
        </w:rPr>
        <w:t xml:space="preserve">(November 2018 – </w:t>
      </w:r>
      <w:r>
        <w:rPr>
          <w:b/>
        </w:rPr>
        <w:t xml:space="preserve">April </w:t>
      </w:r>
      <w:r w:rsidRPr="008F305F">
        <w:rPr>
          <w:b/>
        </w:rPr>
        <w:t>2019)</w:t>
      </w:r>
    </w:p>
    <w:p w14:paraId="4E0C5C92" w14:textId="77777777" w:rsidR="00B14157" w:rsidRDefault="00B14157" w:rsidP="00B14157">
      <w:pPr>
        <w:jc w:val="both"/>
      </w:pPr>
    </w:p>
    <w:p w14:paraId="4B482C0C" w14:textId="77777777" w:rsidR="00B14157" w:rsidRDefault="00B14157" w:rsidP="00B14157">
      <w:pPr>
        <w:ind w:left="851" w:hanging="851"/>
        <w:jc w:val="both"/>
      </w:pPr>
      <w:r>
        <w:t>4.1</w:t>
      </w:r>
      <w:r>
        <w:tab/>
        <w:t>Early work focused on the establishment of a formal EU Exit Preparedness Programme (the ‘Brexit Programme’) to develop a clear plan with appropriate governance that would reflect the full breadth of work anticipated, alongside ensuring the Programme was able to coherently manage the various requests anticipated from external Brexit-related groups.</w:t>
      </w:r>
    </w:p>
    <w:p w14:paraId="2ACEAE7D" w14:textId="77777777" w:rsidR="00B14157" w:rsidRDefault="00B14157" w:rsidP="00B14157">
      <w:pPr>
        <w:jc w:val="both"/>
      </w:pPr>
    </w:p>
    <w:p w14:paraId="5608BAFD" w14:textId="3886C9E0" w:rsidR="00B14157" w:rsidRDefault="00B14157" w:rsidP="00B14157">
      <w:pPr>
        <w:ind w:left="851" w:hanging="851"/>
        <w:jc w:val="both"/>
      </w:pPr>
      <w:r>
        <w:t>4.2</w:t>
      </w:r>
      <w:r>
        <w:tab/>
        <w:t xml:space="preserve">The proposed structure of the Programme, together with governance arrangements were summarised in the first Brexit-related </w:t>
      </w:r>
      <w:r w:rsidRPr="00415B9C">
        <w:rPr>
          <w:i/>
        </w:rPr>
        <w:t>presentation</w:t>
      </w:r>
      <w:r>
        <w:t xml:space="preserve"> to the </w:t>
      </w:r>
      <w:r w:rsidR="008809B1">
        <w:t xml:space="preserve">Public Health Wales </w:t>
      </w:r>
      <w:r>
        <w:t>Business Executive Team on 13 November 2018.</w:t>
      </w:r>
    </w:p>
    <w:p w14:paraId="27FA63FD" w14:textId="77777777" w:rsidR="00B14157" w:rsidRDefault="00B14157" w:rsidP="00B14157">
      <w:pPr>
        <w:ind w:left="851" w:hanging="851"/>
        <w:jc w:val="both"/>
      </w:pPr>
    </w:p>
    <w:p w14:paraId="4BDA9FD9" w14:textId="094A7F1D" w:rsidR="00B14157" w:rsidRPr="00353017" w:rsidRDefault="00B14157" w:rsidP="00B14157">
      <w:pPr>
        <w:ind w:left="851" w:hanging="851"/>
        <w:jc w:val="both"/>
      </w:pPr>
      <w:r>
        <w:t>4.3</w:t>
      </w:r>
      <w:r>
        <w:tab/>
        <w:t>The appointment of a S</w:t>
      </w:r>
      <w:r w:rsidR="004F1974">
        <w:t xml:space="preserve">enior Responsible Owner (SRO) </w:t>
      </w:r>
      <w:r>
        <w:t>Panel was agreed, jointly led by Dr Quentin Sandifer, Executive Director of Public Health Services and Professor Mark Bellis, Director of Policy, Research and International Development</w:t>
      </w:r>
      <w:r w:rsidR="004F1974">
        <w:t>,</w:t>
      </w:r>
      <w:r>
        <w:t xml:space="preserve"> plus the support of a Programme Team managed via the Strategic Planning and Performance Division.</w:t>
      </w:r>
    </w:p>
    <w:p w14:paraId="1D3337DA" w14:textId="77777777" w:rsidR="00B14157" w:rsidRPr="00353017" w:rsidRDefault="00B14157" w:rsidP="00B14157">
      <w:pPr>
        <w:pStyle w:val="ListParagraph"/>
      </w:pPr>
    </w:p>
    <w:p w14:paraId="50F26EE0" w14:textId="77777777" w:rsidR="00B14157" w:rsidRPr="00EE5580" w:rsidRDefault="00B14157" w:rsidP="00B14157">
      <w:pPr>
        <w:pStyle w:val="Default"/>
        <w:numPr>
          <w:ilvl w:val="1"/>
          <w:numId w:val="17"/>
        </w:numPr>
        <w:ind w:left="851" w:hanging="851"/>
        <w:jc w:val="both"/>
        <w:rPr>
          <w:rFonts w:ascii="Verdana" w:hAnsi="Verdana"/>
          <w:bCs/>
        </w:rPr>
      </w:pPr>
      <w:r w:rsidRPr="00353017">
        <w:rPr>
          <w:rFonts w:ascii="Verdana" w:hAnsi="Verdana"/>
        </w:rPr>
        <w:t xml:space="preserve">Public Health Wales submitted a </w:t>
      </w:r>
      <w:r w:rsidRPr="00E8742A">
        <w:rPr>
          <w:rFonts w:ascii="Verdana" w:hAnsi="Verdana"/>
          <w:i/>
        </w:rPr>
        <w:t>bid for funding</w:t>
      </w:r>
      <w:r>
        <w:rPr>
          <w:rFonts w:ascii="Verdana" w:hAnsi="Verdana"/>
        </w:rPr>
        <w:t xml:space="preserve"> </w:t>
      </w:r>
      <w:r w:rsidRPr="00353017">
        <w:rPr>
          <w:rFonts w:ascii="Verdana" w:hAnsi="Verdana"/>
        </w:rPr>
        <w:t xml:space="preserve">to Welsh Government against the European </w:t>
      </w:r>
      <w:r w:rsidRPr="00353017">
        <w:rPr>
          <w:rFonts w:ascii="Verdana" w:hAnsi="Verdana"/>
          <w:bCs/>
        </w:rPr>
        <w:t xml:space="preserve">Transition Fund </w:t>
      </w:r>
      <w:r>
        <w:rPr>
          <w:rFonts w:ascii="Verdana" w:hAnsi="Verdana"/>
          <w:bCs/>
        </w:rPr>
        <w:t>monies in respect of</w:t>
      </w:r>
      <w:r w:rsidRPr="00353017">
        <w:rPr>
          <w:rFonts w:ascii="Verdana" w:hAnsi="Verdana"/>
          <w:bCs/>
        </w:rPr>
        <w:t>:</w:t>
      </w:r>
    </w:p>
    <w:p w14:paraId="7F94688E" w14:textId="77777777" w:rsidR="00B14157" w:rsidRPr="00353017" w:rsidRDefault="00B14157" w:rsidP="00B14157">
      <w:pPr>
        <w:pStyle w:val="Default"/>
        <w:numPr>
          <w:ilvl w:val="0"/>
          <w:numId w:val="18"/>
        </w:numPr>
        <w:ind w:left="1560" w:hanging="709"/>
        <w:rPr>
          <w:rFonts w:ascii="Verdana" w:hAnsi="Verdana"/>
          <w:bCs/>
        </w:rPr>
      </w:pPr>
      <w:r w:rsidRPr="00353017">
        <w:rPr>
          <w:rFonts w:ascii="Verdana" w:hAnsi="Verdana"/>
          <w:bCs/>
        </w:rPr>
        <w:t>Public Health Resilience Programme in Wales</w:t>
      </w:r>
    </w:p>
    <w:p w14:paraId="7B7BFFFA" w14:textId="77777777" w:rsidR="00B14157" w:rsidRPr="00353017" w:rsidRDefault="00B14157" w:rsidP="00B14157">
      <w:pPr>
        <w:pStyle w:val="Default"/>
        <w:numPr>
          <w:ilvl w:val="0"/>
          <w:numId w:val="18"/>
        </w:numPr>
        <w:ind w:left="1560" w:hanging="709"/>
        <w:rPr>
          <w:rFonts w:ascii="Verdana" w:hAnsi="Verdana"/>
          <w:bCs/>
        </w:rPr>
      </w:pPr>
      <w:r w:rsidRPr="00353017">
        <w:rPr>
          <w:rFonts w:ascii="Verdana" w:hAnsi="Verdana"/>
          <w:bCs/>
        </w:rPr>
        <w:t>Farmer Resilience</w:t>
      </w:r>
    </w:p>
    <w:p w14:paraId="5F180557" w14:textId="77777777" w:rsidR="00B14157" w:rsidRPr="00353017" w:rsidRDefault="00B14157" w:rsidP="00B14157">
      <w:pPr>
        <w:pStyle w:val="Default"/>
        <w:numPr>
          <w:ilvl w:val="0"/>
          <w:numId w:val="18"/>
        </w:numPr>
        <w:ind w:left="1560" w:hanging="709"/>
        <w:rPr>
          <w:rFonts w:ascii="Verdana" w:hAnsi="Verdana"/>
        </w:rPr>
      </w:pPr>
      <w:r w:rsidRPr="00353017">
        <w:rPr>
          <w:rFonts w:ascii="Verdana" w:hAnsi="Verdana"/>
          <w:bCs/>
        </w:rPr>
        <w:t>Epidemiology Training</w:t>
      </w:r>
      <w:r>
        <w:rPr>
          <w:rFonts w:ascii="Verdana" w:hAnsi="Verdana"/>
          <w:bCs/>
        </w:rPr>
        <w:t>.</w:t>
      </w:r>
    </w:p>
    <w:p w14:paraId="3791CD9F" w14:textId="77777777" w:rsidR="00B14157" w:rsidRPr="00353017" w:rsidRDefault="00B14157" w:rsidP="00B14157">
      <w:pPr>
        <w:pStyle w:val="ListParagraph"/>
      </w:pPr>
    </w:p>
    <w:p w14:paraId="6F8A1FA1" w14:textId="1D319803" w:rsidR="00B14157" w:rsidRDefault="00B14157" w:rsidP="00B14157">
      <w:pPr>
        <w:pStyle w:val="ListParagraph"/>
        <w:numPr>
          <w:ilvl w:val="1"/>
          <w:numId w:val="17"/>
        </w:numPr>
        <w:ind w:left="851" w:hanging="851"/>
        <w:jc w:val="both"/>
      </w:pPr>
      <w:r>
        <w:t>A Senior Project Manager was appointed from within the organisation and took up post in February 2019.</w:t>
      </w:r>
    </w:p>
    <w:p w14:paraId="12A17220" w14:textId="77777777" w:rsidR="00FB5880" w:rsidRPr="00FB5880" w:rsidRDefault="00FB5880" w:rsidP="00FB5880">
      <w:pPr>
        <w:pStyle w:val="ListParagraph"/>
        <w:ind w:left="851"/>
        <w:jc w:val="both"/>
      </w:pPr>
    </w:p>
    <w:p w14:paraId="488E910A" w14:textId="03B9F8FF" w:rsidR="00FB5880" w:rsidRPr="00FB5880" w:rsidRDefault="00FB5880" w:rsidP="00B14157">
      <w:pPr>
        <w:pStyle w:val="ListParagraph"/>
        <w:numPr>
          <w:ilvl w:val="1"/>
          <w:numId w:val="17"/>
        </w:numPr>
        <w:ind w:left="851" w:hanging="851"/>
        <w:jc w:val="both"/>
      </w:pPr>
      <w:r w:rsidRPr="00FB5880">
        <w:rPr>
          <w:rFonts w:cs="Arial"/>
        </w:rPr>
        <w:t xml:space="preserve">Public Health Wales’ executive staff were </w:t>
      </w:r>
      <w:r>
        <w:rPr>
          <w:rFonts w:cs="Arial"/>
        </w:rPr>
        <w:t>members of:</w:t>
      </w:r>
    </w:p>
    <w:p w14:paraId="36A7BD82" w14:textId="77777777" w:rsidR="00FB5880" w:rsidRPr="00FB5880" w:rsidRDefault="00FB5880" w:rsidP="00FB5880">
      <w:pPr>
        <w:pStyle w:val="ListParagraph"/>
        <w:rPr>
          <w:rFonts w:cs="Arial"/>
        </w:rPr>
      </w:pPr>
    </w:p>
    <w:p w14:paraId="5EEDEF08" w14:textId="2E30A8C2" w:rsidR="00FB5880" w:rsidRDefault="00FB5880" w:rsidP="00FB5880">
      <w:pPr>
        <w:pStyle w:val="ListParagraph"/>
        <w:numPr>
          <w:ilvl w:val="0"/>
          <w:numId w:val="18"/>
        </w:numPr>
        <w:ind w:left="1418" w:hanging="567"/>
        <w:jc w:val="both"/>
        <w:rPr>
          <w:rFonts w:cs="Arial"/>
        </w:rPr>
      </w:pPr>
      <w:r w:rsidRPr="00FB5880">
        <w:rPr>
          <w:rFonts w:cs="Arial"/>
        </w:rPr>
        <w:t>Health and Social Care Ministerial Stakeholder Advisory Forum</w:t>
      </w:r>
    </w:p>
    <w:p w14:paraId="7D9A8B6D" w14:textId="13EB3C81" w:rsidR="00FB5880" w:rsidRDefault="00FB5880" w:rsidP="00FB5880">
      <w:pPr>
        <w:pStyle w:val="ListParagraph"/>
        <w:numPr>
          <w:ilvl w:val="0"/>
          <w:numId w:val="18"/>
        </w:numPr>
        <w:ind w:left="1418" w:hanging="567"/>
        <w:jc w:val="both"/>
        <w:rPr>
          <w:rFonts w:cs="Arial"/>
        </w:rPr>
      </w:pPr>
      <w:r w:rsidRPr="00FB5880">
        <w:rPr>
          <w:rFonts w:cs="Arial"/>
        </w:rPr>
        <w:t xml:space="preserve">Health and Social Care </w:t>
      </w:r>
      <w:r>
        <w:rPr>
          <w:rFonts w:cs="Arial"/>
        </w:rPr>
        <w:t>EU Transition Leadership Group</w:t>
      </w:r>
    </w:p>
    <w:p w14:paraId="2FC4BA78" w14:textId="38986B10" w:rsidR="00FB5880" w:rsidRDefault="00FB5880" w:rsidP="00FB5880">
      <w:pPr>
        <w:pStyle w:val="ListParagraph"/>
        <w:numPr>
          <w:ilvl w:val="0"/>
          <w:numId w:val="18"/>
        </w:numPr>
        <w:ind w:left="1418" w:hanging="567"/>
        <w:jc w:val="both"/>
        <w:rPr>
          <w:rFonts w:cs="Arial"/>
        </w:rPr>
      </w:pPr>
      <w:r>
        <w:rPr>
          <w:rFonts w:cs="Arial"/>
        </w:rPr>
        <w:t>Welsh Government S</w:t>
      </w:r>
      <w:r w:rsidR="004F1974">
        <w:rPr>
          <w:rFonts w:cs="Arial"/>
        </w:rPr>
        <w:t xml:space="preserve">RO </w:t>
      </w:r>
      <w:r>
        <w:rPr>
          <w:rFonts w:cs="Arial"/>
        </w:rPr>
        <w:t>Group</w:t>
      </w:r>
    </w:p>
    <w:p w14:paraId="3D588ADF" w14:textId="5973670C" w:rsidR="00FB5880" w:rsidRDefault="00FB5880" w:rsidP="00FB5880">
      <w:pPr>
        <w:pStyle w:val="ListParagraph"/>
        <w:numPr>
          <w:ilvl w:val="0"/>
          <w:numId w:val="18"/>
        </w:numPr>
        <w:ind w:left="1418" w:hanging="567"/>
        <w:jc w:val="both"/>
        <w:rPr>
          <w:rFonts w:cs="Arial"/>
        </w:rPr>
      </w:pPr>
      <w:r>
        <w:rPr>
          <w:rFonts w:cs="Arial"/>
        </w:rPr>
        <w:t xml:space="preserve">Four </w:t>
      </w:r>
      <w:r w:rsidRPr="00FB5880">
        <w:rPr>
          <w:rFonts w:cs="Arial"/>
        </w:rPr>
        <w:t>Nations’</w:t>
      </w:r>
      <w:r>
        <w:rPr>
          <w:rFonts w:cs="Arial"/>
        </w:rPr>
        <w:t xml:space="preserve"> Bilateral Brexit meetings</w:t>
      </w:r>
    </w:p>
    <w:p w14:paraId="1806638F" w14:textId="60830470" w:rsidR="00FB5880" w:rsidRDefault="00FB5880" w:rsidP="00FB5880">
      <w:pPr>
        <w:pStyle w:val="ListParagraph"/>
        <w:numPr>
          <w:ilvl w:val="0"/>
          <w:numId w:val="18"/>
        </w:numPr>
        <w:ind w:left="1418" w:hanging="567"/>
        <w:jc w:val="both"/>
        <w:rPr>
          <w:rFonts w:cs="Arial"/>
        </w:rPr>
      </w:pPr>
      <w:r w:rsidRPr="00FB5880">
        <w:rPr>
          <w:rFonts w:cs="Arial"/>
        </w:rPr>
        <w:t>P</w:t>
      </w:r>
      <w:r w:rsidR="004F1974">
        <w:rPr>
          <w:rFonts w:cs="Arial"/>
        </w:rPr>
        <w:t>ublic Health England Incident Management Team</w:t>
      </w:r>
    </w:p>
    <w:p w14:paraId="6674FF82" w14:textId="2F407893" w:rsidR="00FB5880" w:rsidRDefault="00FB5880" w:rsidP="00FB5880">
      <w:pPr>
        <w:pStyle w:val="ListParagraph"/>
        <w:numPr>
          <w:ilvl w:val="0"/>
          <w:numId w:val="18"/>
        </w:numPr>
        <w:ind w:left="1418" w:hanging="567"/>
        <w:jc w:val="both"/>
        <w:rPr>
          <w:rFonts w:cs="Arial"/>
        </w:rPr>
      </w:pPr>
      <w:r>
        <w:rPr>
          <w:rFonts w:cs="Arial"/>
        </w:rPr>
        <w:t xml:space="preserve">Four Nations’ </w:t>
      </w:r>
      <w:r w:rsidRPr="00FB5880">
        <w:rPr>
          <w:rFonts w:cs="Arial"/>
        </w:rPr>
        <w:t xml:space="preserve">Emergency Health Protection Emergency </w:t>
      </w:r>
      <w:r>
        <w:rPr>
          <w:rFonts w:cs="Arial"/>
        </w:rPr>
        <w:t>Planning Group</w:t>
      </w:r>
    </w:p>
    <w:p w14:paraId="6FAD58A4" w14:textId="77777777" w:rsidR="00FB5880" w:rsidRDefault="00FB5880" w:rsidP="00FB5880">
      <w:pPr>
        <w:pStyle w:val="ListParagraph"/>
        <w:ind w:left="851"/>
        <w:jc w:val="both"/>
        <w:rPr>
          <w:rFonts w:cs="Arial"/>
        </w:rPr>
      </w:pPr>
    </w:p>
    <w:p w14:paraId="30828855" w14:textId="3295A4CD" w:rsidR="00FB5880" w:rsidRPr="00FB5880" w:rsidRDefault="00FB5880" w:rsidP="00FB5880">
      <w:pPr>
        <w:pStyle w:val="ListParagraph"/>
        <w:ind w:left="851"/>
        <w:jc w:val="both"/>
      </w:pPr>
      <w:r w:rsidRPr="00FB5880">
        <w:rPr>
          <w:rFonts w:cs="Arial"/>
        </w:rPr>
        <w:t xml:space="preserve">during </w:t>
      </w:r>
      <w:r>
        <w:rPr>
          <w:rFonts w:cs="Arial"/>
        </w:rPr>
        <w:t>the length of the Programme.</w:t>
      </w:r>
    </w:p>
    <w:p w14:paraId="20EC5FA6" w14:textId="77777777" w:rsidR="00B14157" w:rsidRPr="00FB5880" w:rsidRDefault="00B14157" w:rsidP="00B14157">
      <w:pPr>
        <w:pStyle w:val="ListParagraph"/>
        <w:ind w:left="709"/>
        <w:jc w:val="both"/>
      </w:pPr>
    </w:p>
    <w:p w14:paraId="271E1608" w14:textId="1F3FA161" w:rsidR="00B14157" w:rsidRPr="00BE11D6" w:rsidRDefault="00EE7846" w:rsidP="00B14157">
      <w:pPr>
        <w:ind w:left="851" w:hanging="851"/>
        <w:jc w:val="both"/>
        <w:rPr>
          <w:b/>
        </w:rPr>
      </w:pPr>
      <w:r>
        <w:rPr>
          <w:b/>
        </w:rPr>
        <w:t>4.7</w:t>
      </w:r>
      <w:r w:rsidR="00B14157">
        <w:rPr>
          <w:b/>
        </w:rPr>
        <w:tab/>
        <w:t>K</w:t>
      </w:r>
      <w:r w:rsidR="00B14157" w:rsidRPr="00BE11D6">
        <w:rPr>
          <w:b/>
        </w:rPr>
        <w:t xml:space="preserve">ey </w:t>
      </w:r>
      <w:r w:rsidR="00B14157">
        <w:rPr>
          <w:b/>
        </w:rPr>
        <w:t>P</w:t>
      </w:r>
      <w:r w:rsidR="00B14157" w:rsidRPr="00BE11D6">
        <w:rPr>
          <w:b/>
        </w:rPr>
        <w:t>roducts</w:t>
      </w:r>
    </w:p>
    <w:p w14:paraId="4840099F" w14:textId="77777777" w:rsidR="00B14157" w:rsidRDefault="00B14157" w:rsidP="00B14157">
      <w:pPr>
        <w:jc w:val="both"/>
      </w:pPr>
    </w:p>
    <w:p w14:paraId="5BBDF4FF" w14:textId="4998B07D" w:rsidR="00B14157" w:rsidRDefault="00EE7846" w:rsidP="00B14157">
      <w:pPr>
        <w:ind w:left="851" w:hanging="851"/>
        <w:jc w:val="both"/>
      </w:pPr>
      <w:r>
        <w:t>4.7</w:t>
      </w:r>
      <w:r w:rsidR="00B14157">
        <w:t>.1</w:t>
      </w:r>
      <w:r w:rsidR="00B14157">
        <w:tab/>
        <w:t xml:space="preserve">Public Health Wales undertook the first of its Brexit-related </w:t>
      </w:r>
      <w:r w:rsidR="00B14157" w:rsidRPr="00425E29">
        <w:rPr>
          <w:i/>
        </w:rPr>
        <w:t>business continuity impact assessments</w:t>
      </w:r>
      <w:r w:rsidR="00B14157">
        <w:t>, based on a ‘No Deal’ scenario.  This work ran between November and December 2018 and culminated in a series of targeted internal business continuity exercises conducted during January 2019.</w:t>
      </w:r>
    </w:p>
    <w:p w14:paraId="216CCB7B" w14:textId="77777777" w:rsidR="00B14157" w:rsidRDefault="00B14157" w:rsidP="00B14157">
      <w:pPr>
        <w:ind w:left="851" w:hanging="851"/>
        <w:jc w:val="both"/>
      </w:pPr>
    </w:p>
    <w:p w14:paraId="65C6F64A" w14:textId="50D61BD6" w:rsidR="008D37A5" w:rsidRDefault="00EE7846" w:rsidP="008D37A5">
      <w:pPr>
        <w:ind w:left="851" w:hanging="851"/>
        <w:jc w:val="both"/>
        <w:rPr>
          <w:color w:val="000000" w:themeColor="text1"/>
        </w:rPr>
      </w:pPr>
      <w:r>
        <w:rPr>
          <w:color w:val="000000" w:themeColor="text1"/>
        </w:rPr>
        <w:t>4.7</w:t>
      </w:r>
      <w:r w:rsidR="00B14157" w:rsidRPr="008D37A5">
        <w:rPr>
          <w:color w:val="000000" w:themeColor="text1"/>
        </w:rPr>
        <w:t>.2</w:t>
      </w:r>
      <w:r w:rsidR="00B14157" w:rsidRPr="008D37A5">
        <w:rPr>
          <w:color w:val="000000" w:themeColor="text1"/>
        </w:rPr>
        <w:tab/>
      </w:r>
      <w:r w:rsidR="00635137">
        <w:rPr>
          <w:color w:val="000000" w:themeColor="text1"/>
        </w:rPr>
        <w:t xml:space="preserve">Public Health Wales drafted </w:t>
      </w:r>
      <w:r w:rsidR="004F1974">
        <w:rPr>
          <w:color w:val="000000" w:themeColor="text1"/>
        </w:rPr>
        <w:t xml:space="preserve">a </w:t>
      </w:r>
      <w:r w:rsidR="008D37A5" w:rsidRPr="00635137">
        <w:rPr>
          <w:i/>
          <w:color w:val="000000" w:themeColor="text1"/>
        </w:rPr>
        <w:t>Workforce I</w:t>
      </w:r>
      <w:r w:rsidR="00635137" w:rsidRPr="00635137">
        <w:rPr>
          <w:i/>
          <w:color w:val="000000" w:themeColor="text1"/>
        </w:rPr>
        <w:t>mplications of a No Deal Brexit</w:t>
      </w:r>
      <w:r w:rsidR="001550BE">
        <w:rPr>
          <w:color w:val="000000" w:themeColor="text1"/>
        </w:rPr>
        <w:t xml:space="preserve"> which was </w:t>
      </w:r>
      <w:r w:rsidR="008D37A5" w:rsidRPr="008D37A5">
        <w:rPr>
          <w:color w:val="000000" w:themeColor="text1"/>
        </w:rPr>
        <w:t xml:space="preserve">received by </w:t>
      </w:r>
      <w:r w:rsidR="004F1974">
        <w:rPr>
          <w:color w:val="000000" w:themeColor="text1"/>
        </w:rPr>
        <w:t xml:space="preserve">the </w:t>
      </w:r>
      <w:r w:rsidR="001550BE">
        <w:rPr>
          <w:color w:val="000000" w:themeColor="text1"/>
        </w:rPr>
        <w:t xml:space="preserve">Public Health Wales </w:t>
      </w:r>
      <w:r w:rsidR="008D37A5" w:rsidRPr="008D37A5">
        <w:rPr>
          <w:color w:val="000000" w:themeColor="text1"/>
        </w:rPr>
        <w:t xml:space="preserve">SRO Programme Group and Assistant Workforce </w:t>
      </w:r>
      <w:r w:rsidR="001550BE">
        <w:rPr>
          <w:color w:val="000000" w:themeColor="text1"/>
        </w:rPr>
        <w:t xml:space="preserve">and </w:t>
      </w:r>
      <w:r w:rsidR="008D37A5" w:rsidRPr="008D37A5">
        <w:rPr>
          <w:color w:val="000000" w:themeColor="text1"/>
        </w:rPr>
        <w:t>OD Directors</w:t>
      </w:r>
      <w:r w:rsidR="001550BE">
        <w:rPr>
          <w:color w:val="000000" w:themeColor="text1"/>
        </w:rPr>
        <w:t>’</w:t>
      </w:r>
      <w:r w:rsidR="008D37A5" w:rsidRPr="008D37A5">
        <w:rPr>
          <w:color w:val="000000" w:themeColor="text1"/>
        </w:rPr>
        <w:t xml:space="preserve"> </w:t>
      </w:r>
      <w:r w:rsidR="001550BE">
        <w:rPr>
          <w:color w:val="000000" w:themeColor="text1"/>
        </w:rPr>
        <w:t xml:space="preserve">Group in November 2018.  The paper </w:t>
      </w:r>
      <w:r w:rsidR="008D37A5" w:rsidRPr="008D37A5">
        <w:rPr>
          <w:color w:val="000000" w:themeColor="text1"/>
        </w:rPr>
        <w:t>resulted in a NHS</w:t>
      </w:r>
      <w:r w:rsidR="001550BE">
        <w:rPr>
          <w:color w:val="000000" w:themeColor="text1"/>
        </w:rPr>
        <w:t xml:space="preserve"> Wales Workforce and OD Brexit Working G</w:t>
      </w:r>
      <w:r w:rsidR="008D37A5" w:rsidRPr="008D37A5">
        <w:rPr>
          <w:color w:val="000000" w:themeColor="text1"/>
        </w:rPr>
        <w:t xml:space="preserve">roup to address the recommendations (and informed the initial focus of the </w:t>
      </w:r>
      <w:r w:rsidR="008809B1">
        <w:t xml:space="preserve">Public Health Wales </w:t>
      </w:r>
      <w:r w:rsidR="008D37A5" w:rsidRPr="008D37A5">
        <w:rPr>
          <w:color w:val="000000" w:themeColor="text1"/>
        </w:rPr>
        <w:t xml:space="preserve">People </w:t>
      </w:r>
      <w:r w:rsidR="001550BE">
        <w:rPr>
          <w:color w:val="000000" w:themeColor="text1"/>
        </w:rPr>
        <w:t>and OD work</w:t>
      </w:r>
      <w:r w:rsidR="008D37A5" w:rsidRPr="008D37A5">
        <w:rPr>
          <w:color w:val="000000" w:themeColor="text1"/>
        </w:rPr>
        <w:t>stream</w:t>
      </w:r>
      <w:r w:rsidR="001550BE">
        <w:rPr>
          <w:color w:val="000000" w:themeColor="text1"/>
        </w:rPr>
        <w:t xml:space="preserve"> of the Brexit Programme</w:t>
      </w:r>
      <w:r w:rsidR="008D37A5" w:rsidRPr="008D37A5">
        <w:rPr>
          <w:color w:val="000000" w:themeColor="text1"/>
        </w:rPr>
        <w:t>).</w:t>
      </w:r>
    </w:p>
    <w:p w14:paraId="1824F5A9" w14:textId="6A9252BC" w:rsidR="00BB0192" w:rsidRDefault="00BB0192" w:rsidP="008D37A5">
      <w:pPr>
        <w:ind w:left="851" w:hanging="851"/>
        <w:jc w:val="both"/>
        <w:rPr>
          <w:color w:val="000000" w:themeColor="text1"/>
        </w:rPr>
      </w:pPr>
    </w:p>
    <w:p w14:paraId="0A7CE831" w14:textId="2323F097" w:rsidR="00BB0192" w:rsidRPr="00BB0192" w:rsidRDefault="00EE7846" w:rsidP="00BB0192">
      <w:pPr>
        <w:ind w:left="851" w:hanging="851"/>
        <w:jc w:val="both"/>
        <w:rPr>
          <w:rFonts w:cs="Calibri"/>
          <w:color w:val="000000" w:themeColor="text1"/>
        </w:rPr>
      </w:pPr>
      <w:r>
        <w:rPr>
          <w:color w:val="000000" w:themeColor="text1"/>
        </w:rPr>
        <w:t>4.7.3</w:t>
      </w:r>
      <w:r w:rsidR="00BB0192" w:rsidRPr="001550BE">
        <w:rPr>
          <w:color w:val="000000" w:themeColor="text1"/>
        </w:rPr>
        <w:tab/>
      </w:r>
      <w:r w:rsidR="00BB0192">
        <w:rPr>
          <w:color w:val="000000" w:themeColor="text1"/>
        </w:rPr>
        <w:t xml:space="preserve">In </w:t>
      </w:r>
      <w:r w:rsidR="00BB0192" w:rsidRPr="001550BE">
        <w:rPr>
          <w:color w:val="000000" w:themeColor="text1"/>
        </w:rPr>
        <w:t xml:space="preserve">January 2019, </w:t>
      </w:r>
      <w:r w:rsidR="008809B1">
        <w:t xml:space="preserve">Public Health Wales </w:t>
      </w:r>
      <w:r w:rsidR="00BB0192" w:rsidRPr="001550BE">
        <w:rPr>
          <w:color w:val="000000" w:themeColor="text1"/>
        </w:rPr>
        <w:t>published</w:t>
      </w:r>
      <w:r w:rsidR="00BB0192">
        <w:rPr>
          <w:color w:val="000000" w:themeColor="text1"/>
        </w:rPr>
        <w:t xml:space="preserve"> </w:t>
      </w:r>
      <w:r w:rsidR="00BB0192" w:rsidRPr="001550BE">
        <w:rPr>
          <w:i/>
          <w:color w:val="000000" w:themeColor="text1"/>
        </w:rPr>
        <w:t>The Public Health Implications of Brexit in Wales: a Health Impact Assessment Approach</w:t>
      </w:r>
      <w:r w:rsidR="00BB0192">
        <w:rPr>
          <w:color w:val="000000" w:themeColor="text1"/>
        </w:rPr>
        <w:t xml:space="preserve">, </w:t>
      </w:r>
      <w:r w:rsidR="00BB0192" w:rsidRPr="001550BE">
        <w:rPr>
          <w:rFonts w:cs="Calibri"/>
          <w:color w:val="000000" w:themeColor="text1"/>
        </w:rPr>
        <w:t>which examined  in detail how all aspects of the Br</w:t>
      </w:r>
      <w:r w:rsidR="00BB0192">
        <w:rPr>
          <w:rFonts w:cs="Calibri"/>
          <w:color w:val="000000" w:themeColor="text1"/>
        </w:rPr>
        <w:t>exit process may impact health.</w:t>
      </w:r>
    </w:p>
    <w:p w14:paraId="1CE34F19" w14:textId="77777777" w:rsidR="008D37A5" w:rsidRDefault="008D37A5" w:rsidP="008D37A5">
      <w:pPr>
        <w:rPr>
          <w:color w:val="1F497D"/>
        </w:rPr>
      </w:pPr>
    </w:p>
    <w:p w14:paraId="575E403B" w14:textId="5C63A75B" w:rsidR="00B14157" w:rsidRDefault="00EE7846" w:rsidP="00B14157">
      <w:pPr>
        <w:ind w:left="851" w:hanging="851"/>
        <w:jc w:val="both"/>
      </w:pPr>
      <w:r>
        <w:t>4.7.4</w:t>
      </w:r>
      <w:r w:rsidR="00B14157">
        <w:tab/>
        <w:t>P</w:t>
      </w:r>
      <w:r w:rsidR="008D37A5">
        <w:t xml:space="preserve">ublic Health Wales </w:t>
      </w:r>
      <w:r w:rsidR="00B14157">
        <w:t>hosted the first of two strategic walk-through exercises</w:t>
      </w:r>
      <w:r w:rsidR="00635137">
        <w:t xml:space="preserve"> in March 2019</w:t>
      </w:r>
      <w:r w:rsidR="00B14157">
        <w:t>, Allanfa #1</w:t>
      </w:r>
      <w:r w:rsidR="00635137">
        <w:t>,</w:t>
      </w:r>
      <w:r w:rsidR="008D37A5">
        <w:t xml:space="preserve"> </w:t>
      </w:r>
      <w:r w:rsidR="00B14157">
        <w:t xml:space="preserve">to test </w:t>
      </w:r>
      <w:r w:rsidR="00B14157" w:rsidRPr="0000404F">
        <w:t>Public Health Wales and</w:t>
      </w:r>
      <w:r w:rsidR="00B14157" w:rsidRPr="0069280B">
        <w:rPr>
          <w:color w:val="404040"/>
        </w:rPr>
        <w:t xml:space="preserve"> </w:t>
      </w:r>
      <w:r w:rsidR="00B14157" w:rsidRPr="0069280B">
        <w:rPr>
          <w:bCs/>
          <w:color w:val="404040"/>
        </w:rPr>
        <w:t>partners’</w:t>
      </w:r>
      <w:r w:rsidR="00B14157" w:rsidRPr="0069280B">
        <w:rPr>
          <w:color w:val="404040"/>
        </w:rPr>
        <w:t xml:space="preserve"> </w:t>
      </w:r>
      <w:r w:rsidR="00B14157" w:rsidRPr="0000404F">
        <w:t>capability to investigate, contain and respond to a major p</w:t>
      </w:r>
      <w:r w:rsidR="00B14157">
        <w:t xml:space="preserve">ublic health threat post Brexit.  A </w:t>
      </w:r>
      <w:r w:rsidR="00B14157" w:rsidRPr="0069280B">
        <w:rPr>
          <w:i/>
        </w:rPr>
        <w:t>debrief report</w:t>
      </w:r>
      <w:r w:rsidR="00B14157" w:rsidRPr="000B00C9">
        <w:t xml:space="preserve"> </w:t>
      </w:r>
      <w:r w:rsidR="00B14157">
        <w:t>was published which contained a set of observations and recommendations which were later implemented.</w:t>
      </w:r>
    </w:p>
    <w:p w14:paraId="6F4DCE0F" w14:textId="33CD4777" w:rsidR="00571F25" w:rsidRDefault="00571F25" w:rsidP="00BB0192">
      <w:pPr>
        <w:jc w:val="both"/>
        <w:rPr>
          <w:rFonts w:cs="Calibri"/>
          <w:color w:val="000000" w:themeColor="text1"/>
        </w:rPr>
      </w:pPr>
    </w:p>
    <w:p w14:paraId="3CAB4E2D" w14:textId="5433EC69" w:rsidR="00335443" w:rsidRDefault="00EE7846" w:rsidP="00EE7846">
      <w:pPr>
        <w:ind w:left="851" w:hanging="851"/>
        <w:jc w:val="both"/>
        <w:rPr>
          <w:rFonts w:ascii="Calibri" w:hAnsi="Calibri"/>
        </w:rPr>
      </w:pPr>
      <w:r>
        <w:t>4.7</w:t>
      </w:r>
      <w:r w:rsidR="00571F25" w:rsidRPr="00BB0192">
        <w:t>.5</w:t>
      </w:r>
      <w:r w:rsidR="00571F25" w:rsidRPr="00BB0192">
        <w:tab/>
      </w:r>
      <w:r w:rsidR="00635137" w:rsidRPr="00BB0192">
        <w:t xml:space="preserve">In </w:t>
      </w:r>
      <w:r w:rsidR="00571F25" w:rsidRPr="00BB0192">
        <w:t>Ma</w:t>
      </w:r>
      <w:r w:rsidR="00335443" w:rsidRPr="00BB0192">
        <w:t xml:space="preserve">rch </w:t>
      </w:r>
      <w:r w:rsidR="00571F25" w:rsidRPr="00BB0192">
        <w:t>2019</w:t>
      </w:r>
      <w:r w:rsidR="00635137" w:rsidRPr="00BB0192">
        <w:t xml:space="preserve">, </w:t>
      </w:r>
      <w:r w:rsidR="00571F25" w:rsidRPr="00BB0192">
        <w:t xml:space="preserve">Public Health Wales commences </w:t>
      </w:r>
      <w:r w:rsidR="001550BE" w:rsidRPr="00BB0192">
        <w:rPr>
          <w:i/>
        </w:rPr>
        <w:t>Heightened Monthly Monitoring Reports in the C</w:t>
      </w:r>
      <w:r w:rsidR="00571F25" w:rsidRPr="00BB0192">
        <w:rPr>
          <w:i/>
        </w:rPr>
        <w:t>ontext of Brexit</w:t>
      </w:r>
      <w:r w:rsidR="00571F25" w:rsidRPr="00BB0192">
        <w:t xml:space="preserve">, </w:t>
      </w:r>
      <w:r w:rsidR="001550BE" w:rsidRPr="00BB0192">
        <w:t xml:space="preserve">which are </w:t>
      </w:r>
      <w:r w:rsidR="00571F25" w:rsidRPr="00BB0192">
        <w:t xml:space="preserve">received by the </w:t>
      </w:r>
      <w:r w:rsidR="001550BE" w:rsidRPr="00BB0192">
        <w:t xml:space="preserve">Public Health Wales </w:t>
      </w:r>
      <w:r w:rsidR="00571F25" w:rsidRPr="00BB0192">
        <w:rPr>
          <w:rFonts w:cs="Calibri"/>
        </w:rPr>
        <w:t xml:space="preserve">SRO </w:t>
      </w:r>
      <w:r w:rsidR="001550BE" w:rsidRPr="00BB0192">
        <w:rPr>
          <w:rFonts w:cs="Calibri"/>
        </w:rPr>
        <w:t xml:space="preserve">Programme </w:t>
      </w:r>
      <w:r w:rsidR="00571F25" w:rsidRPr="00BB0192">
        <w:rPr>
          <w:rFonts w:cs="Calibri"/>
        </w:rPr>
        <w:t xml:space="preserve">Group </w:t>
      </w:r>
      <w:r w:rsidR="001550BE" w:rsidRPr="00BB0192">
        <w:rPr>
          <w:rFonts w:cs="Calibri"/>
        </w:rPr>
        <w:t xml:space="preserve">and contain </w:t>
      </w:r>
      <w:r w:rsidR="00571F25" w:rsidRPr="00BB0192">
        <w:rPr>
          <w:rFonts w:cs="Calibri"/>
        </w:rPr>
        <w:t>a timely view of a number indicators linked to potential impact domains identified in the Public Health Wales Brexit HIA referenced in 4.6.4 above.</w:t>
      </w:r>
      <w:r w:rsidR="00635137" w:rsidRPr="00BB0192">
        <w:rPr>
          <w:rFonts w:cs="Calibri"/>
        </w:rPr>
        <w:t xml:space="preserve">  These reports ran </w:t>
      </w:r>
      <w:r w:rsidR="00335443" w:rsidRPr="00BB0192">
        <w:rPr>
          <w:rFonts w:cs="Calibri"/>
        </w:rPr>
        <w:t xml:space="preserve">until May 2020, when the reporting was merged with the </w:t>
      </w:r>
      <w:r w:rsidR="00335443" w:rsidRPr="00BB0192">
        <w:t xml:space="preserve">Public Health Wales </w:t>
      </w:r>
      <w:r w:rsidR="00335443" w:rsidRPr="00BB0192">
        <w:rPr>
          <w:i/>
        </w:rPr>
        <w:t xml:space="preserve">Observatory </w:t>
      </w:r>
      <w:r w:rsidR="00335443" w:rsidRPr="00BB0192">
        <w:rPr>
          <w:bCs/>
          <w:i/>
        </w:rPr>
        <w:t>COVID-19 Recovery Profile</w:t>
      </w:r>
      <w:r w:rsidR="00BB0192" w:rsidRPr="00BB0192">
        <w:rPr>
          <w:bCs/>
        </w:rPr>
        <w:t>.</w:t>
      </w:r>
    </w:p>
    <w:p w14:paraId="57583794" w14:textId="2A4736CF" w:rsidR="00B14157" w:rsidRDefault="00B14157" w:rsidP="00B14157">
      <w:pPr>
        <w:jc w:val="both"/>
        <w:rPr>
          <w:rFonts w:cs="Calibri"/>
          <w:color w:val="000000" w:themeColor="text1"/>
        </w:rPr>
      </w:pPr>
    </w:p>
    <w:p w14:paraId="6E5900CE" w14:textId="46D79406" w:rsidR="00B14157" w:rsidRDefault="00EE7846" w:rsidP="00B14157">
      <w:pPr>
        <w:ind w:left="851" w:hanging="851"/>
        <w:jc w:val="both"/>
      </w:pPr>
      <w:r>
        <w:t>4.7.6</w:t>
      </w:r>
      <w:r w:rsidR="00B14157">
        <w:tab/>
      </w:r>
      <w:r w:rsidR="00B14157" w:rsidRPr="000744E3">
        <w:t>December 2018</w:t>
      </w:r>
      <w:r w:rsidR="00B14157">
        <w:t xml:space="preserve"> - </w:t>
      </w:r>
      <w:r w:rsidR="00B14157" w:rsidRPr="000744E3">
        <w:t>the Executive Director of Public Health Services was appointed by Welsh Government to act as SRO on behalf of the NHS in Wales for Health Security and host the Health Securities’ Sub Group of the W</w:t>
      </w:r>
      <w:r>
        <w:t xml:space="preserve">elsh </w:t>
      </w:r>
      <w:r w:rsidR="00B14157" w:rsidRPr="000744E3">
        <w:t>G</w:t>
      </w:r>
      <w:r>
        <w:t>overnment</w:t>
      </w:r>
      <w:r w:rsidR="00B14157" w:rsidRPr="000744E3">
        <w:t xml:space="preserve"> EU Transition Leadership Group.  </w:t>
      </w:r>
      <w:r w:rsidR="00B14157" w:rsidRPr="00E8742A">
        <w:rPr>
          <w:i/>
        </w:rPr>
        <w:t>Terms of Reference and membership</w:t>
      </w:r>
      <w:r w:rsidR="00B14157" w:rsidRPr="000744E3">
        <w:t xml:space="preserve"> were agreed along with a risk area based </w:t>
      </w:r>
      <w:r w:rsidR="00B14157" w:rsidRPr="00E8742A">
        <w:rPr>
          <w:i/>
        </w:rPr>
        <w:t>Programme Plan</w:t>
      </w:r>
      <w:r w:rsidR="00B14157" w:rsidRPr="000744E3">
        <w:t xml:space="preserve"> which was developed in line with the risks held by Public Health England.  </w:t>
      </w:r>
      <w:r w:rsidR="00B14157" w:rsidRPr="00BB0192">
        <w:rPr>
          <w:i/>
        </w:rPr>
        <w:t>Papers</w:t>
      </w:r>
      <w:r w:rsidR="00B14157" w:rsidRPr="000744E3">
        <w:t xml:space="preserve"> for the Sub Group were logged on the W</w:t>
      </w:r>
      <w:r w:rsidR="00BB0192">
        <w:t xml:space="preserve">elsh </w:t>
      </w:r>
      <w:r w:rsidR="00B14157" w:rsidRPr="000744E3">
        <w:t>G</w:t>
      </w:r>
      <w:r w:rsidR="00BB0192">
        <w:t>overnment</w:t>
      </w:r>
      <w:r w:rsidR="00B14157" w:rsidRPr="000744E3">
        <w:t xml:space="preserve"> secure website, Objective Connect</w:t>
      </w:r>
      <w:r w:rsidR="00BB0192">
        <w:t>,</w:t>
      </w:r>
      <w:r w:rsidR="00B14157" w:rsidRPr="000744E3">
        <w:t xml:space="preserve"> and a total of five meetings were held</w:t>
      </w:r>
      <w:r w:rsidR="00B14157">
        <w:t xml:space="preserve"> during Phase I</w:t>
      </w:r>
      <w:r w:rsidR="00B14157" w:rsidRPr="000744E3">
        <w:t>.</w:t>
      </w:r>
    </w:p>
    <w:p w14:paraId="6780C915" w14:textId="77777777" w:rsidR="00B14157" w:rsidRDefault="00B14157" w:rsidP="00B14157">
      <w:pPr>
        <w:ind w:left="851" w:hanging="851"/>
        <w:jc w:val="both"/>
      </w:pPr>
    </w:p>
    <w:p w14:paraId="52AF1A59" w14:textId="1BA94A0D" w:rsidR="00B14157" w:rsidRPr="000744E3" w:rsidRDefault="00EE7846" w:rsidP="00B14157">
      <w:pPr>
        <w:ind w:left="851" w:hanging="851"/>
        <w:jc w:val="both"/>
      </w:pPr>
      <w:r>
        <w:t>4.7.7</w:t>
      </w:r>
      <w:r w:rsidR="00B14157">
        <w:tab/>
        <w:t xml:space="preserve">Two </w:t>
      </w:r>
      <w:r w:rsidR="00B14157" w:rsidRPr="00CF385E">
        <w:rPr>
          <w:i/>
        </w:rPr>
        <w:t>health securities assurance statements</w:t>
      </w:r>
      <w:r w:rsidR="00B14157">
        <w:t xml:space="preserve"> were submitted to Welsh Government for consideration by its SRO Group</w:t>
      </w:r>
      <w:r w:rsidR="00BB0192">
        <w:t xml:space="preserve"> during Phase I</w:t>
      </w:r>
      <w:r w:rsidR="00B14157">
        <w:t>.</w:t>
      </w:r>
    </w:p>
    <w:p w14:paraId="22929B81" w14:textId="77777777" w:rsidR="00B14157" w:rsidRDefault="00B14157" w:rsidP="00B14157">
      <w:pPr>
        <w:jc w:val="both"/>
      </w:pPr>
    </w:p>
    <w:p w14:paraId="6D646F2A" w14:textId="771E3614" w:rsidR="00B14157" w:rsidRPr="006A5020" w:rsidRDefault="00EE7846" w:rsidP="00B14157">
      <w:pPr>
        <w:ind w:left="851" w:hanging="851"/>
        <w:jc w:val="both"/>
      </w:pPr>
      <w:r>
        <w:t>4.7.8</w:t>
      </w:r>
      <w:r w:rsidR="00B14157" w:rsidRPr="006A5020">
        <w:tab/>
      </w:r>
      <w:r w:rsidR="00B14157" w:rsidRPr="006A5020">
        <w:rPr>
          <w:rFonts w:cs="Arial"/>
        </w:rPr>
        <w:t>Public Health Wales agree</w:t>
      </w:r>
      <w:r w:rsidR="004A7ABB">
        <w:rPr>
          <w:rFonts w:cs="Arial"/>
        </w:rPr>
        <w:t>d</w:t>
      </w:r>
      <w:r w:rsidR="00B14157" w:rsidRPr="006A5020">
        <w:rPr>
          <w:rFonts w:cs="Arial"/>
        </w:rPr>
        <w:t xml:space="preserve"> to chair and provide the secretariat for the </w:t>
      </w:r>
      <w:r w:rsidR="00B14157" w:rsidRPr="00FE4E03">
        <w:rPr>
          <w:rFonts w:cs="Arial"/>
          <w:i/>
        </w:rPr>
        <w:t xml:space="preserve">Four Nations’ </w:t>
      </w:r>
      <w:r w:rsidR="00B14157">
        <w:rPr>
          <w:rFonts w:cs="Arial"/>
          <w:i/>
        </w:rPr>
        <w:t xml:space="preserve">Health Protection </w:t>
      </w:r>
      <w:r w:rsidR="00B14157" w:rsidRPr="00FE4E03">
        <w:rPr>
          <w:rFonts w:cs="Arial"/>
          <w:i/>
        </w:rPr>
        <w:t>Emergency Planning</w:t>
      </w:r>
      <w:r w:rsidR="00B14157" w:rsidRPr="006A5020">
        <w:rPr>
          <w:rFonts w:cs="Arial"/>
        </w:rPr>
        <w:t xml:space="preserve"> meetings held monthly in line with </w:t>
      </w:r>
      <w:r w:rsidR="00BB0192">
        <w:rPr>
          <w:rFonts w:cs="Arial"/>
        </w:rPr>
        <w:t xml:space="preserve">the </w:t>
      </w:r>
      <w:r w:rsidR="00B14157" w:rsidRPr="006A5020">
        <w:rPr>
          <w:rFonts w:cs="Arial"/>
        </w:rPr>
        <w:t>P</w:t>
      </w:r>
      <w:r w:rsidR="00BB0192">
        <w:rPr>
          <w:rFonts w:cs="Arial"/>
        </w:rPr>
        <w:t xml:space="preserve">ublic Health England Incident Management Team.  </w:t>
      </w:r>
      <w:r w:rsidR="00B14157">
        <w:rPr>
          <w:rFonts w:cs="Arial"/>
        </w:rPr>
        <w:t xml:space="preserve">Nine meetings </w:t>
      </w:r>
      <w:r w:rsidR="004A7ABB">
        <w:rPr>
          <w:rFonts w:cs="Arial"/>
        </w:rPr>
        <w:t>we</w:t>
      </w:r>
      <w:r w:rsidR="00B14157">
        <w:rPr>
          <w:rFonts w:cs="Arial"/>
        </w:rPr>
        <w:t>re held during Phase I</w:t>
      </w:r>
      <w:r w:rsidR="00BB0192">
        <w:rPr>
          <w:rFonts w:cs="Arial"/>
        </w:rPr>
        <w:t xml:space="preserve"> and </w:t>
      </w:r>
      <w:r w:rsidR="00BB0192" w:rsidRPr="00BB0192">
        <w:rPr>
          <w:rFonts w:cs="Arial"/>
          <w:i/>
        </w:rPr>
        <w:t>papers</w:t>
      </w:r>
      <w:r w:rsidR="00BB0192">
        <w:rPr>
          <w:rFonts w:cs="Arial"/>
        </w:rPr>
        <w:t xml:space="preserve"> for the meetings were downloaded onto a dedicated ResilienceDirect website</w:t>
      </w:r>
      <w:r w:rsidR="00FE4D29">
        <w:rPr>
          <w:rFonts w:cs="Arial"/>
        </w:rPr>
        <w:t xml:space="preserve"> </w:t>
      </w:r>
      <w:r w:rsidR="00FE4D29" w:rsidRPr="0041264A">
        <w:rPr>
          <w:rFonts w:cs="Arial"/>
        </w:rPr>
        <w:t xml:space="preserve">(the </w:t>
      </w:r>
      <w:r w:rsidR="00FE4D29" w:rsidRPr="0041264A">
        <w:rPr>
          <w:rStyle w:val="e24kjd"/>
          <w:rFonts w:cs="Arial"/>
        </w:rPr>
        <w:t>online private 'network' which enables civil protection practitioners to work together during the preparation, response and recovery pha</w:t>
      </w:r>
      <w:r w:rsidR="00FE4D29">
        <w:rPr>
          <w:rStyle w:val="e24kjd"/>
          <w:rFonts w:cs="Arial"/>
        </w:rPr>
        <w:t>ses of an event or emergency).</w:t>
      </w:r>
    </w:p>
    <w:p w14:paraId="41098D27" w14:textId="77777777" w:rsidR="00B14157" w:rsidRDefault="00B14157" w:rsidP="00B14157">
      <w:pPr>
        <w:jc w:val="both"/>
        <w:rPr>
          <w:color w:val="000000" w:themeColor="text1"/>
        </w:rPr>
      </w:pPr>
    </w:p>
    <w:p w14:paraId="2678E46A" w14:textId="49018299" w:rsidR="00B14157" w:rsidRDefault="00EE7846" w:rsidP="00B14157">
      <w:pPr>
        <w:ind w:left="851" w:hanging="851"/>
      </w:pPr>
      <w:r>
        <w:t>4.7.9</w:t>
      </w:r>
      <w:r w:rsidR="00B14157">
        <w:tab/>
        <w:t xml:space="preserve">A series of </w:t>
      </w:r>
      <w:r w:rsidR="00B14157" w:rsidRPr="00BB0192">
        <w:rPr>
          <w:i/>
        </w:rPr>
        <w:t>communications</w:t>
      </w:r>
      <w:r w:rsidR="00B14157">
        <w:t xml:space="preserve"> were published, including:</w:t>
      </w:r>
    </w:p>
    <w:p w14:paraId="06DF88C8" w14:textId="77777777" w:rsidR="00B14157" w:rsidRDefault="00B14157" w:rsidP="00B14157">
      <w:pPr>
        <w:pStyle w:val="ListParagraph"/>
        <w:numPr>
          <w:ilvl w:val="0"/>
          <w:numId w:val="11"/>
        </w:numPr>
        <w:spacing w:before="240"/>
        <w:ind w:left="1418" w:hanging="567"/>
        <w:jc w:val="both"/>
      </w:pPr>
      <w:r>
        <w:t xml:space="preserve">Making staff aware and promoting the Settled Status Pilot Scheme to staff </w:t>
      </w:r>
    </w:p>
    <w:p w14:paraId="488F2511" w14:textId="212CC276" w:rsidR="00B14157" w:rsidRDefault="00B14157" w:rsidP="00B14157">
      <w:pPr>
        <w:pStyle w:val="ListParagraph"/>
        <w:numPr>
          <w:ilvl w:val="0"/>
          <w:numId w:val="11"/>
        </w:numPr>
        <w:spacing w:before="120"/>
        <w:ind w:left="1418" w:hanging="567"/>
        <w:contextualSpacing w:val="0"/>
        <w:jc w:val="both"/>
      </w:pPr>
      <w:r>
        <w:t>Sign-posting staff to a series of ‘drop in sessions’</w:t>
      </w:r>
      <w:r w:rsidR="00BB0192">
        <w:t xml:space="preserve"> held in </w:t>
      </w:r>
      <w:r>
        <w:t>December 2018</w:t>
      </w:r>
    </w:p>
    <w:p w14:paraId="368DD0CC" w14:textId="77777777" w:rsidR="00B14157" w:rsidRDefault="00B14157" w:rsidP="00B14157">
      <w:pPr>
        <w:pStyle w:val="ListParagraph"/>
        <w:numPr>
          <w:ilvl w:val="0"/>
          <w:numId w:val="11"/>
        </w:numPr>
        <w:spacing w:before="120"/>
        <w:ind w:left="1418" w:hanging="567"/>
        <w:contextualSpacing w:val="0"/>
        <w:jc w:val="both"/>
      </w:pPr>
      <w:r>
        <w:t>Providing an update to staff on the work and scope of the Brexit Programme.</w:t>
      </w:r>
    </w:p>
    <w:p w14:paraId="798FF0DB" w14:textId="19746F6B" w:rsidR="00B14157" w:rsidRDefault="00EE7846" w:rsidP="00B14157">
      <w:pPr>
        <w:spacing w:before="120"/>
        <w:ind w:left="851" w:hanging="851"/>
        <w:jc w:val="both"/>
      </w:pPr>
      <w:r>
        <w:t>4.7.10</w:t>
      </w:r>
      <w:r w:rsidR="00B14157">
        <w:tab/>
        <w:t xml:space="preserve">An initial </w:t>
      </w:r>
      <w:r w:rsidR="00B14157" w:rsidRPr="00FE4E03">
        <w:rPr>
          <w:i/>
        </w:rPr>
        <w:t>financial assessment</w:t>
      </w:r>
      <w:r w:rsidR="00B14157">
        <w:t xml:space="preserve"> was made of any EU income, which identified only £31k.  Further work was identified to review possible risks to existing grants in the event of a ‘No Deal’ and was completed by the end January 2019.</w:t>
      </w:r>
    </w:p>
    <w:p w14:paraId="2217FE17" w14:textId="066CE089" w:rsidR="00B14157" w:rsidRDefault="00EE7846" w:rsidP="00B14157">
      <w:pPr>
        <w:spacing w:before="120"/>
        <w:ind w:left="851" w:hanging="851"/>
        <w:jc w:val="both"/>
      </w:pPr>
      <w:r>
        <w:t>4.7.11</w:t>
      </w:r>
      <w:r w:rsidR="00B14157">
        <w:tab/>
        <w:t>Work continued to identify the nationality of staff hampered by incomplete data held within ESR.  Work was therefore undertaken to retrieve nationality information from local staff files.</w:t>
      </w:r>
    </w:p>
    <w:p w14:paraId="0D7B8E00" w14:textId="300FF7C3" w:rsidR="00B14157" w:rsidRPr="00FE4E03" w:rsidRDefault="00EE7846" w:rsidP="00B14157">
      <w:pPr>
        <w:spacing w:before="120"/>
        <w:ind w:left="851" w:hanging="851"/>
        <w:jc w:val="both"/>
      </w:pPr>
      <w:r>
        <w:t>4.7.12</w:t>
      </w:r>
      <w:r w:rsidR="00B14157">
        <w:tab/>
        <w:t xml:space="preserve">The Programme was advised by the </w:t>
      </w:r>
      <w:r w:rsidR="00BB0192">
        <w:t xml:space="preserve">Public Health Wales </w:t>
      </w:r>
      <w:r w:rsidR="00B14157">
        <w:t>Chief Risk Officer and Head of Informatics that no personal data is stored outside of the UK.</w:t>
      </w:r>
    </w:p>
    <w:p w14:paraId="58036114" w14:textId="554D898A" w:rsidR="00B14157" w:rsidRPr="00E06292" w:rsidRDefault="00EE7846" w:rsidP="00B14157">
      <w:pPr>
        <w:spacing w:before="120"/>
        <w:ind w:left="851" w:hanging="851"/>
        <w:jc w:val="both"/>
        <w:rPr>
          <w:b/>
        </w:rPr>
      </w:pPr>
      <w:r>
        <w:rPr>
          <w:b/>
        </w:rPr>
        <w:t>4.8</w:t>
      </w:r>
      <w:r w:rsidR="00B14157">
        <w:rPr>
          <w:b/>
        </w:rPr>
        <w:tab/>
        <w:t xml:space="preserve">End of </w:t>
      </w:r>
      <w:r w:rsidR="00B14157" w:rsidRPr="00E06292">
        <w:rPr>
          <w:b/>
        </w:rPr>
        <w:t>Phase I Review</w:t>
      </w:r>
    </w:p>
    <w:p w14:paraId="14B01642" w14:textId="01843002" w:rsidR="00B14157" w:rsidRDefault="00EE7846" w:rsidP="00B14157">
      <w:pPr>
        <w:spacing w:before="120"/>
        <w:ind w:left="851" w:hanging="851"/>
        <w:jc w:val="both"/>
      </w:pPr>
      <w:r>
        <w:t>4.8</w:t>
      </w:r>
      <w:r w:rsidR="00B14157">
        <w:t>.1</w:t>
      </w:r>
      <w:r w:rsidR="00B14157">
        <w:tab/>
      </w:r>
      <w:r w:rsidR="00B14157" w:rsidRPr="000F3313">
        <w:t xml:space="preserve">During March </w:t>
      </w:r>
      <w:r w:rsidR="00BB0192">
        <w:t xml:space="preserve">and </w:t>
      </w:r>
      <w:r w:rsidR="00B14157">
        <w:t xml:space="preserve">April </w:t>
      </w:r>
      <w:r w:rsidR="00B14157" w:rsidRPr="000F3313">
        <w:t xml:space="preserve">2019, a </w:t>
      </w:r>
      <w:r w:rsidR="00B14157" w:rsidRPr="00FE4E03">
        <w:rPr>
          <w:i/>
        </w:rPr>
        <w:t>Phase I Review</w:t>
      </w:r>
      <w:r w:rsidR="00B14157">
        <w:t xml:space="preserve"> </w:t>
      </w:r>
      <w:r w:rsidR="00B14157" w:rsidRPr="000F3313">
        <w:t xml:space="preserve">of the Programme </w:t>
      </w:r>
      <w:r w:rsidR="00B14157">
        <w:t>was conducted</w:t>
      </w:r>
      <w:r w:rsidR="00BB0192">
        <w:t>.</w:t>
      </w:r>
    </w:p>
    <w:p w14:paraId="42529B39" w14:textId="408EDB6A" w:rsidR="00B14157" w:rsidRDefault="00EE7846" w:rsidP="00B14157">
      <w:pPr>
        <w:spacing w:before="120"/>
        <w:ind w:left="851" w:hanging="851"/>
        <w:jc w:val="both"/>
      </w:pPr>
      <w:r>
        <w:t>4.8</w:t>
      </w:r>
      <w:r w:rsidR="00B14157">
        <w:t>.2</w:t>
      </w:r>
      <w:r w:rsidR="00B14157">
        <w:tab/>
        <w:t xml:space="preserve">The </w:t>
      </w:r>
      <w:r w:rsidR="00B14157" w:rsidRPr="000F3313">
        <w:rPr>
          <w:i/>
        </w:rPr>
        <w:t xml:space="preserve">End of Phase </w:t>
      </w:r>
      <w:r w:rsidR="00B14157">
        <w:rPr>
          <w:i/>
        </w:rPr>
        <w:t xml:space="preserve">I </w:t>
      </w:r>
      <w:r w:rsidR="00B14157" w:rsidRPr="000F3313">
        <w:rPr>
          <w:i/>
        </w:rPr>
        <w:t xml:space="preserve">Report </w:t>
      </w:r>
      <w:r w:rsidR="00B14157">
        <w:t xml:space="preserve">was shared with partners and put before the </w:t>
      </w:r>
      <w:r w:rsidR="008809B1">
        <w:t xml:space="preserve">Public Health Wales </w:t>
      </w:r>
      <w:r w:rsidR="00B14157">
        <w:t>Business Executive Team on 15 May 2019. Recommendations contained within the report were agreed and implemented during Phase II.</w:t>
      </w:r>
    </w:p>
    <w:p w14:paraId="7619AADA" w14:textId="77777777" w:rsidR="00B14157" w:rsidRDefault="00B14157" w:rsidP="00B14157">
      <w:pPr>
        <w:jc w:val="both"/>
      </w:pPr>
    </w:p>
    <w:p w14:paraId="51BC6288" w14:textId="2CA85CFE" w:rsidR="00B14157" w:rsidRDefault="00EE7846" w:rsidP="00B14157">
      <w:pPr>
        <w:ind w:left="851" w:hanging="851"/>
        <w:jc w:val="both"/>
      </w:pPr>
      <w:r>
        <w:t>4.8</w:t>
      </w:r>
      <w:r w:rsidR="00B14157">
        <w:t>.3</w:t>
      </w:r>
      <w:r w:rsidR="00B14157">
        <w:tab/>
      </w:r>
      <w:r w:rsidR="00B14157" w:rsidRPr="00EF1DAE">
        <w:t>During Phase I of the Programme</w:t>
      </w:r>
      <w:r w:rsidR="00B14157">
        <w:t xml:space="preserve"> within Public Health Wales:</w:t>
      </w:r>
    </w:p>
    <w:p w14:paraId="431CE6A1" w14:textId="77777777" w:rsidR="00B14157" w:rsidRPr="00942165" w:rsidRDefault="00B14157" w:rsidP="00B14157">
      <w:pPr>
        <w:jc w:val="both"/>
      </w:pPr>
    </w:p>
    <w:p w14:paraId="46C8858E" w14:textId="77777777" w:rsidR="00B14157" w:rsidRPr="00942165" w:rsidRDefault="00B14157" w:rsidP="00B14157">
      <w:pPr>
        <w:pStyle w:val="ListParagraph"/>
        <w:numPr>
          <w:ilvl w:val="0"/>
          <w:numId w:val="19"/>
        </w:numPr>
        <w:ind w:left="1418" w:hanging="567"/>
        <w:jc w:val="both"/>
      </w:pPr>
      <w:r>
        <w:t>ten</w:t>
      </w:r>
      <w:r w:rsidRPr="00942165">
        <w:t xml:space="preserve"> </w:t>
      </w:r>
      <w:r w:rsidRPr="00FE4E03">
        <w:rPr>
          <w:i/>
        </w:rPr>
        <w:t>SRO Programme Group</w:t>
      </w:r>
      <w:r w:rsidRPr="00942165">
        <w:t xml:space="preserve"> meetings were held</w:t>
      </w:r>
    </w:p>
    <w:p w14:paraId="15B874FA" w14:textId="6DAC65FB" w:rsidR="00B14157" w:rsidRPr="00942165" w:rsidRDefault="00B14157" w:rsidP="00B14157">
      <w:pPr>
        <w:pStyle w:val="ListParagraph"/>
        <w:numPr>
          <w:ilvl w:val="0"/>
          <w:numId w:val="19"/>
        </w:numPr>
        <w:ind w:left="1418" w:hanging="567"/>
        <w:jc w:val="both"/>
      </w:pPr>
      <w:r>
        <w:t xml:space="preserve">seven </w:t>
      </w:r>
      <w:r w:rsidRPr="00FE4E03">
        <w:rPr>
          <w:i/>
        </w:rPr>
        <w:t>reports</w:t>
      </w:r>
      <w:r w:rsidRPr="00942165">
        <w:t xml:space="preserve"> were submitted to the Business Executive Team</w:t>
      </w:r>
    </w:p>
    <w:p w14:paraId="606C4CDF" w14:textId="2D989D22" w:rsidR="00B14157" w:rsidRPr="00942165" w:rsidRDefault="00B14157" w:rsidP="00B14157">
      <w:pPr>
        <w:pStyle w:val="ListParagraph"/>
        <w:numPr>
          <w:ilvl w:val="0"/>
          <w:numId w:val="19"/>
        </w:numPr>
        <w:ind w:left="1418" w:hanging="567"/>
        <w:jc w:val="both"/>
      </w:pPr>
      <w:r w:rsidRPr="00942165">
        <w:t xml:space="preserve">two </w:t>
      </w:r>
      <w:r w:rsidRPr="00FE4E03">
        <w:rPr>
          <w:i/>
        </w:rPr>
        <w:t>reports</w:t>
      </w:r>
      <w:r w:rsidRPr="00942165">
        <w:t xml:space="preserve"> </w:t>
      </w:r>
      <w:r>
        <w:t xml:space="preserve">were submitted to the </w:t>
      </w:r>
      <w:r w:rsidRPr="00942165">
        <w:t>Audit and Corporate Governance Committee, and</w:t>
      </w:r>
    </w:p>
    <w:p w14:paraId="35CDEDBD" w14:textId="2D620AAB" w:rsidR="00B14157" w:rsidRPr="00FD31B6" w:rsidRDefault="00B14157" w:rsidP="00B14157">
      <w:pPr>
        <w:pStyle w:val="ListParagraph"/>
        <w:numPr>
          <w:ilvl w:val="0"/>
          <w:numId w:val="19"/>
        </w:numPr>
        <w:ind w:left="1418" w:hanging="567"/>
        <w:jc w:val="both"/>
        <w:rPr>
          <w:b/>
        </w:rPr>
      </w:pPr>
      <w:r w:rsidRPr="00942165">
        <w:t xml:space="preserve">one </w:t>
      </w:r>
      <w:r w:rsidR="00BB0192">
        <w:rPr>
          <w:i/>
        </w:rPr>
        <w:t xml:space="preserve"> </w:t>
      </w:r>
      <w:r w:rsidRPr="00CF385E">
        <w:rPr>
          <w:i/>
        </w:rPr>
        <w:t>report</w:t>
      </w:r>
      <w:r w:rsidRPr="00942165">
        <w:t xml:space="preserve"> </w:t>
      </w:r>
      <w:r>
        <w:t xml:space="preserve">was submitted to the </w:t>
      </w:r>
      <w:r w:rsidRPr="00942165">
        <w:t>Board.</w:t>
      </w:r>
    </w:p>
    <w:p w14:paraId="382646A0" w14:textId="77777777" w:rsidR="00B14157" w:rsidRPr="00FD31B6" w:rsidRDefault="00B14157" w:rsidP="00B14157">
      <w:pPr>
        <w:spacing w:before="120"/>
        <w:jc w:val="both"/>
        <w:rPr>
          <w:b/>
        </w:rPr>
      </w:pPr>
    </w:p>
    <w:p w14:paraId="2F702F3C" w14:textId="1FC3A4E8" w:rsidR="00B14157" w:rsidRPr="00661A7F" w:rsidRDefault="007E4744" w:rsidP="00B14157">
      <w:pPr>
        <w:pStyle w:val="ListParagraph"/>
        <w:numPr>
          <w:ilvl w:val="0"/>
          <w:numId w:val="17"/>
        </w:numPr>
        <w:ind w:left="851" w:hanging="851"/>
        <w:jc w:val="both"/>
      </w:pPr>
      <w:r>
        <w:rPr>
          <w:b/>
        </w:rPr>
        <w:t xml:space="preserve">PHASE II (May </w:t>
      </w:r>
      <w:r w:rsidR="00B14157" w:rsidRPr="00FD31B6">
        <w:rPr>
          <w:b/>
        </w:rPr>
        <w:t xml:space="preserve">2019 – </w:t>
      </w:r>
      <w:r w:rsidR="00A24E22">
        <w:rPr>
          <w:b/>
        </w:rPr>
        <w:t xml:space="preserve">February </w:t>
      </w:r>
      <w:r w:rsidR="00B14157" w:rsidRPr="00FD31B6">
        <w:rPr>
          <w:b/>
        </w:rPr>
        <w:t>2020)</w:t>
      </w:r>
    </w:p>
    <w:p w14:paraId="7DD0D2BB" w14:textId="77777777" w:rsidR="00B14157" w:rsidRDefault="00B14157" w:rsidP="00B14157">
      <w:pPr>
        <w:jc w:val="both"/>
      </w:pPr>
    </w:p>
    <w:p w14:paraId="4F314A24" w14:textId="2DB1EF2B" w:rsidR="00B14157" w:rsidRDefault="00B14157" w:rsidP="00B14157">
      <w:pPr>
        <w:pStyle w:val="ListParagraph"/>
        <w:ind w:left="851" w:hanging="851"/>
        <w:contextualSpacing w:val="0"/>
        <w:jc w:val="both"/>
      </w:pPr>
      <w:r>
        <w:t>5.1</w:t>
      </w:r>
      <w:r>
        <w:tab/>
      </w:r>
      <w:r w:rsidR="00472855">
        <w:t xml:space="preserve">It was agreed a </w:t>
      </w:r>
      <w:r>
        <w:t>single SRO w</w:t>
      </w:r>
      <w:r w:rsidR="00472855">
        <w:t xml:space="preserve">ould be </w:t>
      </w:r>
      <w:r w:rsidRPr="001E5DE8">
        <w:t xml:space="preserve">appointed to oversee </w:t>
      </w:r>
      <w:r>
        <w:t>the Programme</w:t>
      </w:r>
      <w:r w:rsidR="00472855">
        <w:t xml:space="preserve"> during Phase II and beyond; </w:t>
      </w:r>
      <w:r>
        <w:t>Dr Quentin Sandifer</w:t>
      </w:r>
      <w:r w:rsidR="00472855">
        <w:t>, Executive Director of Public Health Services and Medical Director</w:t>
      </w:r>
      <w:r>
        <w:t xml:space="preserve"> was appointed sole SRO and chair of the SRO Programme Group.</w:t>
      </w:r>
    </w:p>
    <w:p w14:paraId="30F62ACF" w14:textId="77777777" w:rsidR="00B14157" w:rsidRDefault="00B14157" w:rsidP="00B14157">
      <w:pPr>
        <w:pStyle w:val="ListParagraph"/>
        <w:ind w:left="851" w:hanging="851"/>
        <w:contextualSpacing w:val="0"/>
        <w:jc w:val="both"/>
      </w:pPr>
    </w:p>
    <w:p w14:paraId="6ED517F8" w14:textId="77777777" w:rsidR="00B14157" w:rsidRPr="00F52F17" w:rsidRDefault="00B14157" w:rsidP="00B14157">
      <w:pPr>
        <w:pStyle w:val="ListParagraph"/>
        <w:ind w:left="851" w:hanging="851"/>
        <w:contextualSpacing w:val="0"/>
        <w:jc w:val="both"/>
        <w:rPr>
          <w:b/>
        </w:rPr>
      </w:pPr>
      <w:r w:rsidRPr="00F52F17">
        <w:rPr>
          <w:b/>
        </w:rPr>
        <w:t>5.2</w:t>
      </w:r>
      <w:r w:rsidRPr="00F52F17">
        <w:rPr>
          <w:b/>
        </w:rPr>
        <w:tab/>
        <w:t>Key Products</w:t>
      </w:r>
    </w:p>
    <w:p w14:paraId="00057DF5" w14:textId="77777777" w:rsidR="00B14157" w:rsidRDefault="00B14157" w:rsidP="00B14157">
      <w:pPr>
        <w:pStyle w:val="ListParagraph"/>
        <w:ind w:left="0"/>
        <w:contextualSpacing w:val="0"/>
        <w:jc w:val="both"/>
      </w:pPr>
    </w:p>
    <w:p w14:paraId="6DBDD307" w14:textId="2A0D0DB0" w:rsidR="00B14157" w:rsidRDefault="00B14157" w:rsidP="00B14157">
      <w:pPr>
        <w:pStyle w:val="ListParagraph"/>
        <w:ind w:left="851" w:hanging="851"/>
        <w:contextualSpacing w:val="0"/>
        <w:jc w:val="both"/>
        <w:rPr>
          <w:bCs/>
        </w:rPr>
      </w:pPr>
      <w:r>
        <w:t>5.2.1</w:t>
      </w:r>
      <w:r>
        <w:tab/>
        <w:t xml:space="preserve">Welsh Government advised the bid against European monies referenced in </w:t>
      </w:r>
      <w:r w:rsidR="008809B1" w:rsidRPr="008809B1">
        <w:t>4.4</w:t>
      </w:r>
      <w:r>
        <w:t xml:space="preserve"> above was successful and £60,000 was awarded to fund the </w:t>
      </w:r>
      <w:r w:rsidRPr="00A32775">
        <w:rPr>
          <w:i/>
        </w:rPr>
        <w:t>P</w:t>
      </w:r>
      <w:r w:rsidRPr="00A32775">
        <w:rPr>
          <w:bCs/>
          <w:i/>
        </w:rPr>
        <w:t>ublic Health Resilience Programme in Wales</w:t>
      </w:r>
      <w:r>
        <w:rPr>
          <w:bCs/>
        </w:rPr>
        <w:t>.</w:t>
      </w:r>
    </w:p>
    <w:p w14:paraId="3CD5D7E7" w14:textId="233BD70C" w:rsidR="008064C3" w:rsidRDefault="008064C3" w:rsidP="00B14157">
      <w:pPr>
        <w:pStyle w:val="ListParagraph"/>
        <w:ind w:left="851" w:hanging="851"/>
        <w:contextualSpacing w:val="0"/>
        <w:jc w:val="both"/>
        <w:rPr>
          <w:bCs/>
        </w:rPr>
      </w:pPr>
    </w:p>
    <w:p w14:paraId="49B5B55C" w14:textId="2496EAFA" w:rsidR="008064C3" w:rsidRDefault="008809B1" w:rsidP="008064C3">
      <w:pPr>
        <w:ind w:left="851" w:hanging="851"/>
        <w:jc w:val="both"/>
      </w:pPr>
      <w:r>
        <w:t>5.2.2</w:t>
      </w:r>
      <w:r w:rsidR="008064C3">
        <w:tab/>
        <w:t xml:space="preserve">A </w:t>
      </w:r>
      <w:r w:rsidR="008064C3" w:rsidRPr="0069280B">
        <w:rPr>
          <w:i/>
        </w:rPr>
        <w:t>‘No-Deal’ Activation Plan</w:t>
      </w:r>
      <w:r w:rsidR="008064C3" w:rsidRPr="00525574">
        <w:t xml:space="preserve"> </w:t>
      </w:r>
      <w:r w:rsidR="008064C3">
        <w:t xml:space="preserve">was </w:t>
      </w:r>
      <w:r w:rsidR="008064C3" w:rsidRPr="00525574">
        <w:t>developed, to be implemented if required, from September 2019.</w:t>
      </w:r>
      <w:r w:rsidR="008064C3">
        <w:t xml:space="preserve">  The Plan was submitted and accepted at the SRO Programme Group on 15 July; a mirror </w:t>
      </w:r>
      <w:r w:rsidR="008064C3" w:rsidRPr="00A32775">
        <w:rPr>
          <w:i/>
        </w:rPr>
        <w:t>Communications No Deal Act</w:t>
      </w:r>
      <w:r w:rsidR="008064C3" w:rsidRPr="0069280B">
        <w:rPr>
          <w:i/>
        </w:rPr>
        <w:t xml:space="preserve">ivation Plan </w:t>
      </w:r>
      <w:r w:rsidR="008064C3">
        <w:t>was submitted and accepted at the SRO Programme Group meeting on 15 August 2019.</w:t>
      </w:r>
    </w:p>
    <w:p w14:paraId="246EA7B0" w14:textId="3193BAEC" w:rsidR="008064C3" w:rsidRDefault="008064C3" w:rsidP="008064C3">
      <w:pPr>
        <w:ind w:left="851" w:hanging="851"/>
        <w:jc w:val="both"/>
      </w:pPr>
    </w:p>
    <w:p w14:paraId="2628B6B9" w14:textId="068FDAB8" w:rsidR="008064C3" w:rsidRDefault="008809B1" w:rsidP="008064C3">
      <w:pPr>
        <w:ind w:left="851" w:hanging="851"/>
        <w:jc w:val="both"/>
        <w:rPr>
          <w:rFonts w:cs="Arial"/>
        </w:rPr>
      </w:pPr>
      <w:r>
        <w:rPr>
          <w:rFonts w:cs="Arial"/>
        </w:rPr>
        <w:t>5.2.3</w:t>
      </w:r>
      <w:r w:rsidR="008064C3">
        <w:rPr>
          <w:rFonts w:cs="Arial"/>
        </w:rPr>
        <w:tab/>
      </w:r>
      <w:r w:rsidR="008064C3" w:rsidRPr="006A5020">
        <w:rPr>
          <w:rFonts w:cs="Arial"/>
        </w:rPr>
        <w:t xml:space="preserve">The </w:t>
      </w:r>
      <w:r w:rsidR="008064C3">
        <w:rPr>
          <w:rFonts w:cs="Arial"/>
        </w:rPr>
        <w:t xml:space="preserve">Environment Health </w:t>
      </w:r>
      <w:r w:rsidR="008064C3" w:rsidRPr="006A5020">
        <w:rPr>
          <w:rFonts w:cs="Arial"/>
        </w:rPr>
        <w:t xml:space="preserve">Lead Officer Training Steering Group met on 19 July 2019, to refresh the </w:t>
      </w:r>
      <w:r w:rsidR="008064C3" w:rsidRPr="006A5020">
        <w:rPr>
          <w:rFonts w:cs="Arial"/>
          <w:i/>
        </w:rPr>
        <w:t>Terms of Reference</w:t>
      </w:r>
      <w:r w:rsidR="008064C3" w:rsidRPr="006A5020">
        <w:rPr>
          <w:rFonts w:cs="Arial"/>
        </w:rPr>
        <w:t xml:space="preserve"> and agree</w:t>
      </w:r>
      <w:r w:rsidR="007A072F">
        <w:rPr>
          <w:rFonts w:cs="Arial"/>
        </w:rPr>
        <w:t>d</w:t>
      </w:r>
      <w:r w:rsidR="008064C3" w:rsidRPr="006A5020">
        <w:rPr>
          <w:rFonts w:cs="Arial"/>
        </w:rPr>
        <w:t xml:space="preserve"> the work plan for 2019 / 2020.</w:t>
      </w:r>
    </w:p>
    <w:p w14:paraId="02F6A416" w14:textId="77777777" w:rsidR="008064C3" w:rsidRDefault="008064C3" w:rsidP="008064C3">
      <w:pPr>
        <w:jc w:val="both"/>
        <w:rPr>
          <w:rFonts w:cs="Arial"/>
        </w:rPr>
      </w:pPr>
    </w:p>
    <w:p w14:paraId="0B76B426" w14:textId="3611F0BC" w:rsidR="008064C3" w:rsidRPr="008064C3" w:rsidRDefault="008809B1" w:rsidP="008064C3">
      <w:pPr>
        <w:ind w:left="851" w:hanging="851"/>
        <w:jc w:val="both"/>
        <w:rPr>
          <w:rFonts w:cs="Arial"/>
        </w:rPr>
      </w:pPr>
      <w:r>
        <w:rPr>
          <w:rFonts w:cs="Arial"/>
        </w:rPr>
        <w:t>5.2.4</w:t>
      </w:r>
      <w:r w:rsidR="008064C3">
        <w:rPr>
          <w:rFonts w:cs="Arial"/>
        </w:rPr>
        <w:tab/>
        <w:t xml:space="preserve">Under the Lead Officer training brand, </w:t>
      </w:r>
      <w:r w:rsidR="008064C3" w:rsidRPr="00F52F17">
        <w:rPr>
          <w:rFonts w:cs="Arial"/>
          <w:i/>
        </w:rPr>
        <w:t>refresher training</w:t>
      </w:r>
      <w:r w:rsidR="008064C3" w:rsidRPr="006A5020">
        <w:rPr>
          <w:rFonts w:cs="Arial"/>
        </w:rPr>
        <w:t xml:space="preserve"> </w:t>
      </w:r>
      <w:r w:rsidR="008064C3">
        <w:rPr>
          <w:rFonts w:cs="Arial"/>
        </w:rPr>
        <w:t xml:space="preserve">was provided by Public Health Wales </w:t>
      </w:r>
      <w:r w:rsidR="008064C3" w:rsidRPr="006A5020">
        <w:rPr>
          <w:rFonts w:cs="Arial"/>
        </w:rPr>
        <w:t xml:space="preserve">on </w:t>
      </w:r>
      <w:r w:rsidR="008064C3">
        <w:rPr>
          <w:rFonts w:cs="Arial"/>
        </w:rPr>
        <w:t xml:space="preserve">(a) </w:t>
      </w:r>
      <w:r w:rsidR="008064C3" w:rsidRPr="006A5020">
        <w:rPr>
          <w:rFonts w:cs="Arial"/>
        </w:rPr>
        <w:t xml:space="preserve">the use of Personal Protective Equipment for the management of High Consequence Infectious Diseases </w:t>
      </w:r>
      <w:r w:rsidR="007A072F">
        <w:rPr>
          <w:rFonts w:cs="Arial"/>
        </w:rPr>
        <w:t>(</w:t>
      </w:r>
      <w:r w:rsidR="008064C3" w:rsidRPr="006A5020">
        <w:rPr>
          <w:rFonts w:cs="Arial"/>
        </w:rPr>
        <w:t>13</w:t>
      </w:r>
      <w:r w:rsidR="008064C3">
        <w:rPr>
          <w:rFonts w:cs="Arial"/>
        </w:rPr>
        <w:t xml:space="preserve"> </w:t>
      </w:r>
      <w:r w:rsidR="008064C3" w:rsidRPr="006A5020">
        <w:rPr>
          <w:rFonts w:cs="Arial"/>
        </w:rPr>
        <w:t>September 2019</w:t>
      </w:r>
      <w:r w:rsidR="007A072F">
        <w:rPr>
          <w:rFonts w:cs="Arial"/>
        </w:rPr>
        <w:t>)</w:t>
      </w:r>
      <w:r w:rsidR="008064C3">
        <w:rPr>
          <w:rFonts w:cs="Arial"/>
        </w:rPr>
        <w:t xml:space="preserve"> (b) and Legionellosis </w:t>
      </w:r>
      <w:r w:rsidR="007A072F">
        <w:rPr>
          <w:rFonts w:cs="Arial"/>
        </w:rPr>
        <w:t>(16 October 2019).</w:t>
      </w:r>
    </w:p>
    <w:p w14:paraId="0E2E6F95" w14:textId="77777777" w:rsidR="00472855" w:rsidRDefault="00472855" w:rsidP="00B14157">
      <w:pPr>
        <w:pStyle w:val="ListParagraph"/>
        <w:ind w:left="851" w:hanging="851"/>
        <w:contextualSpacing w:val="0"/>
        <w:jc w:val="both"/>
        <w:rPr>
          <w:bCs/>
        </w:rPr>
      </w:pPr>
    </w:p>
    <w:p w14:paraId="32A686C1" w14:textId="002080CA" w:rsidR="00A44D73" w:rsidRPr="006E2AD1" w:rsidRDefault="008809B1" w:rsidP="00B14157">
      <w:pPr>
        <w:pStyle w:val="ListParagraph"/>
        <w:ind w:left="851" w:hanging="851"/>
        <w:contextualSpacing w:val="0"/>
        <w:jc w:val="both"/>
        <w:rPr>
          <w:bCs/>
        </w:rPr>
      </w:pPr>
      <w:r>
        <w:rPr>
          <w:bCs/>
        </w:rPr>
        <w:t>5.2.5</w:t>
      </w:r>
      <w:r w:rsidR="006E2AD1" w:rsidRPr="006E2AD1">
        <w:rPr>
          <w:bCs/>
        </w:rPr>
        <w:tab/>
      </w:r>
      <w:r w:rsidR="006D1E88" w:rsidRPr="006E2AD1">
        <w:rPr>
          <w:bCs/>
        </w:rPr>
        <w:t xml:space="preserve">The Policy and International Health WHO CC Directorate organised a joint </w:t>
      </w:r>
      <w:r w:rsidR="00A44D73" w:rsidRPr="006E2AD1">
        <w:rPr>
          <w:bCs/>
        </w:rPr>
        <w:t xml:space="preserve">Public Health Wales and Welsh Government </w:t>
      </w:r>
      <w:r w:rsidR="006D1E88" w:rsidRPr="006E2AD1">
        <w:rPr>
          <w:bCs/>
        </w:rPr>
        <w:t>workshop ‘</w:t>
      </w:r>
      <w:r w:rsidR="00472855">
        <w:rPr>
          <w:bCs/>
          <w:i/>
        </w:rPr>
        <w:t>Health, Well-being and Care P</w:t>
      </w:r>
      <w:r w:rsidR="006D1E88" w:rsidRPr="006E2AD1">
        <w:rPr>
          <w:bCs/>
          <w:i/>
        </w:rPr>
        <w:t>ost Brexit</w:t>
      </w:r>
      <w:r w:rsidR="006D1E88" w:rsidRPr="006E2AD1">
        <w:rPr>
          <w:bCs/>
        </w:rPr>
        <w:t xml:space="preserve">’ in August 2019. </w:t>
      </w:r>
      <w:r w:rsidR="006E2AD1" w:rsidRPr="006E2AD1">
        <w:rPr>
          <w:bCs/>
        </w:rPr>
        <w:t xml:space="preserve"> </w:t>
      </w:r>
      <w:r w:rsidR="006D1E88" w:rsidRPr="006E2AD1">
        <w:rPr>
          <w:bCs/>
        </w:rPr>
        <w:t xml:space="preserve">Nearly fifty senior health leaders attended. </w:t>
      </w:r>
      <w:r w:rsidR="006E2AD1" w:rsidRPr="006E2AD1">
        <w:rPr>
          <w:bCs/>
        </w:rPr>
        <w:t xml:space="preserve"> </w:t>
      </w:r>
      <w:r w:rsidR="006D1E88" w:rsidRPr="006E2AD1">
        <w:rPr>
          <w:bCs/>
        </w:rPr>
        <w:t>The works</w:t>
      </w:r>
      <w:r w:rsidR="005C5A55" w:rsidRPr="006E2AD1">
        <w:rPr>
          <w:bCs/>
        </w:rPr>
        <w:t xml:space="preserve">hop utilised the findings from </w:t>
      </w:r>
      <w:r w:rsidR="005C5A55" w:rsidRPr="006E2AD1">
        <w:rPr>
          <w:bCs/>
          <w:i/>
        </w:rPr>
        <w:t>T</w:t>
      </w:r>
      <w:r w:rsidR="006D1E88" w:rsidRPr="006E2AD1">
        <w:rPr>
          <w:bCs/>
          <w:i/>
        </w:rPr>
        <w:t xml:space="preserve">he </w:t>
      </w:r>
      <w:r w:rsidR="005C5A55" w:rsidRPr="006E2AD1">
        <w:rPr>
          <w:bCs/>
          <w:i/>
        </w:rPr>
        <w:t xml:space="preserve">Public </w:t>
      </w:r>
      <w:r w:rsidR="006D1E88" w:rsidRPr="006E2AD1">
        <w:rPr>
          <w:bCs/>
          <w:i/>
        </w:rPr>
        <w:t xml:space="preserve">Health </w:t>
      </w:r>
      <w:r w:rsidR="005C5A55" w:rsidRPr="006E2AD1">
        <w:rPr>
          <w:bCs/>
          <w:i/>
        </w:rPr>
        <w:t xml:space="preserve">Implications of Brexit in Wales: A </w:t>
      </w:r>
      <w:r w:rsidR="00A82947" w:rsidRPr="006E2AD1">
        <w:rPr>
          <w:bCs/>
          <w:i/>
        </w:rPr>
        <w:t xml:space="preserve">Health </w:t>
      </w:r>
      <w:r w:rsidR="006D1E88" w:rsidRPr="006E2AD1">
        <w:rPr>
          <w:bCs/>
          <w:i/>
        </w:rPr>
        <w:t xml:space="preserve">Impact Assessment </w:t>
      </w:r>
      <w:r w:rsidR="005C5A55" w:rsidRPr="006E2AD1">
        <w:rPr>
          <w:bCs/>
          <w:i/>
        </w:rPr>
        <w:t>Approach</w:t>
      </w:r>
      <w:r w:rsidR="006D1E88" w:rsidRPr="006E2AD1">
        <w:rPr>
          <w:bCs/>
        </w:rPr>
        <w:t xml:space="preserve"> to identify the implication for Wales’ long ter</w:t>
      </w:r>
      <w:r w:rsidR="008064C3">
        <w:rPr>
          <w:bCs/>
        </w:rPr>
        <w:t>m strategy for health and care.</w:t>
      </w:r>
    </w:p>
    <w:p w14:paraId="529C79A9" w14:textId="6C8B4AC8" w:rsidR="00A44D73" w:rsidRPr="006E2AD1" w:rsidRDefault="00A44D73" w:rsidP="00B14157">
      <w:pPr>
        <w:pStyle w:val="ListParagraph"/>
        <w:ind w:left="851" w:hanging="851"/>
        <w:contextualSpacing w:val="0"/>
        <w:jc w:val="both"/>
      </w:pPr>
    </w:p>
    <w:p w14:paraId="36C0D7B6" w14:textId="652254B7" w:rsidR="006D1E88" w:rsidRDefault="008809B1" w:rsidP="00B14157">
      <w:pPr>
        <w:pStyle w:val="ListParagraph"/>
        <w:ind w:left="851" w:hanging="851"/>
        <w:contextualSpacing w:val="0"/>
        <w:jc w:val="both"/>
      </w:pPr>
      <w:r>
        <w:t>5.2.6</w:t>
      </w:r>
      <w:r w:rsidR="006E2AD1" w:rsidRPr="006E2AD1">
        <w:tab/>
      </w:r>
      <w:r w:rsidR="006D1E88" w:rsidRPr="006E2AD1">
        <w:t xml:space="preserve">In August </w:t>
      </w:r>
      <w:r w:rsidR="005C5A55" w:rsidRPr="006E2AD1">
        <w:t xml:space="preserve">and September </w:t>
      </w:r>
      <w:r w:rsidR="006D1E88" w:rsidRPr="006E2AD1">
        <w:t xml:space="preserve">2019, </w:t>
      </w:r>
      <w:r w:rsidR="005C5A55" w:rsidRPr="006E2AD1">
        <w:t xml:space="preserve">the Wales Health Impact Assessment Support Unit attended Public Health Wales’ Strategic Priority Group meetings to identify how the recommendations from the Health Impact Assessment of Brexit could be integrated into </w:t>
      </w:r>
      <w:r w:rsidR="00A82947" w:rsidRPr="006E2AD1">
        <w:t xml:space="preserve">organisational </w:t>
      </w:r>
      <w:r w:rsidR="005C5A55" w:rsidRPr="006E2AD1">
        <w:t>strategic plans going forward.</w:t>
      </w:r>
    </w:p>
    <w:p w14:paraId="5E56AA32" w14:textId="34FA0041" w:rsidR="008064C3" w:rsidRDefault="008064C3" w:rsidP="00B14157">
      <w:pPr>
        <w:pStyle w:val="ListParagraph"/>
        <w:ind w:left="851" w:hanging="851"/>
        <w:contextualSpacing w:val="0"/>
        <w:jc w:val="both"/>
      </w:pPr>
    </w:p>
    <w:p w14:paraId="75E882D8" w14:textId="29385FF1" w:rsidR="008064C3" w:rsidRDefault="008809B1" w:rsidP="008809B1">
      <w:pPr>
        <w:ind w:left="851" w:hanging="851"/>
        <w:jc w:val="both"/>
        <w:rPr>
          <w:rFonts w:cs="Segoe UI"/>
          <w:color w:val="212529"/>
          <w:lang w:val="en"/>
        </w:rPr>
      </w:pPr>
      <w:r>
        <w:rPr>
          <w:rFonts w:cs="Segoe UI"/>
          <w:color w:val="212529"/>
          <w:lang w:val="en"/>
        </w:rPr>
        <w:t>5.2.7</w:t>
      </w:r>
      <w:r>
        <w:rPr>
          <w:rFonts w:cs="Segoe UI"/>
          <w:color w:val="212529"/>
          <w:lang w:val="en"/>
        </w:rPr>
        <w:tab/>
      </w:r>
      <w:r w:rsidR="007A072F" w:rsidRPr="007A072F">
        <w:rPr>
          <w:rFonts w:cs="Segoe UI"/>
          <w:color w:val="212529"/>
          <w:lang w:val="en"/>
        </w:rPr>
        <w:t xml:space="preserve">In </w:t>
      </w:r>
      <w:r w:rsidR="008064C3" w:rsidRPr="007A072F">
        <w:rPr>
          <w:rFonts w:cs="Segoe UI"/>
          <w:color w:val="212529"/>
          <w:lang w:val="en"/>
        </w:rPr>
        <w:t>September 2019, a report</w:t>
      </w:r>
      <w:r w:rsidR="007A072F">
        <w:rPr>
          <w:rFonts w:cs="Segoe UI"/>
          <w:color w:val="212529"/>
          <w:lang w:val="en"/>
        </w:rPr>
        <w:t xml:space="preserve"> </w:t>
      </w:r>
      <w:r w:rsidR="007A072F" w:rsidRPr="007A072F">
        <w:rPr>
          <w:rFonts w:cs="Segoe UI"/>
          <w:i/>
          <w:color w:val="212529"/>
          <w:lang w:val="en"/>
        </w:rPr>
        <w:t>Supporting Farming Communities at Time of Uncertainty</w:t>
      </w:r>
      <w:r w:rsidR="007A072F">
        <w:rPr>
          <w:rFonts w:cs="Segoe UI"/>
          <w:color w:val="212529"/>
          <w:lang w:val="en"/>
        </w:rPr>
        <w:t xml:space="preserve">, </w:t>
      </w:r>
      <w:r w:rsidR="008064C3" w:rsidRPr="007A072F">
        <w:rPr>
          <w:rFonts w:cs="Segoe UI"/>
          <w:color w:val="212529"/>
          <w:lang w:val="en"/>
        </w:rPr>
        <w:t>co-authored by Public Health Wales and the Mental Health Foundation, was published and provided frank insights into concerns farmers and farming organisations had about the potential impacts of Brexit on health and well</w:t>
      </w:r>
      <w:r w:rsidR="00EE7846">
        <w:rPr>
          <w:rFonts w:cs="Segoe UI"/>
          <w:color w:val="212529"/>
          <w:lang w:val="en"/>
        </w:rPr>
        <w:t>-</w:t>
      </w:r>
      <w:r w:rsidR="008064C3" w:rsidRPr="007A072F">
        <w:rPr>
          <w:rFonts w:cs="Segoe UI"/>
          <w:color w:val="212529"/>
          <w:lang w:val="en"/>
        </w:rPr>
        <w:t>being in their communities, as well as the wider challenges the sector faced.</w:t>
      </w:r>
    </w:p>
    <w:p w14:paraId="1F6E32AD" w14:textId="10D66CCB" w:rsidR="007A072F" w:rsidRDefault="007A072F" w:rsidP="008064C3">
      <w:pPr>
        <w:ind w:left="851"/>
        <w:jc w:val="both"/>
        <w:rPr>
          <w:rFonts w:cs="Segoe UI"/>
          <w:color w:val="212529"/>
          <w:lang w:val="en"/>
        </w:rPr>
      </w:pPr>
    </w:p>
    <w:p w14:paraId="0D185CE0" w14:textId="3B3C0CC3" w:rsidR="007A072F" w:rsidRDefault="008809B1" w:rsidP="008809B1">
      <w:pPr>
        <w:ind w:left="851" w:hanging="851"/>
        <w:jc w:val="both"/>
        <w:rPr>
          <w:rFonts w:cs="Segoe UI"/>
          <w:color w:val="212529"/>
          <w:lang w:val="en"/>
        </w:rPr>
      </w:pPr>
      <w:r>
        <w:t>5.2.8</w:t>
      </w:r>
      <w:r>
        <w:tab/>
      </w:r>
      <w:r w:rsidR="007A072F" w:rsidRPr="009C457B">
        <w:t>Allanfa #2</w:t>
      </w:r>
      <w:r w:rsidR="007A072F" w:rsidRPr="000B00C9">
        <w:t>, the second Public Health Wales strategic walk through exercise, was held on 1</w:t>
      </w:r>
      <w:r w:rsidR="007A072F">
        <w:t xml:space="preserve"> </w:t>
      </w:r>
      <w:r w:rsidR="007A072F" w:rsidRPr="000B00C9">
        <w:t>October 2019</w:t>
      </w:r>
      <w:r w:rsidR="007A072F">
        <w:t xml:space="preserve">.  A </w:t>
      </w:r>
      <w:r w:rsidR="007A072F" w:rsidRPr="0069280B">
        <w:rPr>
          <w:i/>
        </w:rPr>
        <w:t>debrief report</w:t>
      </w:r>
      <w:r w:rsidR="007A072F" w:rsidRPr="000B00C9">
        <w:t xml:space="preserve"> </w:t>
      </w:r>
      <w:r w:rsidR="007A072F">
        <w:t>was published which contained a set of observations and recommendations that were implemented post event.</w:t>
      </w:r>
    </w:p>
    <w:p w14:paraId="2655A822" w14:textId="68E2E8B6" w:rsidR="00B14157" w:rsidRDefault="00B14157" w:rsidP="00B14157">
      <w:pPr>
        <w:jc w:val="both"/>
      </w:pPr>
    </w:p>
    <w:p w14:paraId="44A85691" w14:textId="2EEB8BC3" w:rsidR="00B14157" w:rsidRPr="006E2AD1" w:rsidRDefault="008809B1" w:rsidP="00B14157">
      <w:pPr>
        <w:pStyle w:val="Pa1"/>
        <w:ind w:left="851" w:hanging="851"/>
        <w:jc w:val="both"/>
        <w:rPr>
          <w:rFonts w:ascii="Verdana" w:hAnsi="Verdana" w:cs="Arial"/>
        </w:rPr>
      </w:pPr>
      <w:r>
        <w:rPr>
          <w:rFonts w:ascii="Verdana" w:hAnsi="Verdana" w:cs="Arial"/>
        </w:rPr>
        <w:t>5.2.9</w:t>
      </w:r>
      <w:r w:rsidR="00B14157" w:rsidRPr="006E2AD1">
        <w:rPr>
          <w:rFonts w:ascii="Verdana" w:hAnsi="Verdana" w:cs="Arial"/>
        </w:rPr>
        <w:tab/>
      </w:r>
      <w:r w:rsidR="00B14157" w:rsidRPr="006E2AD1">
        <w:rPr>
          <w:rFonts w:ascii="Verdana" w:hAnsi="Verdana" w:cs="Arial"/>
          <w:i/>
        </w:rPr>
        <w:t>T</w:t>
      </w:r>
      <w:r w:rsidR="00B14157" w:rsidRPr="006E2AD1">
        <w:rPr>
          <w:rStyle w:val="A1"/>
          <w:rFonts w:ascii="Verdana" w:hAnsi="Verdana" w:cs="Arial"/>
          <w:bCs/>
          <w:i/>
          <w:sz w:val="24"/>
          <w:szCs w:val="24"/>
        </w:rPr>
        <w:t xml:space="preserve">he Public Health Implications of Brexit in Wales: </w:t>
      </w:r>
      <w:r w:rsidR="00B14157" w:rsidRPr="006E2AD1">
        <w:rPr>
          <w:rStyle w:val="A1"/>
          <w:rFonts w:ascii="Verdana" w:hAnsi="Verdana" w:cs="Arial"/>
          <w:i/>
          <w:sz w:val="24"/>
          <w:szCs w:val="24"/>
        </w:rPr>
        <w:t xml:space="preserve">A Health Impact Assessment Approach </w:t>
      </w:r>
      <w:r w:rsidR="00B14157" w:rsidRPr="006E2AD1">
        <w:rPr>
          <w:rFonts w:ascii="Verdana" w:hAnsi="Verdana" w:cs="Arial"/>
          <w:bCs/>
          <w:i/>
          <w:color w:val="000000"/>
        </w:rPr>
        <w:t>A rapid review and update</w:t>
      </w:r>
      <w:r w:rsidR="00B14157" w:rsidRPr="006E2AD1">
        <w:rPr>
          <w:rFonts w:ascii="Verdana" w:hAnsi="Verdana" w:cs="Arial"/>
          <w:bCs/>
          <w:color w:val="000000"/>
        </w:rPr>
        <w:t xml:space="preserve"> was published in October 2019.  </w:t>
      </w:r>
      <w:r w:rsidR="00B14157" w:rsidRPr="006E2AD1">
        <w:rPr>
          <w:rFonts w:ascii="Verdana" w:hAnsi="Verdana" w:cs="Arial"/>
        </w:rPr>
        <w:t xml:space="preserve">This report provided an overview of </w:t>
      </w:r>
      <w:r w:rsidR="00B14157" w:rsidRPr="006E2AD1">
        <w:rPr>
          <w:rFonts w:ascii="Verdana" w:hAnsi="Verdana" w:cs="Arial"/>
          <w:bCs/>
        </w:rPr>
        <w:t xml:space="preserve">whether and how the potential impact of Brexit on public health may have changed </w:t>
      </w:r>
      <w:r w:rsidR="00B14157" w:rsidRPr="006E2AD1">
        <w:rPr>
          <w:rFonts w:ascii="Verdana" w:hAnsi="Verdana" w:cs="Arial"/>
        </w:rPr>
        <w:t>since the publication of the Health Impact Assessment in January 2019.</w:t>
      </w:r>
    </w:p>
    <w:p w14:paraId="59F919BE" w14:textId="04418354" w:rsidR="002C7026" w:rsidRPr="006E2AD1" w:rsidRDefault="002C7026" w:rsidP="006E2AD1">
      <w:pPr>
        <w:pStyle w:val="Default"/>
        <w:rPr>
          <w:rFonts w:ascii="Verdana" w:hAnsi="Verdana"/>
        </w:rPr>
      </w:pPr>
    </w:p>
    <w:p w14:paraId="2433D029" w14:textId="6250567C" w:rsidR="00894A96" w:rsidRPr="006E2AD1" w:rsidRDefault="008809B1" w:rsidP="006E2AD1">
      <w:pPr>
        <w:pStyle w:val="Default"/>
        <w:ind w:left="851" w:hanging="851"/>
        <w:jc w:val="both"/>
        <w:rPr>
          <w:rFonts w:ascii="Verdana" w:hAnsi="Verdana"/>
        </w:rPr>
      </w:pPr>
      <w:r>
        <w:rPr>
          <w:rFonts w:ascii="Verdana" w:hAnsi="Verdana"/>
        </w:rPr>
        <w:t>5.2.10</w:t>
      </w:r>
      <w:r w:rsidR="006E2AD1" w:rsidRPr="006E2AD1">
        <w:rPr>
          <w:rFonts w:ascii="Verdana" w:hAnsi="Verdana"/>
        </w:rPr>
        <w:tab/>
      </w:r>
      <w:r w:rsidR="00894A96" w:rsidRPr="006E2AD1">
        <w:rPr>
          <w:rFonts w:ascii="Verdana" w:hAnsi="Verdana"/>
        </w:rPr>
        <w:t>In November 2019, a Health and Trade Symposium, and a Trade Agreements and Health Masterclass were held to strengthen knowledge and skills to support the consideration of health and well-being as part of negotiations in future trade deals.</w:t>
      </w:r>
    </w:p>
    <w:p w14:paraId="66D0E786" w14:textId="79762986" w:rsidR="009C7F70" w:rsidRDefault="009C7F70" w:rsidP="007A072F">
      <w:pPr>
        <w:jc w:val="both"/>
      </w:pPr>
    </w:p>
    <w:p w14:paraId="34711D9E" w14:textId="74F01D1F" w:rsidR="009C7F70" w:rsidRDefault="009C7F70" w:rsidP="00B14157">
      <w:pPr>
        <w:ind w:left="851" w:hanging="851"/>
        <w:jc w:val="both"/>
        <w:rPr>
          <w:rFonts w:cs="Arial"/>
        </w:rPr>
      </w:pPr>
      <w:r w:rsidRPr="009C7F70">
        <w:rPr>
          <w:lang w:eastAsia="en-GB"/>
        </w:rPr>
        <w:t>5.2.11</w:t>
      </w:r>
      <w:r w:rsidRPr="009C7F70">
        <w:rPr>
          <w:lang w:eastAsia="en-GB"/>
        </w:rPr>
        <w:tab/>
      </w:r>
      <w:r w:rsidR="007A072F">
        <w:rPr>
          <w:lang w:eastAsia="en-GB"/>
        </w:rPr>
        <w:t xml:space="preserve">In </w:t>
      </w:r>
      <w:r>
        <w:rPr>
          <w:lang w:eastAsia="en-GB"/>
        </w:rPr>
        <w:t>February 2020, Public Health Wales published a</w:t>
      </w:r>
      <w:r w:rsidRPr="009C7F70">
        <w:rPr>
          <w:lang w:eastAsia="en-GB"/>
        </w:rPr>
        <w:t xml:space="preserve"> </w:t>
      </w:r>
      <w:r w:rsidRPr="009C7F70">
        <w:rPr>
          <w:i/>
          <w:lang w:eastAsia="en-GB"/>
        </w:rPr>
        <w:t>report</w:t>
      </w:r>
      <w:r w:rsidRPr="009C7F70">
        <w:rPr>
          <w:lang w:eastAsia="en-GB"/>
        </w:rPr>
        <w:t xml:space="preserve"> on the findings from a research study to understand young people’s views on their health and well-bein</w:t>
      </w:r>
      <w:r w:rsidR="007A072F">
        <w:rPr>
          <w:lang w:eastAsia="en-GB"/>
        </w:rPr>
        <w:t xml:space="preserve">g and the impacts of Brexit - </w:t>
      </w:r>
      <w:r w:rsidRPr="009C7F70">
        <w:rPr>
          <w:i/>
          <w:color w:val="000000" w:themeColor="text1"/>
        </w:rPr>
        <w:t>The health and well-being of young people in Wales. Do they thin</w:t>
      </w:r>
      <w:r w:rsidR="007A072F">
        <w:rPr>
          <w:i/>
          <w:color w:val="000000" w:themeColor="text1"/>
        </w:rPr>
        <w:t>k Brexit will make a difference</w:t>
      </w:r>
      <w:r w:rsidRPr="009C7F70">
        <w:rPr>
          <w:i/>
          <w:color w:val="000000" w:themeColor="text1"/>
        </w:rPr>
        <w:t>.</w:t>
      </w:r>
    </w:p>
    <w:p w14:paraId="036BFDA8" w14:textId="77777777" w:rsidR="00B14157" w:rsidRDefault="00B14157" w:rsidP="00B14157">
      <w:pPr>
        <w:jc w:val="both"/>
        <w:rPr>
          <w:rFonts w:cs="Arial"/>
        </w:rPr>
      </w:pPr>
    </w:p>
    <w:p w14:paraId="60EEB9EC" w14:textId="710EFCFA" w:rsidR="00B14157" w:rsidRDefault="008809B1" w:rsidP="00B14157">
      <w:pPr>
        <w:ind w:left="851" w:hanging="851"/>
        <w:jc w:val="both"/>
        <w:rPr>
          <w:rFonts w:cs="Arial"/>
        </w:rPr>
      </w:pPr>
      <w:r>
        <w:rPr>
          <w:rFonts w:cs="Arial"/>
        </w:rPr>
        <w:t>5.2.12</w:t>
      </w:r>
      <w:r w:rsidR="00B14157">
        <w:rPr>
          <w:rFonts w:cs="Arial"/>
        </w:rPr>
        <w:tab/>
        <w:t xml:space="preserve">In February 2020, Public Health Wales ran a </w:t>
      </w:r>
      <w:r w:rsidR="00B14157" w:rsidRPr="00F66DB7">
        <w:rPr>
          <w:rFonts w:cs="Arial"/>
          <w:i/>
        </w:rPr>
        <w:t>COVID-19 training session</w:t>
      </w:r>
      <w:r w:rsidR="00B14157">
        <w:rPr>
          <w:rFonts w:cs="Arial"/>
        </w:rPr>
        <w:t xml:space="preserve"> for </w:t>
      </w:r>
      <w:r w:rsidR="007A072F">
        <w:rPr>
          <w:rFonts w:cs="Arial"/>
        </w:rPr>
        <w:t xml:space="preserve">Environmental Health </w:t>
      </w:r>
      <w:r w:rsidR="00B14157">
        <w:rPr>
          <w:rFonts w:cs="Arial"/>
        </w:rPr>
        <w:t>Lead Officers and others</w:t>
      </w:r>
      <w:r w:rsidR="007A072F">
        <w:rPr>
          <w:rFonts w:cs="Arial"/>
        </w:rPr>
        <w:t xml:space="preserve"> </w:t>
      </w:r>
      <w:r w:rsidR="00B14157" w:rsidRPr="00F66DB7">
        <w:rPr>
          <w:rFonts w:cs="Arial"/>
        </w:rPr>
        <w:t>covering:</w:t>
      </w:r>
      <w:r w:rsidR="00B14157">
        <w:rPr>
          <w:rFonts w:cs="Arial"/>
        </w:rPr>
        <w:t xml:space="preserve"> an u</w:t>
      </w:r>
      <w:r w:rsidR="00B14157" w:rsidRPr="00F66DB7">
        <w:rPr>
          <w:rFonts w:cs="Arial"/>
        </w:rPr>
        <w:t>pdate on the current situation UK and Wales</w:t>
      </w:r>
      <w:r w:rsidR="00B14157">
        <w:rPr>
          <w:rFonts w:cs="Arial"/>
        </w:rPr>
        <w:t xml:space="preserve">; </w:t>
      </w:r>
      <w:r w:rsidR="00B14157" w:rsidRPr="00F66DB7">
        <w:rPr>
          <w:rFonts w:cs="Arial"/>
        </w:rPr>
        <w:t>Case Management within Wales and Forward Look</w:t>
      </w:r>
      <w:r w:rsidR="00B14157">
        <w:rPr>
          <w:rFonts w:cs="Arial"/>
        </w:rPr>
        <w:t xml:space="preserve">; </w:t>
      </w:r>
      <w:r w:rsidR="00B14157" w:rsidRPr="00F66DB7">
        <w:rPr>
          <w:rFonts w:cs="Arial"/>
        </w:rPr>
        <w:t>Role of the Lead Officer within managing COVID-19 and working with Public Health Wales</w:t>
      </w:r>
      <w:r w:rsidR="00B14157">
        <w:rPr>
          <w:rFonts w:cs="Arial"/>
        </w:rPr>
        <w:t xml:space="preserve">, and </w:t>
      </w:r>
      <w:r w:rsidR="00B14157" w:rsidRPr="00F66DB7">
        <w:rPr>
          <w:rFonts w:cs="Arial"/>
        </w:rPr>
        <w:t>L</w:t>
      </w:r>
      <w:r w:rsidR="007A072F">
        <w:rPr>
          <w:rFonts w:cs="Arial"/>
        </w:rPr>
        <w:t xml:space="preserve">ocal </w:t>
      </w:r>
      <w:r w:rsidR="00B14157" w:rsidRPr="00F66DB7">
        <w:rPr>
          <w:rFonts w:cs="Arial"/>
        </w:rPr>
        <w:t>A</w:t>
      </w:r>
      <w:r w:rsidR="007A072F">
        <w:rPr>
          <w:rFonts w:cs="Arial"/>
        </w:rPr>
        <w:t>uthority</w:t>
      </w:r>
      <w:r w:rsidR="00B14157" w:rsidRPr="00F66DB7">
        <w:rPr>
          <w:rFonts w:cs="Arial"/>
        </w:rPr>
        <w:t xml:space="preserve"> Part 2 Applications.</w:t>
      </w:r>
    </w:p>
    <w:p w14:paraId="415F6CCC" w14:textId="77777777" w:rsidR="00B14157" w:rsidRDefault="00B14157" w:rsidP="00B14157">
      <w:pPr>
        <w:jc w:val="both"/>
        <w:rPr>
          <w:rFonts w:cs="Arial"/>
        </w:rPr>
      </w:pPr>
    </w:p>
    <w:p w14:paraId="04DDB4B1" w14:textId="0D09839D" w:rsidR="00B14157" w:rsidRPr="006A5020" w:rsidRDefault="008809B1" w:rsidP="00B14157">
      <w:pPr>
        <w:ind w:left="851" w:hanging="851"/>
        <w:jc w:val="both"/>
        <w:rPr>
          <w:rFonts w:cs="Arial"/>
        </w:rPr>
      </w:pPr>
      <w:r>
        <w:rPr>
          <w:rFonts w:cs="Arial"/>
        </w:rPr>
        <w:t>5.2.13</w:t>
      </w:r>
      <w:r w:rsidR="00B14157">
        <w:rPr>
          <w:rFonts w:cs="Arial"/>
        </w:rPr>
        <w:tab/>
      </w:r>
      <w:r w:rsidR="00B14157" w:rsidRPr="006A5020">
        <w:rPr>
          <w:rFonts w:cs="Arial"/>
        </w:rPr>
        <w:t xml:space="preserve">Sixteen meetings of the </w:t>
      </w:r>
      <w:r w:rsidR="00B14157" w:rsidRPr="00EE2EF5">
        <w:rPr>
          <w:rFonts w:cs="Arial"/>
          <w:i/>
        </w:rPr>
        <w:t>Four Nations’ Health Protection Emergency Planning Group</w:t>
      </w:r>
      <w:r w:rsidR="00B14157" w:rsidRPr="006A5020">
        <w:rPr>
          <w:rFonts w:cs="Arial"/>
        </w:rPr>
        <w:t xml:space="preserve"> </w:t>
      </w:r>
      <w:r w:rsidR="00B14157">
        <w:rPr>
          <w:rFonts w:cs="Arial"/>
        </w:rPr>
        <w:t xml:space="preserve">were </w:t>
      </w:r>
      <w:r w:rsidR="00B14157" w:rsidRPr="006A5020">
        <w:rPr>
          <w:rFonts w:cs="Arial"/>
        </w:rPr>
        <w:t>held d</w:t>
      </w:r>
      <w:r w:rsidR="00FE4D29">
        <w:rPr>
          <w:rFonts w:cs="Arial"/>
        </w:rPr>
        <w:t xml:space="preserve">uring Phase II of the Programme, with </w:t>
      </w:r>
      <w:r w:rsidR="00FE4D29" w:rsidRPr="00FE4D29">
        <w:rPr>
          <w:rFonts w:cs="Arial"/>
          <w:i/>
        </w:rPr>
        <w:t>papers</w:t>
      </w:r>
      <w:r w:rsidR="00FE4D29">
        <w:rPr>
          <w:rFonts w:cs="Arial"/>
        </w:rPr>
        <w:t xml:space="preserve"> downloaded onto the ResilienceDirect website.</w:t>
      </w:r>
    </w:p>
    <w:p w14:paraId="486990F7" w14:textId="77777777" w:rsidR="00B14157" w:rsidRPr="006A5020" w:rsidRDefault="00B14157" w:rsidP="00B14157">
      <w:pPr>
        <w:jc w:val="both"/>
        <w:rPr>
          <w:rFonts w:cs="Arial"/>
        </w:rPr>
      </w:pPr>
    </w:p>
    <w:p w14:paraId="14EB2315" w14:textId="6FA3C478" w:rsidR="00B14157" w:rsidRDefault="008809B1" w:rsidP="00B14157">
      <w:pPr>
        <w:ind w:left="851" w:hanging="851"/>
        <w:jc w:val="both"/>
      </w:pPr>
      <w:r>
        <w:rPr>
          <w:color w:val="000000" w:themeColor="text1"/>
        </w:rPr>
        <w:t>5.2.14</w:t>
      </w:r>
      <w:r w:rsidR="00B14157">
        <w:rPr>
          <w:color w:val="000000" w:themeColor="text1"/>
        </w:rPr>
        <w:tab/>
      </w:r>
      <w:r w:rsidR="00B14157" w:rsidRPr="00667151">
        <w:rPr>
          <w:color w:val="000000" w:themeColor="text1"/>
        </w:rPr>
        <w:t xml:space="preserve">A total of </w:t>
      </w:r>
      <w:r w:rsidR="00B14157">
        <w:rPr>
          <w:color w:val="000000" w:themeColor="text1"/>
        </w:rPr>
        <w:t xml:space="preserve">eleven </w:t>
      </w:r>
      <w:r w:rsidR="00B14157" w:rsidRPr="00667151">
        <w:rPr>
          <w:i/>
          <w:color w:val="000000" w:themeColor="text1"/>
        </w:rPr>
        <w:t>Health Protection (including Health Securities</w:t>
      </w:r>
      <w:r w:rsidR="00B14157" w:rsidRPr="00C8369E">
        <w:rPr>
          <w:i/>
        </w:rPr>
        <w:t>) Sub Group meetings</w:t>
      </w:r>
      <w:r w:rsidR="00B14157" w:rsidRPr="00C8369E">
        <w:t xml:space="preserve"> were held during Phase II of the Programme.</w:t>
      </w:r>
    </w:p>
    <w:p w14:paraId="1BAD9DD2" w14:textId="77777777" w:rsidR="00B14157" w:rsidRDefault="00B14157" w:rsidP="00B14157">
      <w:pPr>
        <w:ind w:left="851" w:hanging="851"/>
        <w:jc w:val="both"/>
      </w:pPr>
    </w:p>
    <w:p w14:paraId="6E8C35D0" w14:textId="0BC5B381" w:rsidR="00B14157" w:rsidRDefault="008809B1" w:rsidP="00B14157">
      <w:pPr>
        <w:ind w:left="851" w:hanging="851"/>
        <w:jc w:val="both"/>
      </w:pPr>
      <w:r>
        <w:t>5.2.15</w:t>
      </w:r>
      <w:r w:rsidR="00B14157">
        <w:tab/>
        <w:t xml:space="preserve">Two </w:t>
      </w:r>
      <w:r w:rsidR="00B14157" w:rsidRPr="00CF385E">
        <w:rPr>
          <w:i/>
        </w:rPr>
        <w:t>health securities assurance statements</w:t>
      </w:r>
      <w:r w:rsidR="00B14157">
        <w:t xml:space="preserve"> were submitted to Welsh Government for consideration by its SRO Group.</w:t>
      </w:r>
    </w:p>
    <w:p w14:paraId="13F95311" w14:textId="77777777" w:rsidR="00B14157" w:rsidRDefault="00B14157" w:rsidP="00B14157">
      <w:pPr>
        <w:jc w:val="both"/>
      </w:pPr>
    </w:p>
    <w:p w14:paraId="5EF4793B" w14:textId="03DDBA28" w:rsidR="00B14157" w:rsidRPr="0041264A" w:rsidRDefault="008809B1" w:rsidP="00B14157">
      <w:pPr>
        <w:ind w:left="851" w:hanging="851"/>
        <w:jc w:val="both"/>
        <w:rPr>
          <w:rFonts w:cs="Arial"/>
        </w:rPr>
      </w:pPr>
      <w:r>
        <w:rPr>
          <w:rFonts w:cs="Arial"/>
        </w:rPr>
        <w:t>5.2.16</w:t>
      </w:r>
      <w:r w:rsidR="00B14157">
        <w:rPr>
          <w:rFonts w:cs="Arial"/>
        </w:rPr>
        <w:tab/>
      </w:r>
      <w:r w:rsidR="00B14157" w:rsidRPr="0041264A">
        <w:rPr>
          <w:rFonts w:cs="Arial"/>
        </w:rPr>
        <w:t>A</w:t>
      </w:r>
      <w:r w:rsidR="00FE4D29">
        <w:rPr>
          <w:rFonts w:cs="Arial"/>
        </w:rPr>
        <w:t xml:space="preserve"> Public Health Wales </w:t>
      </w:r>
      <w:r w:rsidR="00B14157" w:rsidRPr="0041264A">
        <w:rPr>
          <w:rFonts w:cs="Arial"/>
          <w:i/>
        </w:rPr>
        <w:t>Business Continuity and Emergency Planning Project Plan</w:t>
      </w:r>
      <w:r w:rsidR="00B14157" w:rsidRPr="0041264A">
        <w:rPr>
          <w:rFonts w:cs="Arial"/>
        </w:rPr>
        <w:t xml:space="preserve"> was drafted and agreed.</w:t>
      </w:r>
    </w:p>
    <w:p w14:paraId="63DBC644" w14:textId="77777777" w:rsidR="00B14157" w:rsidRPr="0041264A" w:rsidRDefault="00B14157" w:rsidP="00B14157">
      <w:pPr>
        <w:ind w:left="851" w:hanging="851"/>
        <w:jc w:val="both"/>
        <w:rPr>
          <w:rFonts w:cs="Arial"/>
        </w:rPr>
      </w:pPr>
    </w:p>
    <w:p w14:paraId="015205E2" w14:textId="048D4B24" w:rsidR="00B14157" w:rsidRPr="0041264A" w:rsidRDefault="008809B1" w:rsidP="00B14157">
      <w:pPr>
        <w:ind w:left="851" w:hanging="851"/>
        <w:jc w:val="both"/>
        <w:rPr>
          <w:rFonts w:cs="Arial"/>
          <w:i/>
        </w:rPr>
      </w:pPr>
      <w:r>
        <w:rPr>
          <w:rFonts w:cs="Arial"/>
        </w:rPr>
        <w:t>5.2.17</w:t>
      </w:r>
      <w:r w:rsidR="00B14157">
        <w:rPr>
          <w:rFonts w:cs="Arial"/>
        </w:rPr>
        <w:tab/>
      </w:r>
      <w:r w:rsidR="00B14157" w:rsidRPr="0041264A">
        <w:rPr>
          <w:rFonts w:cs="Arial"/>
        </w:rPr>
        <w:t>All Public Health Wales Business Leads review</w:t>
      </w:r>
      <w:r w:rsidR="00B14157">
        <w:rPr>
          <w:rFonts w:cs="Arial"/>
        </w:rPr>
        <w:t>ed</w:t>
      </w:r>
      <w:r w:rsidR="00B14157" w:rsidRPr="0041264A">
        <w:rPr>
          <w:rFonts w:cs="Arial"/>
        </w:rPr>
        <w:t xml:space="preserve"> their </w:t>
      </w:r>
      <w:r w:rsidR="00B14157" w:rsidRPr="0041264A">
        <w:rPr>
          <w:rFonts w:cs="Arial"/>
          <w:i/>
        </w:rPr>
        <w:t>Business Continui</w:t>
      </w:r>
      <w:r w:rsidR="00FE4D29">
        <w:rPr>
          <w:rFonts w:cs="Arial"/>
          <w:i/>
        </w:rPr>
        <w:t>ty Plans.</w:t>
      </w:r>
    </w:p>
    <w:p w14:paraId="42B86726" w14:textId="77777777" w:rsidR="00B14157" w:rsidRPr="0041264A" w:rsidRDefault="00B14157" w:rsidP="00B14157">
      <w:pPr>
        <w:ind w:left="851" w:hanging="851"/>
        <w:jc w:val="both"/>
        <w:rPr>
          <w:rFonts w:cs="Arial"/>
          <w:i/>
        </w:rPr>
      </w:pPr>
    </w:p>
    <w:p w14:paraId="3759F18D" w14:textId="4E2994D4" w:rsidR="00B14157" w:rsidRPr="0041264A" w:rsidRDefault="008809B1" w:rsidP="00B14157">
      <w:pPr>
        <w:ind w:left="851" w:hanging="851"/>
        <w:jc w:val="both"/>
        <w:rPr>
          <w:rFonts w:cs="Arial"/>
          <w:i/>
        </w:rPr>
      </w:pPr>
      <w:r>
        <w:rPr>
          <w:rFonts w:cs="Arial"/>
        </w:rPr>
        <w:t>5.2.18</w:t>
      </w:r>
      <w:r w:rsidR="00B14157">
        <w:rPr>
          <w:rFonts w:cs="Arial"/>
        </w:rPr>
        <w:tab/>
      </w:r>
      <w:r w:rsidR="00B14157" w:rsidRPr="00F52F17">
        <w:rPr>
          <w:rFonts w:cs="Arial"/>
          <w:i/>
        </w:rPr>
        <w:t>Business continuity exercises</w:t>
      </w:r>
      <w:r w:rsidR="00B14157" w:rsidRPr="0041264A">
        <w:rPr>
          <w:rFonts w:cs="Arial"/>
        </w:rPr>
        <w:t xml:space="preserve"> for identified </w:t>
      </w:r>
      <w:r>
        <w:t xml:space="preserve">Public Health Wales </w:t>
      </w:r>
      <w:r w:rsidR="00B14157" w:rsidRPr="0041264A">
        <w:rPr>
          <w:rFonts w:cs="Arial"/>
        </w:rPr>
        <w:t xml:space="preserve">critical services (Microbiology, Health Protection and Screening) were undertaken </w:t>
      </w:r>
      <w:r w:rsidR="00B14157">
        <w:rPr>
          <w:rFonts w:cs="Arial"/>
        </w:rPr>
        <w:t xml:space="preserve">in </w:t>
      </w:r>
      <w:r w:rsidR="00B14157" w:rsidRPr="0041264A">
        <w:rPr>
          <w:rFonts w:cs="Arial"/>
        </w:rPr>
        <w:t>September 2019.</w:t>
      </w:r>
    </w:p>
    <w:p w14:paraId="10947DE0" w14:textId="77777777" w:rsidR="00B14157" w:rsidRPr="0041264A" w:rsidRDefault="00B14157" w:rsidP="00B14157">
      <w:pPr>
        <w:ind w:left="851" w:hanging="851"/>
        <w:jc w:val="both"/>
        <w:rPr>
          <w:rFonts w:cs="Arial"/>
          <w:i/>
        </w:rPr>
      </w:pPr>
    </w:p>
    <w:p w14:paraId="2BADB113" w14:textId="1AA94148" w:rsidR="00B14157" w:rsidRPr="0041264A" w:rsidRDefault="008809B1" w:rsidP="00B14157">
      <w:pPr>
        <w:ind w:left="851" w:hanging="851"/>
        <w:jc w:val="both"/>
        <w:rPr>
          <w:rFonts w:cs="Arial"/>
        </w:rPr>
      </w:pPr>
      <w:r>
        <w:rPr>
          <w:rFonts w:cs="Arial"/>
        </w:rPr>
        <w:t>5.2.19</w:t>
      </w:r>
      <w:r w:rsidR="00B14157">
        <w:rPr>
          <w:rFonts w:cs="Arial"/>
        </w:rPr>
        <w:tab/>
      </w:r>
      <w:r w:rsidR="00B14157" w:rsidRPr="0041264A">
        <w:rPr>
          <w:rFonts w:cs="Arial"/>
        </w:rPr>
        <w:t xml:space="preserve">A </w:t>
      </w:r>
      <w:r w:rsidR="00B14157" w:rsidRPr="0041264A">
        <w:rPr>
          <w:rFonts w:cs="Arial"/>
          <w:i/>
        </w:rPr>
        <w:t>Learning and Development Prospectus</w:t>
      </w:r>
      <w:r w:rsidR="00B14157" w:rsidRPr="0041264A">
        <w:rPr>
          <w:rFonts w:cs="Arial"/>
        </w:rPr>
        <w:t>, including a training competency pathway,  for Public Health Wales staff was drafted and considered at the Emergency Planning and Business Continuity meeting on 10 July 2019.</w:t>
      </w:r>
    </w:p>
    <w:p w14:paraId="416EF04E" w14:textId="77777777" w:rsidR="00B14157" w:rsidRPr="0041264A" w:rsidRDefault="00B14157" w:rsidP="00B14157">
      <w:pPr>
        <w:ind w:left="851" w:hanging="851"/>
        <w:jc w:val="both"/>
        <w:rPr>
          <w:rFonts w:cs="Arial"/>
        </w:rPr>
      </w:pPr>
    </w:p>
    <w:p w14:paraId="5805C856" w14:textId="38286359" w:rsidR="00B14157" w:rsidRPr="0041264A" w:rsidRDefault="008809B1" w:rsidP="00B14157">
      <w:pPr>
        <w:ind w:left="851" w:hanging="851"/>
        <w:jc w:val="both"/>
        <w:rPr>
          <w:rFonts w:cs="Arial"/>
        </w:rPr>
      </w:pPr>
      <w:r>
        <w:rPr>
          <w:rFonts w:cs="Arial"/>
        </w:rPr>
        <w:t>5.2.20</w:t>
      </w:r>
      <w:r w:rsidR="00B14157">
        <w:rPr>
          <w:rFonts w:cs="Arial"/>
        </w:rPr>
        <w:tab/>
      </w:r>
      <w:r w:rsidR="00B14157" w:rsidRPr="0041264A">
        <w:rPr>
          <w:rFonts w:cs="Arial"/>
        </w:rPr>
        <w:t xml:space="preserve">In December 2019, the Emergency Planning and Business Continuity Team delivered a </w:t>
      </w:r>
      <w:r w:rsidR="00B14157" w:rsidRPr="00F52F17">
        <w:rPr>
          <w:rFonts w:cs="Arial"/>
          <w:i/>
        </w:rPr>
        <w:t>training session</w:t>
      </w:r>
      <w:r w:rsidR="00B14157" w:rsidRPr="0041264A">
        <w:rPr>
          <w:rFonts w:cs="Arial"/>
        </w:rPr>
        <w:t xml:space="preserve"> on Emergency Planning to the Environment</w:t>
      </w:r>
      <w:r w:rsidR="00FE4D29">
        <w:rPr>
          <w:rFonts w:cs="Arial"/>
        </w:rPr>
        <w:t>al</w:t>
      </w:r>
      <w:r w:rsidR="00B14157" w:rsidRPr="0041264A">
        <w:rPr>
          <w:rFonts w:cs="Arial"/>
        </w:rPr>
        <w:t xml:space="preserve"> </w:t>
      </w:r>
      <w:r w:rsidR="00B14157">
        <w:rPr>
          <w:rFonts w:cs="Arial"/>
        </w:rPr>
        <w:t xml:space="preserve">Health Lead </w:t>
      </w:r>
      <w:r w:rsidR="00B14157" w:rsidRPr="0041264A">
        <w:rPr>
          <w:rFonts w:cs="Arial"/>
        </w:rPr>
        <w:t>Officers’ Training Programme.</w:t>
      </w:r>
    </w:p>
    <w:p w14:paraId="70E36993" w14:textId="77777777" w:rsidR="00B14157" w:rsidRPr="0041264A" w:rsidRDefault="00B14157" w:rsidP="00B14157">
      <w:pPr>
        <w:ind w:left="851" w:hanging="851"/>
        <w:jc w:val="both"/>
        <w:rPr>
          <w:rFonts w:cs="Arial"/>
        </w:rPr>
      </w:pPr>
    </w:p>
    <w:p w14:paraId="5F56208A" w14:textId="56079B33" w:rsidR="00B14157" w:rsidRPr="0041264A" w:rsidRDefault="008809B1" w:rsidP="00B14157">
      <w:pPr>
        <w:ind w:left="851" w:hanging="851"/>
        <w:jc w:val="both"/>
        <w:rPr>
          <w:rFonts w:cs="Arial"/>
        </w:rPr>
      </w:pPr>
      <w:r>
        <w:rPr>
          <w:rFonts w:cs="Arial"/>
        </w:rPr>
        <w:t>5.2.21</w:t>
      </w:r>
      <w:r w:rsidR="00B14157">
        <w:rPr>
          <w:rFonts w:cs="Arial"/>
        </w:rPr>
        <w:tab/>
      </w:r>
      <w:r w:rsidR="00B14157" w:rsidRPr="0041264A">
        <w:rPr>
          <w:rFonts w:cs="Arial"/>
        </w:rPr>
        <w:t xml:space="preserve">Business Continuity exercises for the Public Health Wales Executive Team were held on 21 and 30 October 2019 to test the revised </w:t>
      </w:r>
      <w:r w:rsidR="00B14157" w:rsidRPr="0041264A">
        <w:rPr>
          <w:rFonts w:cs="Arial"/>
          <w:i/>
        </w:rPr>
        <w:t>Gold Terms of Reference</w:t>
      </w:r>
      <w:r w:rsidR="00B14157" w:rsidRPr="0041264A">
        <w:rPr>
          <w:rFonts w:cs="Arial"/>
        </w:rPr>
        <w:t xml:space="preserve"> and </w:t>
      </w:r>
      <w:r w:rsidR="00B14157" w:rsidRPr="0041264A">
        <w:rPr>
          <w:rFonts w:cs="Arial"/>
          <w:i/>
        </w:rPr>
        <w:t>Executive On Call Handbook</w:t>
      </w:r>
      <w:r w:rsidR="00B14157" w:rsidRPr="0041264A">
        <w:rPr>
          <w:rFonts w:cs="Arial"/>
        </w:rPr>
        <w:t xml:space="preserve">.  </w:t>
      </w:r>
    </w:p>
    <w:p w14:paraId="062B3CF5" w14:textId="77777777" w:rsidR="00B14157" w:rsidRPr="0041264A" w:rsidRDefault="00B14157" w:rsidP="00B14157">
      <w:pPr>
        <w:ind w:left="851" w:hanging="851"/>
        <w:jc w:val="both"/>
        <w:rPr>
          <w:rFonts w:cs="Arial"/>
        </w:rPr>
      </w:pPr>
    </w:p>
    <w:p w14:paraId="43CE28EB" w14:textId="72B8F150" w:rsidR="00B14157" w:rsidRPr="0041264A" w:rsidRDefault="008809B1" w:rsidP="00B14157">
      <w:pPr>
        <w:ind w:left="851" w:hanging="851"/>
        <w:jc w:val="both"/>
        <w:rPr>
          <w:rStyle w:val="e24kjd"/>
          <w:rFonts w:cs="Arial"/>
        </w:rPr>
      </w:pPr>
      <w:r>
        <w:rPr>
          <w:rFonts w:cs="Arial"/>
        </w:rPr>
        <w:t>5.2.22</w:t>
      </w:r>
      <w:r w:rsidR="00B14157">
        <w:rPr>
          <w:rFonts w:cs="Arial"/>
        </w:rPr>
        <w:tab/>
      </w:r>
      <w:r w:rsidR="00B14157" w:rsidRPr="0041264A">
        <w:rPr>
          <w:rFonts w:cs="Arial"/>
        </w:rPr>
        <w:t xml:space="preserve">A </w:t>
      </w:r>
      <w:r w:rsidR="00B14157" w:rsidRPr="00F52F17">
        <w:rPr>
          <w:rFonts w:cs="Arial"/>
          <w:i/>
        </w:rPr>
        <w:t>desktop exercise</w:t>
      </w:r>
      <w:r w:rsidR="00B14157" w:rsidRPr="0041264A">
        <w:rPr>
          <w:rFonts w:cs="Arial"/>
        </w:rPr>
        <w:t xml:space="preserve"> was undertake to ensu</w:t>
      </w:r>
      <w:r w:rsidR="00B14157">
        <w:rPr>
          <w:rFonts w:cs="Arial"/>
        </w:rPr>
        <w:t>r</w:t>
      </w:r>
      <w:r w:rsidR="00B14157" w:rsidRPr="0041264A">
        <w:rPr>
          <w:rFonts w:cs="Arial"/>
        </w:rPr>
        <w:t>e the Executive Team were able to access and review relevant information co</w:t>
      </w:r>
      <w:r w:rsidR="00FE4D29">
        <w:rPr>
          <w:rFonts w:cs="Arial"/>
        </w:rPr>
        <w:t>ntained within ResilienceDirect.</w:t>
      </w:r>
    </w:p>
    <w:p w14:paraId="570495C3" w14:textId="77777777" w:rsidR="00B14157" w:rsidRPr="0041264A" w:rsidRDefault="00B14157" w:rsidP="00B14157">
      <w:pPr>
        <w:ind w:left="851" w:hanging="851"/>
        <w:jc w:val="both"/>
        <w:rPr>
          <w:rStyle w:val="e24kjd"/>
          <w:rFonts w:cs="Arial"/>
        </w:rPr>
      </w:pPr>
    </w:p>
    <w:p w14:paraId="65F2443C" w14:textId="5C0C3650" w:rsidR="00B14157" w:rsidRDefault="008809B1" w:rsidP="00B14157">
      <w:pPr>
        <w:ind w:left="851" w:hanging="851"/>
        <w:jc w:val="both"/>
        <w:rPr>
          <w:rFonts w:cs="Arial"/>
        </w:rPr>
      </w:pPr>
      <w:r>
        <w:rPr>
          <w:rFonts w:cs="Arial"/>
        </w:rPr>
        <w:t>5.2.23</w:t>
      </w:r>
      <w:r w:rsidR="00B14157">
        <w:rPr>
          <w:rFonts w:cs="Arial"/>
        </w:rPr>
        <w:tab/>
      </w:r>
      <w:r w:rsidR="00B14157" w:rsidRPr="0041264A">
        <w:rPr>
          <w:rFonts w:cs="Arial"/>
        </w:rPr>
        <w:t xml:space="preserve">A </w:t>
      </w:r>
      <w:r w:rsidR="00B14157" w:rsidRPr="00F52F17">
        <w:rPr>
          <w:rFonts w:cs="Arial"/>
          <w:i/>
        </w:rPr>
        <w:t>review</w:t>
      </w:r>
      <w:r w:rsidR="00B14157" w:rsidRPr="0041264A">
        <w:rPr>
          <w:rFonts w:cs="Arial"/>
        </w:rPr>
        <w:t xml:space="preserve"> was undertaken of the Silver Group rota population process which was implemented early October 2019 in advance of the (then) expected EU Exit date of 31 October</w:t>
      </w:r>
      <w:r w:rsidR="00FE4D29">
        <w:rPr>
          <w:rFonts w:cs="Arial"/>
        </w:rPr>
        <w:t xml:space="preserve"> 2019</w:t>
      </w:r>
      <w:r w:rsidR="00B14157" w:rsidRPr="0041264A">
        <w:rPr>
          <w:rFonts w:cs="Arial"/>
        </w:rPr>
        <w:t>.</w:t>
      </w:r>
    </w:p>
    <w:p w14:paraId="1A30AF4E" w14:textId="77777777" w:rsidR="00B14157" w:rsidRDefault="00B14157" w:rsidP="00B14157">
      <w:pPr>
        <w:ind w:left="851" w:hanging="851"/>
        <w:jc w:val="both"/>
        <w:rPr>
          <w:rFonts w:cs="Arial"/>
        </w:rPr>
      </w:pPr>
    </w:p>
    <w:p w14:paraId="58C20054" w14:textId="53120E18" w:rsidR="00B14157" w:rsidRDefault="008809B1" w:rsidP="00B14157">
      <w:pPr>
        <w:ind w:left="851" w:hanging="851"/>
        <w:jc w:val="both"/>
        <w:rPr>
          <w:rFonts w:cs="Arial"/>
          <w:color w:val="000000"/>
        </w:rPr>
      </w:pPr>
      <w:r>
        <w:rPr>
          <w:rFonts w:cs="Arial"/>
        </w:rPr>
        <w:t>5.2.24</w:t>
      </w:r>
      <w:r w:rsidR="00B14157">
        <w:rPr>
          <w:rFonts w:cs="Arial"/>
        </w:rPr>
        <w:tab/>
      </w:r>
      <w:r w:rsidR="00B14157" w:rsidRPr="0041264A">
        <w:rPr>
          <w:rFonts w:cs="Arial"/>
        </w:rPr>
        <w:t xml:space="preserve">Within Public Health Wales, the </w:t>
      </w:r>
      <w:r w:rsidR="00B14157" w:rsidRPr="0041264A">
        <w:rPr>
          <w:rFonts w:cs="Arial"/>
          <w:color w:val="000000"/>
        </w:rPr>
        <w:t xml:space="preserve">Emergency Planning and Business Continuity team delivered </w:t>
      </w:r>
      <w:r w:rsidR="00B14157" w:rsidRPr="0041264A">
        <w:rPr>
          <w:rFonts w:cs="Arial"/>
          <w:i/>
          <w:color w:val="000000"/>
        </w:rPr>
        <w:t>eight training events</w:t>
      </w:r>
      <w:r w:rsidR="00B14157" w:rsidRPr="0041264A">
        <w:rPr>
          <w:rFonts w:cs="Arial"/>
          <w:color w:val="000000"/>
        </w:rPr>
        <w:t xml:space="preserve"> with a total of 109 attendees.</w:t>
      </w:r>
    </w:p>
    <w:p w14:paraId="25936AD0" w14:textId="77777777" w:rsidR="00B14157" w:rsidRDefault="00B14157" w:rsidP="00B14157">
      <w:pPr>
        <w:ind w:left="851" w:hanging="851"/>
        <w:jc w:val="both"/>
        <w:rPr>
          <w:rFonts w:cs="Arial"/>
          <w:color w:val="000000"/>
        </w:rPr>
      </w:pPr>
    </w:p>
    <w:p w14:paraId="23756E4D" w14:textId="4392F5F8" w:rsidR="00B14157" w:rsidRDefault="008809B1" w:rsidP="00B14157">
      <w:pPr>
        <w:ind w:left="851" w:hanging="851"/>
        <w:jc w:val="both"/>
        <w:rPr>
          <w:color w:val="000000" w:themeColor="text1"/>
        </w:rPr>
      </w:pPr>
      <w:r>
        <w:rPr>
          <w:rFonts w:cs="Arial"/>
          <w:color w:val="000000"/>
        </w:rPr>
        <w:t>5.2.25</w:t>
      </w:r>
      <w:r w:rsidR="00B14157">
        <w:rPr>
          <w:rFonts w:cs="Arial"/>
          <w:color w:val="000000"/>
        </w:rPr>
        <w:tab/>
      </w:r>
      <w:r w:rsidR="00FE4D29">
        <w:rPr>
          <w:rFonts w:cs="Arial"/>
          <w:color w:val="000000"/>
        </w:rPr>
        <w:t xml:space="preserve">Sixteen </w:t>
      </w:r>
      <w:r w:rsidR="00FE4D29">
        <w:t>drop-</w:t>
      </w:r>
      <w:r w:rsidR="00B14157" w:rsidRPr="00735946">
        <w:t xml:space="preserve">in sessions held either </w:t>
      </w:r>
      <w:r w:rsidR="00B14157">
        <w:t xml:space="preserve">by Newfields Law and / or Public Health Wales on nine sites across Wales were organised, offering staff the opportunity to discuss any </w:t>
      </w:r>
      <w:r w:rsidR="00B14157" w:rsidRPr="00DF1455">
        <w:rPr>
          <w:color w:val="000000" w:themeColor="text1"/>
        </w:rPr>
        <w:t>concerns they ha</w:t>
      </w:r>
      <w:r w:rsidR="00FE4D29">
        <w:rPr>
          <w:color w:val="000000" w:themeColor="text1"/>
        </w:rPr>
        <w:t xml:space="preserve">d </w:t>
      </w:r>
      <w:r w:rsidR="00B14157" w:rsidRPr="00DF1455">
        <w:rPr>
          <w:color w:val="000000" w:themeColor="text1"/>
        </w:rPr>
        <w:t>in re</w:t>
      </w:r>
      <w:r w:rsidR="00B14157">
        <w:rPr>
          <w:color w:val="000000" w:themeColor="text1"/>
        </w:rPr>
        <w:t>spect of their settled status.</w:t>
      </w:r>
    </w:p>
    <w:p w14:paraId="6B155769" w14:textId="77777777" w:rsidR="00B14157" w:rsidRDefault="00B14157" w:rsidP="00B14157">
      <w:pPr>
        <w:ind w:left="851" w:hanging="851"/>
        <w:jc w:val="both"/>
        <w:rPr>
          <w:color w:val="000000" w:themeColor="text1"/>
        </w:rPr>
      </w:pPr>
    </w:p>
    <w:p w14:paraId="2CC75660" w14:textId="5048D733" w:rsidR="00B14157" w:rsidRPr="0041264A" w:rsidRDefault="008809B1" w:rsidP="00B14157">
      <w:pPr>
        <w:ind w:left="851" w:hanging="851"/>
        <w:jc w:val="both"/>
        <w:rPr>
          <w:rFonts w:cs="Arial"/>
          <w:color w:val="000000"/>
        </w:rPr>
      </w:pPr>
      <w:r>
        <w:rPr>
          <w:color w:val="000000" w:themeColor="text1"/>
        </w:rPr>
        <w:t>5.2.26</w:t>
      </w:r>
      <w:r w:rsidR="00B14157">
        <w:rPr>
          <w:color w:val="000000" w:themeColor="text1"/>
        </w:rPr>
        <w:tab/>
      </w:r>
      <w:r w:rsidR="00B14157" w:rsidRPr="00DF1455">
        <w:rPr>
          <w:color w:val="000000" w:themeColor="text1"/>
        </w:rPr>
        <w:t xml:space="preserve">A </w:t>
      </w:r>
      <w:r w:rsidR="00B14157" w:rsidRPr="00DF1455">
        <w:rPr>
          <w:i/>
          <w:color w:val="000000" w:themeColor="text1"/>
        </w:rPr>
        <w:t>Brexit: Staff Resources</w:t>
      </w:r>
      <w:r w:rsidR="00FE4D29">
        <w:rPr>
          <w:color w:val="000000" w:themeColor="text1"/>
        </w:rPr>
        <w:t xml:space="preserve"> page was set up and included</w:t>
      </w:r>
      <w:r w:rsidR="00B14157" w:rsidRPr="00DF1455">
        <w:rPr>
          <w:color w:val="000000" w:themeColor="text1"/>
        </w:rPr>
        <w:t xml:space="preserve"> information on the EU Settlement Scheme, the EU Immigration Advice Service and instructions for </w:t>
      </w:r>
      <w:r w:rsidR="00FE4D29">
        <w:rPr>
          <w:color w:val="000000" w:themeColor="text1"/>
        </w:rPr>
        <w:t xml:space="preserve">staff to </w:t>
      </w:r>
      <w:r w:rsidR="00B14157" w:rsidRPr="00DF1455">
        <w:rPr>
          <w:color w:val="000000" w:themeColor="text1"/>
        </w:rPr>
        <w:t>updat</w:t>
      </w:r>
      <w:r w:rsidR="00FE4D29">
        <w:rPr>
          <w:color w:val="000000" w:themeColor="text1"/>
        </w:rPr>
        <w:t>e their nationality within the Electronic Staff Record system</w:t>
      </w:r>
      <w:r w:rsidR="00B14157" w:rsidRPr="00DF1455">
        <w:rPr>
          <w:color w:val="000000" w:themeColor="text1"/>
        </w:rPr>
        <w:t>.</w:t>
      </w:r>
    </w:p>
    <w:p w14:paraId="764964D5" w14:textId="77777777" w:rsidR="00B14157" w:rsidRDefault="00B14157" w:rsidP="00B14157">
      <w:pPr>
        <w:jc w:val="both"/>
        <w:rPr>
          <w:rFonts w:cs="Arial"/>
        </w:rPr>
      </w:pPr>
    </w:p>
    <w:p w14:paraId="78AE35EA" w14:textId="3818BD34" w:rsidR="00B14157" w:rsidRDefault="00B14157" w:rsidP="00B14157">
      <w:pPr>
        <w:ind w:left="851" w:hanging="851"/>
        <w:jc w:val="both"/>
      </w:pPr>
      <w:r w:rsidRPr="005C7A18">
        <w:t>5.</w:t>
      </w:r>
      <w:r w:rsidR="008809B1">
        <w:t>2.27</w:t>
      </w:r>
      <w:r>
        <w:rPr>
          <w:i/>
        </w:rPr>
        <w:tab/>
      </w:r>
      <w:r w:rsidRPr="0041264A">
        <w:rPr>
          <w:i/>
        </w:rPr>
        <w:t>Quarterly reports</w:t>
      </w:r>
      <w:r>
        <w:t xml:space="preserve"> against the Welsh Government Public Health Resilience Programme in Wales were submitted as follows:</w:t>
      </w:r>
    </w:p>
    <w:p w14:paraId="4E5739A2" w14:textId="77777777" w:rsidR="00B14157" w:rsidRDefault="00B14157" w:rsidP="00B14157">
      <w:pPr>
        <w:ind w:left="851" w:hanging="851"/>
        <w:jc w:val="both"/>
      </w:pPr>
    </w:p>
    <w:p w14:paraId="034ADDC9" w14:textId="77777777" w:rsidR="00B14157" w:rsidRDefault="00B14157" w:rsidP="00B14157">
      <w:pPr>
        <w:pStyle w:val="ListParagraph"/>
        <w:numPr>
          <w:ilvl w:val="0"/>
          <w:numId w:val="18"/>
        </w:numPr>
        <w:ind w:left="1701" w:hanging="850"/>
        <w:jc w:val="both"/>
      </w:pPr>
      <w:r>
        <w:t>Quarter 1 – August 2019</w:t>
      </w:r>
    </w:p>
    <w:p w14:paraId="6A2B2B01" w14:textId="77777777" w:rsidR="00B14157" w:rsidRDefault="00B14157" w:rsidP="00B14157">
      <w:pPr>
        <w:pStyle w:val="ListParagraph"/>
        <w:numPr>
          <w:ilvl w:val="0"/>
          <w:numId w:val="18"/>
        </w:numPr>
        <w:ind w:left="1701" w:hanging="850"/>
        <w:jc w:val="both"/>
      </w:pPr>
      <w:r>
        <w:t>Quarter 2 – September 2019</w:t>
      </w:r>
    </w:p>
    <w:p w14:paraId="151DAE0B" w14:textId="77777777" w:rsidR="00B14157" w:rsidRDefault="00B14157" w:rsidP="00B14157">
      <w:pPr>
        <w:pStyle w:val="ListParagraph"/>
        <w:numPr>
          <w:ilvl w:val="0"/>
          <w:numId w:val="18"/>
        </w:numPr>
        <w:ind w:left="1701" w:hanging="850"/>
        <w:jc w:val="both"/>
      </w:pPr>
      <w:r>
        <w:t>Quarter 3 – January 2020</w:t>
      </w:r>
    </w:p>
    <w:p w14:paraId="2EAA9CF6" w14:textId="77777777" w:rsidR="00B14157" w:rsidRDefault="00B14157" w:rsidP="00B14157">
      <w:pPr>
        <w:ind w:left="851" w:hanging="851"/>
        <w:jc w:val="both"/>
      </w:pPr>
    </w:p>
    <w:p w14:paraId="62544F59" w14:textId="05E5CB0B" w:rsidR="00B14157" w:rsidRDefault="008809B1" w:rsidP="00B14157">
      <w:pPr>
        <w:ind w:left="851" w:hanging="851"/>
        <w:jc w:val="both"/>
      </w:pPr>
      <w:r>
        <w:t>5.2.28</w:t>
      </w:r>
      <w:r w:rsidR="00B14157">
        <w:tab/>
      </w:r>
      <w:r w:rsidR="00B14157" w:rsidRPr="00EF1DAE">
        <w:t>During Phase I</w:t>
      </w:r>
      <w:r w:rsidR="00B14157">
        <w:t>I</w:t>
      </w:r>
      <w:r w:rsidR="00B14157" w:rsidRPr="00EF1DAE">
        <w:t xml:space="preserve"> of the Programme</w:t>
      </w:r>
      <w:r w:rsidR="00B14157">
        <w:t xml:space="preserve"> within Public Health Wales:</w:t>
      </w:r>
    </w:p>
    <w:p w14:paraId="5774FC32" w14:textId="77777777" w:rsidR="00B14157" w:rsidRPr="00942165" w:rsidRDefault="00B14157" w:rsidP="00B14157">
      <w:pPr>
        <w:ind w:left="851" w:hanging="851"/>
        <w:jc w:val="both"/>
      </w:pPr>
    </w:p>
    <w:p w14:paraId="3DFBF576" w14:textId="77777777" w:rsidR="00B14157" w:rsidRPr="00F52F17" w:rsidRDefault="00B14157" w:rsidP="00B14157">
      <w:pPr>
        <w:pStyle w:val="ListParagraph"/>
        <w:numPr>
          <w:ilvl w:val="0"/>
          <w:numId w:val="19"/>
        </w:numPr>
        <w:ind w:left="1701" w:hanging="850"/>
        <w:jc w:val="both"/>
      </w:pPr>
      <w:r w:rsidRPr="00F52F17">
        <w:t xml:space="preserve">Ten </w:t>
      </w:r>
      <w:r w:rsidRPr="00F52F17">
        <w:rPr>
          <w:i/>
        </w:rPr>
        <w:t>SRO Programme Group</w:t>
      </w:r>
      <w:r w:rsidRPr="00F52F17">
        <w:t xml:space="preserve"> meetings were held</w:t>
      </w:r>
    </w:p>
    <w:p w14:paraId="06048DE8" w14:textId="77777777" w:rsidR="00B14157" w:rsidRPr="00F52F17" w:rsidRDefault="00B14157" w:rsidP="00B14157">
      <w:pPr>
        <w:pStyle w:val="ListParagraph"/>
        <w:numPr>
          <w:ilvl w:val="0"/>
          <w:numId w:val="19"/>
        </w:numPr>
        <w:ind w:left="1701" w:hanging="850"/>
        <w:jc w:val="both"/>
      </w:pPr>
      <w:r w:rsidRPr="00F52F17">
        <w:t xml:space="preserve">Five </w:t>
      </w:r>
      <w:r w:rsidRPr="00F52F17">
        <w:rPr>
          <w:i/>
        </w:rPr>
        <w:t>reports</w:t>
      </w:r>
      <w:r w:rsidRPr="00F52F17">
        <w:t xml:space="preserve"> were submitted to the Business Executive Team</w:t>
      </w:r>
    </w:p>
    <w:p w14:paraId="77C4AF2E" w14:textId="77777777" w:rsidR="00B14157" w:rsidRPr="00F52F17" w:rsidRDefault="00B14157" w:rsidP="00B14157">
      <w:pPr>
        <w:pStyle w:val="ListParagraph"/>
        <w:numPr>
          <w:ilvl w:val="0"/>
          <w:numId w:val="19"/>
        </w:numPr>
        <w:ind w:left="1701" w:hanging="850"/>
        <w:jc w:val="both"/>
      </w:pPr>
      <w:r w:rsidRPr="00F52F17">
        <w:t xml:space="preserve">One </w:t>
      </w:r>
      <w:r w:rsidRPr="00F52F17">
        <w:rPr>
          <w:i/>
        </w:rPr>
        <w:t>report</w:t>
      </w:r>
      <w:r w:rsidRPr="00F52F17">
        <w:t xml:space="preserve"> was submitted to the Audit and Corporate Governance Committee, and</w:t>
      </w:r>
    </w:p>
    <w:p w14:paraId="4F8176DD" w14:textId="77777777" w:rsidR="00B14157" w:rsidRPr="00F52F17" w:rsidRDefault="00B14157" w:rsidP="00B14157">
      <w:pPr>
        <w:pStyle w:val="ListParagraph"/>
        <w:numPr>
          <w:ilvl w:val="0"/>
          <w:numId w:val="19"/>
        </w:numPr>
        <w:ind w:left="1701" w:hanging="850"/>
        <w:jc w:val="both"/>
      </w:pPr>
      <w:r w:rsidRPr="00F52F17">
        <w:t xml:space="preserve">Four </w:t>
      </w:r>
      <w:r w:rsidRPr="0069485A">
        <w:rPr>
          <w:i/>
        </w:rPr>
        <w:t xml:space="preserve">reports </w:t>
      </w:r>
      <w:r w:rsidRPr="00F52F17">
        <w:t>were submitted to the Board.</w:t>
      </w:r>
    </w:p>
    <w:p w14:paraId="34B9DF91" w14:textId="77777777" w:rsidR="00B14157" w:rsidRDefault="00B14157" w:rsidP="00B14157">
      <w:pPr>
        <w:ind w:left="851" w:hanging="851"/>
        <w:jc w:val="both"/>
      </w:pPr>
    </w:p>
    <w:p w14:paraId="59C28B00" w14:textId="69CA3AA6" w:rsidR="00B14157" w:rsidRDefault="00B14157" w:rsidP="00B14157">
      <w:pPr>
        <w:ind w:left="851" w:hanging="851"/>
        <w:jc w:val="both"/>
      </w:pPr>
      <w:r>
        <w:t>5.3</w:t>
      </w:r>
      <w:r>
        <w:tab/>
        <w:t>In January 2020, the Programme was paused to allow the organisation to focus on the COVID-19 pandemic and response.</w:t>
      </w:r>
    </w:p>
    <w:p w14:paraId="0E38DDAE" w14:textId="49879389" w:rsidR="00FE4D29" w:rsidRDefault="00FE4D29" w:rsidP="00B14157">
      <w:pPr>
        <w:ind w:left="851" w:hanging="851"/>
        <w:jc w:val="both"/>
      </w:pPr>
    </w:p>
    <w:p w14:paraId="2906E3C7" w14:textId="573A36B0" w:rsidR="00B14157" w:rsidRPr="00467632" w:rsidRDefault="00B14157" w:rsidP="00B14157">
      <w:pPr>
        <w:pStyle w:val="ListParagraph"/>
        <w:numPr>
          <w:ilvl w:val="0"/>
          <w:numId w:val="17"/>
        </w:numPr>
        <w:ind w:left="851" w:hanging="851"/>
        <w:jc w:val="both"/>
        <w:rPr>
          <w:b/>
        </w:rPr>
      </w:pPr>
      <w:r w:rsidRPr="00467632">
        <w:rPr>
          <w:b/>
        </w:rPr>
        <w:t>PHASE III (S</w:t>
      </w:r>
      <w:r w:rsidR="007E4744">
        <w:rPr>
          <w:b/>
        </w:rPr>
        <w:t xml:space="preserve">eptember </w:t>
      </w:r>
      <w:r w:rsidRPr="00467632">
        <w:rPr>
          <w:b/>
        </w:rPr>
        <w:t>2020 – 31 M</w:t>
      </w:r>
      <w:r w:rsidR="007E4744">
        <w:rPr>
          <w:b/>
        </w:rPr>
        <w:t>arch</w:t>
      </w:r>
      <w:r w:rsidRPr="00467632">
        <w:rPr>
          <w:b/>
        </w:rPr>
        <w:t xml:space="preserve"> 2021)</w:t>
      </w:r>
    </w:p>
    <w:p w14:paraId="085CFF52" w14:textId="77777777" w:rsidR="00B14157" w:rsidRDefault="00B14157" w:rsidP="00B14157">
      <w:pPr>
        <w:jc w:val="both"/>
      </w:pPr>
    </w:p>
    <w:p w14:paraId="72BB9ED7" w14:textId="77777777" w:rsidR="00B14157" w:rsidRDefault="00B14157" w:rsidP="00B14157">
      <w:pPr>
        <w:ind w:left="851" w:hanging="851"/>
        <w:jc w:val="both"/>
      </w:pPr>
      <w:r>
        <w:t>6.1</w:t>
      </w:r>
      <w:r>
        <w:tab/>
        <w:t>The Brexit Programme was resumed in September 2020.</w:t>
      </w:r>
    </w:p>
    <w:p w14:paraId="22C984D6" w14:textId="77777777" w:rsidR="00B14157" w:rsidRDefault="00B14157" w:rsidP="00B14157">
      <w:pPr>
        <w:ind w:left="851" w:hanging="851"/>
        <w:jc w:val="both"/>
      </w:pPr>
    </w:p>
    <w:p w14:paraId="29C78352" w14:textId="55E269A3" w:rsidR="00B14157" w:rsidRPr="00BD646A" w:rsidRDefault="008809B1" w:rsidP="00BD646A">
      <w:pPr>
        <w:ind w:left="851" w:hanging="851"/>
        <w:jc w:val="both"/>
      </w:pPr>
      <w:r>
        <w:t>6.2</w:t>
      </w:r>
      <w:r w:rsidR="00B14157">
        <w:tab/>
      </w:r>
      <w:r w:rsidR="00B14157" w:rsidRPr="008C0983">
        <w:rPr>
          <w:i/>
        </w:rPr>
        <w:t xml:space="preserve">A Trade and Cooperation Agreement </w:t>
      </w:r>
      <w:r w:rsidR="00B14157">
        <w:t>was reached on 24 December 2020 which cam</w:t>
      </w:r>
      <w:r w:rsidR="00BD646A">
        <w:t>e into force on 1 January 2021.</w:t>
      </w:r>
    </w:p>
    <w:p w14:paraId="6605BC59" w14:textId="77777777" w:rsidR="00B14157" w:rsidRPr="00073DEB" w:rsidRDefault="00B14157" w:rsidP="00B14157">
      <w:pPr>
        <w:pStyle w:val="ListParagraph"/>
        <w:ind w:left="851"/>
        <w:jc w:val="both"/>
        <w:rPr>
          <w:rFonts w:eastAsiaTheme="minorEastAsia"/>
          <w:color w:val="000000" w:themeColor="text1"/>
          <w:kern w:val="24"/>
          <w:lang w:eastAsia="en-GB"/>
        </w:rPr>
      </w:pPr>
    </w:p>
    <w:p w14:paraId="0517A131" w14:textId="4D09FB19" w:rsidR="00B14157" w:rsidRPr="008809B1" w:rsidRDefault="00B14157" w:rsidP="008809B1">
      <w:pPr>
        <w:pStyle w:val="ListParagraph"/>
        <w:numPr>
          <w:ilvl w:val="1"/>
          <w:numId w:val="36"/>
        </w:numPr>
        <w:ind w:left="851" w:hanging="851"/>
        <w:jc w:val="both"/>
        <w:rPr>
          <w:b/>
          <w:color w:val="000000" w:themeColor="text1"/>
        </w:rPr>
      </w:pPr>
      <w:r w:rsidRPr="008809B1">
        <w:rPr>
          <w:b/>
          <w:color w:val="000000" w:themeColor="text1"/>
        </w:rPr>
        <w:t>Key Products</w:t>
      </w:r>
    </w:p>
    <w:p w14:paraId="3883551C" w14:textId="77777777" w:rsidR="00BD646A" w:rsidRPr="00BD646A" w:rsidRDefault="00BD646A" w:rsidP="00BD646A">
      <w:pPr>
        <w:pStyle w:val="ListParagraph"/>
        <w:rPr>
          <w:b/>
          <w:color w:val="000000" w:themeColor="text1"/>
        </w:rPr>
      </w:pPr>
    </w:p>
    <w:p w14:paraId="735EAC26" w14:textId="2D0DC154" w:rsidR="00BD646A" w:rsidRDefault="008809B1" w:rsidP="00BD646A">
      <w:pPr>
        <w:ind w:left="851" w:hanging="851"/>
        <w:jc w:val="both"/>
        <w:rPr>
          <w:color w:val="000000" w:themeColor="text1"/>
        </w:rPr>
      </w:pPr>
      <w:r>
        <w:t>6.3.1</w:t>
      </w:r>
      <w:r w:rsidR="00BD646A">
        <w:tab/>
        <w:t xml:space="preserve">In </w:t>
      </w:r>
      <w:r w:rsidR="00BD646A" w:rsidRPr="00667151">
        <w:rPr>
          <w:color w:val="000000" w:themeColor="text1"/>
          <w:lang w:eastAsia="en-GB"/>
        </w:rPr>
        <w:t>October 2020</w:t>
      </w:r>
      <w:r w:rsidR="00BD646A">
        <w:rPr>
          <w:color w:val="000000" w:themeColor="text1"/>
          <w:lang w:eastAsia="en-GB"/>
        </w:rPr>
        <w:t xml:space="preserve">, </w:t>
      </w:r>
      <w:r w:rsidR="00BD646A" w:rsidRPr="00667151">
        <w:rPr>
          <w:color w:val="000000" w:themeColor="text1"/>
          <w:lang w:eastAsia="en-GB"/>
        </w:rPr>
        <w:t xml:space="preserve">a workshop session was </w:t>
      </w:r>
      <w:r w:rsidR="00BD646A">
        <w:rPr>
          <w:color w:val="000000" w:themeColor="text1"/>
          <w:lang w:eastAsia="en-GB"/>
        </w:rPr>
        <w:t xml:space="preserve">held for </w:t>
      </w:r>
      <w:r w:rsidR="00BD646A">
        <w:rPr>
          <w:color w:val="000000" w:themeColor="text1"/>
        </w:rPr>
        <w:t>SRO Programme Group</w:t>
      </w:r>
      <w:r w:rsidR="00BD646A" w:rsidRPr="00667151">
        <w:rPr>
          <w:color w:val="000000" w:themeColor="text1"/>
        </w:rPr>
        <w:t xml:space="preserve"> members and </w:t>
      </w:r>
      <w:r w:rsidR="00BD646A">
        <w:rPr>
          <w:color w:val="000000" w:themeColor="text1"/>
        </w:rPr>
        <w:t xml:space="preserve">workstream and risk leads to </w:t>
      </w:r>
      <w:r w:rsidR="00BD646A" w:rsidRPr="00667151">
        <w:rPr>
          <w:color w:val="000000" w:themeColor="text1"/>
        </w:rPr>
        <w:t xml:space="preserve">review the </w:t>
      </w:r>
      <w:r w:rsidR="00BD646A">
        <w:rPr>
          <w:color w:val="000000" w:themeColor="text1"/>
        </w:rPr>
        <w:t xml:space="preserve">previous </w:t>
      </w:r>
      <w:r w:rsidR="00BD646A" w:rsidRPr="00667151">
        <w:rPr>
          <w:color w:val="000000" w:themeColor="text1"/>
        </w:rPr>
        <w:t xml:space="preserve">risks and mitigations </w:t>
      </w:r>
      <w:r w:rsidR="00BD646A">
        <w:rPr>
          <w:color w:val="000000" w:themeColor="text1"/>
        </w:rPr>
        <w:t xml:space="preserve">captured by the Programme </w:t>
      </w:r>
      <w:r w:rsidR="00BD646A" w:rsidRPr="00667151">
        <w:rPr>
          <w:color w:val="000000" w:themeColor="text1"/>
        </w:rPr>
        <w:t xml:space="preserve">and ensure </w:t>
      </w:r>
      <w:r w:rsidR="00BD646A">
        <w:rPr>
          <w:color w:val="000000" w:themeColor="text1"/>
        </w:rPr>
        <w:t xml:space="preserve">any </w:t>
      </w:r>
      <w:r w:rsidR="00BD646A" w:rsidRPr="00667151">
        <w:rPr>
          <w:color w:val="000000" w:themeColor="text1"/>
        </w:rPr>
        <w:t>intelligence was up</w:t>
      </w:r>
      <w:r w:rsidR="00BD646A">
        <w:rPr>
          <w:color w:val="000000" w:themeColor="text1"/>
        </w:rPr>
        <w:t xml:space="preserve">dated.  </w:t>
      </w:r>
      <w:r w:rsidR="00BD646A" w:rsidRPr="00667151">
        <w:rPr>
          <w:color w:val="000000" w:themeColor="text1"/>
        </w:rPr>
        <w:t xml:space="preserve">Following the workshop, a </w:t>
      </w:r>
      <w:r w:rsidR="00BD646A" w:rsidRPr="00BF5ABA">
        <w:rPr>
          <w:i/>
          <w:color w:val="000000" w:themeColor="text1"/>
        </w:rPr>
        <w:t xml:space="preserve">debrief </w:t>
      </w:r>
      <w:r w:rsidR="00BD646A" w:rsidRPr="00F56787">
        <w:rPr>
          <w:i/>
          <w:color w:val="000000" w:themeColor="text1"/>
        </w:rPr>
        <w:t>report</w:t>
      </w:r>
      <w:r w:rsidR="00BD646A" w:rsidRPr="00667151">
        <w:rPr>
          <w:color w:val="000000" w:themeColor="text1"/>
        </w:rPr>
        <w:t xml:space="preserve"> was produced containing a series of recommendations and actions to be completed by 31 December 2020.  This report was received by the </w:t>
      </w:r>
      <w:r w:rsidR="00BD646A">
        <w:rPr>
          <w:color w:val="000000" w:themeColor="text1"/>
        </w:rPr>
        <w:t>SRO Programme Group</w:t>
      </w:r>
      <w:r w:rsidR="00BD646A" w:rsidRPr="00667151">
        <w:rPr>
          <w:color w:val="000000" w:themeColor="text1"/>
        </w:rPr>
        <w:t xml:space="preserve"> at its meeting on 2 November 2020.</w:t>
      </w:r>
    </w:p>
    <w:p w14:paraId="1898149D" w14:textId="7DD911C0" w:rsidR="00BD646A" w:rsidRDefault="00BD646A" w:rsidP="00BD646A">
      <w:pPr>
        <w:jc w:val="both"/>
        <w:rPr>
          <w:color w:val="000000" w:themeColor="text1"/>
        </w:rPr>
      </w:pPr>
    </w:p>
    <w:p w14:paraId="097C9946" w14:textId="31232BA1" w:rsidR="00BD646A" w:rsidRDefault="008809B1" w:rsidP="00BD646A">
      <w:pPr>
        <w:ind w:left="851" w:hanging="851"/>
        <w:contextualSpacing/>
        <w:jc w:val="both"/>
        <w:rPr>
          <w:rFonts w:eastAsia="Times New Roman" w:cs="Times New Roman"/>
          <w:color w:val="000000" w:themeColor="text1"/>
          <w:kern w:val="24"/>
          <w:lang w:eastAsia="en-GB"/>
        </w:rPr>
      </w:pPr>
      <w:r>
        <w:rPr>
          <w:rFonts w:eastAsia="Times New Roman" w:cs="Times New Roman"/>
          <w:color w:val="000000" w:themeColor="text1"/>
          <w:kern w:val="24"/>
          <w:lang w:eastAsia="en-GB"/>
        </w:rPr>
        <w:t>6.3.2</w:t>
      </w:r>
      <w:r w:rsidR="00BD646A">
        <w:rPr>
          <w:rFonts w:eastAsia="Times New Roman" w:cs="Times New Roman"/>
          <w:color w:val="000000" w:themeColor="text1"/>
          <w:kern w:val="24"/>
          <w:lang w:eastAsia="en-GB"/>
        </w:rPr>
        <w:tab/>
      </w:r>
      <w:r w:rsidR="00A61581">
        <w:rPr>
          <w:rFonts w:eastAsia="Times New Roman" w:cs="Times New Roman"/>
          <w:color w:val="000000" w:themeColor="text1"/>
          <w:kern w:val="24"/>
          <w:lang w:eastAsia="en-GB"/>
        </w:rPr>
        <w:t xml:space="preserve">On 18 November 2020, a </w:t>
      </w:r>
      <w:r w:rsidR="00BD646A" w:rsidRPr="00736B75">
        <w:rPr>
          <w:rFonts w:eastAsia="Times New Roman" w:cs="Times New Roman"/>
          <w:color w:val="000000" w:themeColor="text1"/>
          <w:kern w:val="24"/>
          <w:lang w:eastAsia="en-GB"/>
        </w:rPr>
        <w:t xml:space="preserve">public-facing </w:t>
      </w:r>
      <w:r w:rsidR="00BD646A" w:rsidRPr="00736B75">
        <w:rPr>
          <w:rFonts w:eastAsia="Times New Roman" w:cs="Times New Roman"/>
          <w:i/>
          <w:color w:val="000000" w:themeColor="text1"/>
          <w:kern w:val="24"/>
          <w:lang w:eastAsia="en-GB"/>
        </w:rPr>
        <w:t>web story</w:t>
      </w:r>
      <w:r w:rsidR="00BD646A">
        <w:rPr>
          <w:rFonts w:eastAsia="Times New Roman" w:cs="Times New Roman"/>
          <w:color w:val="000000" w:themeColor="text1"/>
          <w:kern w:val="24"/>
          <w:lang w:eastAsia="en-GB"/>
        </w:rPr>
        <w:t xml:space="preserve"> </w:t>
      </w:r>
      <w:r w:rsidR="00A61581">
        <w:rPr>
          <w:rFonts w:eastAsia="Times New Roman" w:cs="Times New Roman"/>
          <w:color w:val="000000" w:themeColor="text1"/>
          <w:kern w:val="24"/>
          <w:lang w:eastAsia="en-GB"/>
        </w:rPr>
        <w:t xml:space="preserve">was </w:t>
      </w:r>
      <w:r w:rsidR="00BD646A">
        <w:rPr>
          <w:rFonts w:eastAsia="Times New Roman" w:cs="Times New Roman"/>
          <w:color w:val="000000" w:themeColor="text1"/>
          <w:kern w:val="24"/>
          <w:lang w:eastAsia="en-GB"/>
        </w:rPr>
        <w:t xml:space="preserve">published </w:t>
      </w:r>
      <w:r w:rsidR="00A61581">
        <w:rPr>
          <w:rFonts w:eastAsia="Times New Roman" w:cs="Times New Roman"/>
          <w:color w:val="000000" w:themeColor="text1"/>
          <w:kern w:val="24"/>
          <w:lang w:eastAsia="en-GB"/>
        </w:rPr>
        <w:t xml:space="preserve">on the </w:t>
      </w:r>
      <w:r>
        <w:t xml:space="preserve">Public Health Wales </w:t>
      </w:r>
      <w:r w:rsidR="00BD646A">
        <w:rPr>
          <w:rFonts w:eastAsia="Times New Roman" w:cs="Times New Roman"/>
          <w:color w:val="000000" w:themeColor="text1"/>
          <w:kern w:val="24"/>
          <w:lang w:eastAsia="en-GB"/>
        </w:rPr>
        <w:t xml:space="preserve">website and </w:t>
      </w:r>
      <w:r w:rsidR="00BD646A" w:rsidRPr="00736B75">
        <w:rPr>
          <w:rFonts w:eastAsia="Times New Roman" w:cs="Times New Roman"/>
          <w:color w:val="000000" w:themeColor="text1"/>
          <w:kern w:val="24"/>
          <w:lang w:eastAsia="en-GB"/>
        </w:rPr>
        <w:t>Welsh Government co</w:t>
      </w:r>
      <w:r w:rsidR="00BD646A">
        <w:rPr>
          <w:rFonts w:eastAsia="Times New Roman" w:cs="Times New Roman"/>
          <w:color w:val="000000" w:themeColor="text1"/>
          <w:kern w:val="24"/>
          <w:lang w:eastAsia="en-GB"/>
        </w:rPr>
        <w:t>mmunications informed.</w:t>
      </w:r>
    </w:p>
    <w:p w14:paraId="0C10D0EC" w14:textId="77777777" w:rsidR="00BD646A" w:rsidRPr="00736B75" w:rsidRDefault="00BD646A" w:rsidP="00BD646A">
      <w:pPr>
        <w:ind w:left="851" w:hanging="851"/>
        <w:contextualSpacing/>
        <w:rPr>
          <w:rFonts w:eastAsia="Times New Roman" w:cs="Times New Roman"/>
          <w:lang w:eastAsia="en-GB"/>
        </w:rPr>
      </w:pPr>
    </w:p>
    <w:p w14:paraId="7C2BB3F0" w14:textId="769C60E1" w:rsidR="00BD646A" w:rsidRDefault="00BD646A" w:rsidP="00BD646A">
      <w:pPr>
        <w:ind w:left="851" w:hanging="851"/>
        <w:contextualSpacing/>
        <w:jc w:val="both"/>
        <w:rPr>
          <w:rFonts w:eastAsia="Times New Roman" w:cs="Times New Roman"/>
          <w:color w:val="000000" w:themeColor="text1"/>
          <w:kern w:val="24"/>
          <w:lang w:eastAsia="en-GB"/>
        </w:rPr>
      </w:pPr>
      <w:r>
        <w:rPr>
          <w:rFonts w:eastAsia="Times New Roman" w:cs="Times New Roman"/>
          <w:color w:val="000000" w:themeColor="text1"/>
          <w:kern w:val="24"/>
          <w:lang w:eastAsia="en-GB"/>
        </w:rPr>
        <w:t>6.</w:t>
      </w:r>
      <w:r w:rsidR="008809B1">
        <w:rPr>
          <w:rFonts w:eastAsia="Times New Roman" w:cs="Times New Roman"/>
          <w:color w:val="000000" w:themeColor="text1"/>
          <w:kern w:val="24"/>
          <w:lang w:eastAsia="en-GB"/>
        </w:rPr>
        <w:t>3.3</w:t>
      </w:r>
      <w:r>
        <w:rPr>
          <w:rFonts w:eastAsia="Times New Roman" w:cs="Times New Roman"/>
          <w:color w:val="000000" w:themeColor="text1"/>
          <w:kern w:val="24"/>
          <w:lang w:eastAsia="en-GB"/>
        </w:rPr>
        <w:tab/>
      </w:r>
      <w:r w:rsidR="00A61581">
        <w:rPr>
          <w:rFonts w:eastAsia="Times New Roman" w:cs="Times New Roman"/>
          <w:color w:val="000000" w:themeColor="text1"/>
          <w:kern w:val="24"/>
          <w:lang w:eastAsia="en-GB"/>
        </w:rPr>
        <w:t xml:space="preserve">On </w:t>
      </w:r>
      <w:r>
        <w:rPr>
          <w:rFonts w:eastAsia="Times New Roman" w:cs="Times New Roman"/>
          <w:color w:val="000000" w:themeColor="text1"/>
          <w:kern w:val="24"/>
          <w:lang w:eastAsia="en-GB"/>
        </w:rPr>
        <w:t>18 November 2020</w:t>
      </w:r>
      <w:r w:rsidR="00A61581">
        <w:rPr>
          <w:rFonts w:eastAsia="Times New Roman" w:cs="Times New Roman"/>
          <w:color w:val="000000" w:themeColor="text1"/>
          <w:kern w:val="24"/>
          <w:lang w:eastAsia="en-GB"/>
        </w:rPr>
        <w:t xml:space="preserve">, a </w:t>
      </w:r>
      <w:r w:rsidRPr="00736B75">
        <w:rPr>
          <w:rFonts w:eastAsia="Times New Roman" w:cs="Times New Roman"/>
          <w:i/>
          <w:color w:val="000000" w:themeColor="text1"/>
          <w:kern w:val="24"/>
          <w:lang w:eastAsia="en-GB"/>
        </w:rPr>
        <w:t xml:space="preserve">staff-facing intranet story </w:t>
      </w:r>
      <w:r w:rsidR="00A61581">
        <w:rPr>
          <w:rFonts w:eastAsia="Times New Roman" w:cs="Times New Roman"/>
          <w:color w:val="000000" w:themeColor="text1"/>
          <w:kern w:val="24"/>
          <w:lang w:eastAsia="en-GB"/>
        </w:rPr>
        <w:t xml:space="preserve"> was </w:t>
      </w:r>
      <w:r w:rsidRPr="00A61581">
        <w:rPr>
          <w:rFonts w:eastAsia="Times New Roman" w:cs="Times New Roman"/>
          <w:color w:val="000000" w:themeColor="text1"/>
          <w:kern w:val="24"/>
          <w:lang w:eastAsia="en-GB"/>
        </w:rPr>
        <w:t>published</w:t>
      </w:r>
      <w:r>
        <w:rPr>
          <w:rFonts w:eastAsia="Times New Roman" w:cs="Times New Roman"/>
          <w:color w:val="000000" w:themeColor="text1"/>
          <w:kern w:val="24"/>
          <w:lang w:eastAsia="en-GB"/>
        </w:rPr>
        <w:t>,</w:t>
      </w:r>
      <w:r w:rsidR="00A61581">
        <w:rPr>
          <w:rFonts w:eastAsia="Times New Roman" w:cs="Times New Roman"/>
          <w:color w:val="000000" w:themeColor="text1"/>
          <w:kern w:val="24"/>
          <w:lang w:eastAsia="en-GB"/>
        </w:rPr>
        <w:t xml:space="preserve"> which was also </w:t>
      </w:r>
      <w:r w:rsidRPr="00736B75">
        <w:rPr>
          <w:rFonts w:eastAsia="Times New Roman" w:cs="Times New Roman"/>
          <w:color w:val="000000" w:themeColor="text1"/>
          <w:kern w:val="24"/>
          <w:lang w:eastAsia="en-GB"/>
        </w:rPr>
        <w:t xml:space="preserve">shared in </w:t>
      </w:r>
      <w:r w:rsidR="00A61581">
        <w:rPr>
          <w:rFonts w:eastAsia="Times New Roman" w:cs="Times New Roman"/>
          <w:color w:val="000000" w:themeColor="text1"/>
          <w:kern w:val="24"/>
          <w:lang w:eastAsia="en-GB"/>
        </w:rPr>
        <w:t xml:space="preserve">the </w:t>
      </w:r>
      <w:r w:rsidRPr="00736B75">
        <w:rPr>
          <w:rFonts w:eastAsia="Times New Roman" w:cs="Times New Roman"/>
          <w:color w:val="000000" w:themeColor="text1"/>
          <w:kern w:val="24"/>
          <w:lang w:eastAsia="en-GB"/>
        </w:rPr>
        <w:t>daily staff update</w:t>
      </w:r>
      <w:r w:rsidR="00A61581">
        <w:rPr>
          <w:rFonts w:eastAsia="Times New Roman" w:cs="Times New Roman"/>
          <w:color w:val="000000" w:themeColor="text1"/>
          <w:kern w:val="24"/>
          <w:lang w:eastAsia="en-GB"/>
        </w:rPr>
        <w:t xml:space="preserve">; </w:t>
      </w:r>
      <w:r w:rsidRPr="00736B75">
        <w:rPr>
          <w:rFonts w:eastAsia="Times New Roman" w:cs="Times New Roman"/>
          <w:color w:val="000000" w:themeColor="text1"/>
          <w:kern w:val="24"/>
          <w:lang w:eastAsia="en-GB"/>
        </w:rPr>
        <w:t xml:space="preserve">manager actions for EU employees </w:t>
      </w:r>
      <w:r w:rsidR="00A61581">
        <w:rPr>
          <w:rFonts w:eastAsia="Times New Roman" w:cs="Times New Roman"/>
          <w:color w:val="000000" w:themeColor="text1"/>
          <w:kern w:val="24"/>
          <w:lang w:eastAsia="en-GB"/>
        </w:rPr>
        <w:t xml:space="preserve">were also </w:t>
      </w:r>
      <w:r w:rsidRPr="00736B75">
        <w:rPr>
          <w:rFonts w:eastAsia="Times New Roman" w:cs="Times New Roman"/>
          <w:color w:val="000000" w:themeColor="text1"/>
          <w:kern w:val="24"/>
          <w:lang w:eastAsia="en-GB"/>
        </w:rPr>
        <w:t>highlig</w:t>
      </w:r>
      <w:r>
        <w:rPr>
          <w:rFonts w:eastAsia="Times New Roman" w:cs="Times New Roman"/>
          <w:color w:val="000000" w:themeColor="text1"/>
          <w:kern w:val="24"/>
          <w:lang w:eastAsia="en-GB"/>
        </w:rPr>
        <w:t xml:space="preserve">hted in </w:t>
      </w:r>
      <w:r w:rsidR="00A61581">
        <w:rPr>
          <w:rFonts w:eastAsia="Times New Roman" w:cs="Times New Roman"/>
          <w:color w:val="000000" w:themeColor="text1"/>
          <w:kern w:val="24"/>
          <w:lang w:eastAsia="en-GB"/>
        </w:rPr>
        <w:t>the manager</w:t>
      </w:r>
      <w:r>
        <w:rPr>
          <w:rFonts w:eastAsia="Times New Roman" w:cs="Times New Roman"/>
          <w:color w:val="000000" w:themeColor="text1"/>
          <w:kern w:val="24"/>
          <w:lang w:eastAsia="en-GB"/>
        </w:rPr>
        <w:t>s</w:t>
      </w:r>
      <w:r w:rsidR="00A61581">
        <w:rPr>
          <w:rFonts w:eastAsia="Times New Roman" w:cs="Times New Roman"/>
          <w:color w:val="000000" w:themeColor="text1"/>
          <w:kern w:val="24"/>
          <w:lang w:eastAsia="en-GB"/>
        </w:rPr>
        <w:t>’</w:t>
      </w:r>
      <w:r>
        <w:rPr>
          <w:rFonts w:eastAsia="Times New Roman" w:cs="Times New Roman"/>
          <w:color w:val="000000" w:themeColor="text1"/>
          <w:kern w:val="24"/>
          <w:lang w:eastAsia="en-GB"/>
        </w:rPr>
        <w:t xml:space="preserve"> update email.</w:t>
      </w:r>
    </w:p>
    <w:p w14:paraId="33A305F5" w14:textId="77777777" w:rsidR="00BD646A" w:rsidRDefault="00BD646A" w:rsidP="00BD646A">
      <w:pPr>
        <w:ind w:left="851" w:hanging="851"/>
        <w:contextualSpacing/>
        <w:rPr>
          <w:rFonts w:eastAsia="Times New Roman" w:cs="Times New Roman"/>
          <w:color w:val="000000" w:themeColor="text1"/>
          <w:kern w:val="24"/>
          <w:lang w:eastAsia="en-GB"/>
        </w:rPr>
      </w:pPr>
    </w:p>
    <w:p w14:paraId="102866F1" w14:textId="0B11389F" w:rsidR="00BD646A" w:rsidRDefault="00BD646A" w:rsidP="00BD646A">
      <w:pPr>
        <w:ind w:left="851" w:hanging="851"/>
        <w:contextualSpacing/>
        <w:jc w:val="both"/>
        <w:rPr>
          <w:rFonts w:eastAsia="Times New Roman" w:cs="Times New Roman"/>
          <w:color w:val="000000" w:themeColor="text1"/>
          <w:kern w:val="24"/>
          <w:lang w:eastAsia="en-GB"/>
        </w:rPr>
      </w:pPr>
      <w:r>
        <w:rPr>
          <w:rFonts w:eastAsia="Times New Roman" w:cs="Times New Roman"/>
          <w:color w:val="000000" w:themeColor="text1"/>
          <w:kern w:val="24"/>
          <w:lang w:eastAsia="en-GB"/>
        </w:rPr>
        <w:t>6.</w:t>
      </w:r>
      <w:r w:rsidR="008809B1">
        <w:rPr>
          <w:rFonts w:eastAsia="Times New Roman" w:cs="Times New Roman"/>
          <w:color w:val="000000" w:themeColor="text1"/>
          <w:kern w:val="24"/>
          <w:lang w:eastAsia="en-GB"/>
        </w:rPr>
        <w:t>3.4</w:t>
      </w:r>
      <w:r>
        <w:rPr>
          <w:rFonts w:eastAsia="Times New Roman" w:cs="Times New Roman"/>
          <w:color w:val="000000" w:themeColor="text1"/>
          <w:kern w:val="24"/>
          <w:lang w:eastAsia="en-GB"/>
        </w:rPr>
        <w:tab/>
      </w:r>
      <w:r w:rsidR="00A61581">
        <w:rPr>
          <w:rFonts w:eastAsia="Times New Roman" w:cs="Times New Roman"/>
          <w:color w:val="000000" w:themeColor="text1"/>
          <w:kern w:val="24"/>
          <w:lang w:eastAsia="en-GB"/>
        </w:rPr>
        <w:t xml:space="preserve">On </w:t>
      </w:r>
      <w:r>
        <w:rPr>
          <w:rFonts w:eastAsia="Times New Roman" w:cs="Times New Roman"/>
          <w:color w:val="000000" w:themeColor="text1"/>
          <w:kern w:val="24"/>
          <w:lang w:eastAsia="en-GB"/>
        </w:rPr>
        <w:t>26 November 2020</w:t>
      </w:r>
      <w:r w:rsidR="00A61581">
        <w:rPr>
          <w:rFonts w:eastAsia="Times New Roman" w:cs="Times New Roman"/>
          <w:color w:val="000000" w:themeColor="text1"/>
          <w:kern w:val="24"/>
          <w:lang w:eastAsia="en-GB"/>
        </w:rPr>
        <w:t xml:space="preserve">, a </w:t>
      </w:r>
      <w:r w:rsidRPr="00736B75">
        <w:rPr>
          <w:rFonts w:eastAsia="Times New Roman" w:cs="Times New Roman"/>
          <w:i/>
          <w:color w:val="000000" w:themeColor="text1"/>
          <w:kern w:val="24"/>
          <w:lang w:eastAsia="en-GB"/>
        </w:rPr>
        <w:t>Stakeholder</w:t>
      </w:r>
      <w:r w:rsidRPr="00DF1455">
        <w:rPr>
          <w:rFonts w:eastAsia="Times New Roman" w:cs="Times New Roman"/>
          <w:i/>
          <w:color w:val="000000" w:themeColor="text1"/>
          <w:kern w:val="24"/>
          <w:lang w:eastAsia="en-GB"/>
        </w:rPr>
        <w:t xml:space="preserve"> </w:t>
      </w:r>
      <w:r w:rsidRPr="00736B75">
        <w:rPr>
          <w:rFonts w:eastAsia="Times New Roman" w:cs="Times New Roman"/>
          <w:i/>
          <w:color w:val="000000" w:themeColor="text1"/>
          <w:kern w:val="24"/>
          <w:lang w:eastAsia="en-GB"/>
        </w:rPr>
        <w:t>assurance</w:t>
      </w:r>
      <w:r w:rsidRPr="00736B75">
        <w:rPr>
          <w:rFonts w:eastAsia="Times New Roman" w:cs="Times New Roman"/>
          <w:color w:val="000000" w:themeColor="text1"/>
          <w:kern w:val="24"/>
          <w:lang w:eastAsia="en-GB"/>
        </w:rPr>
        <w:t xml:space="preserve"> email fro</w:t>
      </w:r>
      <w:r>
        <w:rPr>
          <w:rFonts w:eastAsia="Times New Roman" w:cs="Times New Roman"/>
          <w:color w:val="000000" w:themeColor="text1"/>
          <w:kern w:val="24"/>
          <w:lang w:eastAsia="en-GB"/>
        </w:rPr>
        <w:t xml:space="preserve">m </w:t>
      </w:r>
      <w:r w:rsidR="00A61581">
        <w:rPr>
          <w:rFonts w:eastAsia="Times New Roman" w:cs="Times New Roman"/>
          <w:color w:val="000000" w:themeColor="text1"/>
          <w:kern w:val="24"/>
          <w:lang w:eastAsia="en-GB"/>
        </w:rPr>
        <w:t xml:space="preserve">the </w:t>
      </w:r>
      <w:r>
        <w:rPr>
          <w:rFonts w:eastAsia="Times New Roman" w:cs="Times New Roman"/>
          <w:color w:val="000000" w:themeColor="text1"/>
          <w:kern w:val="24"/>
          <w:lang w:eastAsia="en-GB"/>
        </w:rPr>
        <w:t>SRO</w:t>
      </w:r>
      <w:r w:rsidR="00A61581">
        <w:rPr>
          <w:rFonts w:eastAsia="Times New Roman" w:cs="Times New Roman"/>
          <w:color w:val="000000" w:themeColor="text1"/>
          <w:kern w:val="24"/>
          <w:lang w:eastAsia="en-GB"/>
        </w:rPr>
        <w:t xml:space="preserve"> Programme Group was </w:t>
      </w:r>
      <w:r>
        <w:rPr>
          <w:rFonts w:eastAsia="Times New Roman" w:cs="Times New Roman"/>
          <w:color w:val="000000" w:themeColor="text1"/>
          <w:kern w:val="24"/>
          <w:lang w:eastAsia="en-GB"/>
        </w:rPr>
        <w:t>cleared and issued.</w:t>
      </w:r>
    </w:p>
    <w:p w14:paraId="1B0F30F7" w14:textId="2A66EDE2" w:rsidR="00BD646A" w:rsidRDefault="00BD646A" w:rsidP="00BD646A">
      <w:pPr>
        <w:ind w:left="851" w:hanging="851"/>
        <w:contextualSpacing/>
        <w:jc w:val="both"/>
        <w:rPr>
          <w:rFonts w:eastAsia="Times New Roman" w:cs="Times New Roman"/>
          <w:color w:val="000000" w:themeColor="text1"/>
          <w:kern w:val="24"/>
          <w:lang w:eastAsia="en-GB"/>
        </w:rPr>
      </w:pPr>
    </w:p>
    <w:p w14:paraId="49C0BEE2" w14:textId="5CB8586B" w:rsidR="00BD646A" w:rsidRPr="00BD646A" w:rsidRDefault="00BD646A" w:rsidP="00BD646A">
      <w:pPr>
        <w:ind w:left="851" w:hanging="851"/>
        <w:contextualSpacing/>
        <w:jc w:val="both"/>
        <w:rPr>
          <w:rFonts w:eastAsia="Times New Roman" w:cs="Times New Roman"/>
          <w:lang w:eastAsia="en-GB"/>
        </w:rPr>
      </w:pPr>
      <w:r>
        <w:rPr>
          <w:rFonts w:eastAsia="Times New Roman" w:cs="Times New Roman"/>
          <w:color w:val="000000" w:themeColor="text1"/>
          <w:kern w:val="24"/>
          <w:lang w:eastAsia="en-GB"/>
        </w:rPr>
        <w:t>6.</w:t>
      </w:r>
      <w:r w:rsidR="008809B1">
        <w:rPr>
          <w:rFonts w:eastAsia="Times New Roman" w:cs="Times New Roman"/>
          <w:color w:val="000000" w:themeColor="text1"/>
          <w:kern w:val="24"/>
          <w:lang w:eastAsia="en-GB"/>
        </w:rPr>
        <w:t>3.5</w:t>
      </w:r>
      <w:r>
        <w:rPr>
          <w:rFonts w:eastAsia="Times New Roman" w:cs="Times New Roman"/>
          <w:color w:val="000000" w:themeColor="text1"/>
          <w:kern w:val="24"/>
          <w:lang w:eastAsia="en-GB"/>
        </w:rPr>
        <w:tab/>
      </w:r>
      <w:r w:rsidR="00A61581">
        <w:rPr>
          <w:rFonts w:eastAsia="Times New Roman" w:cs="Times New Roman"/>
          <w:color w:val="000000" w:themeColor="text1"/>
          <w:kern w:val="24"/>
          <w:lang w:eastAsia="en-GB"/>
        </w:rPr>
        <w:t xml:space="preserve">On </w:t>
      </w:r>
      <w:r>
        <w:rPr>
          <w:rFonts w:eastAsia="Times New Roman" w:cs="Times New Roman"/>
          <w:color w:val="000000" w:themeColor="text1"/>
          <w:kern w:val="24"/>
          <w:lang w:eastAsia="en-GB"/>
        </w:rPr>
        <w:t>9 December 2020</w:t>
      </w:r>
      <w:r w:rsidR="00A61581">
        <w:rPr>
          <w:rFonts w:eastAsia="Times New Roman" w:cs="Times New Roman"/>
          <w:color w:val="000000" w:themeColor="text1"/>
          <w:kern w:val="24"/>
          <w:lang w:eastAsia="en-GB"/>
        </w:rPr>
        <w:t xml:space="preserve">, the </w:t>
      </w:r>
      <w:r w:rsidRPr="00736B75">
        <w:rPr>
          <w:rFonts w:eastAsia="Times New Roman" w:cs="Times New Roman"/>
          <w:i/>
          <w:color w:val="000000" w:themeColor="text1"/>
          <w:kern w:val="24"/>
          <w:lang w:eastAsia="en-GB"/>
        </w:rPr>
        <w:t>No Deal Communications’ Plan</w:t>
      </w:r>
      <w:r w:rsidRPr="00736B75">
        <w:rPr>
          <w:rFonts w:eastAsia="Times New Roman" w:cs="Times New Roman"/>
          <w:color w:val="000000" w:themeColor="text1"/>
          <w:kern w:val="24"/>
          <w:lang w:eastAsia="en-GB"/>
        </w:rPr>
        <w:t xml:space="preserve"> </w:t>
      </w:r>
      <w:r w:rsidR="00A61581">
        <w:rPr>
          <w:rFonts w:eastAsia="Times New Roman" w:cs="Times New Roman"/>
          <w:color w:val="000000" w:themeColor="text1"/>
          <w:kern w:val="24"/>
          <w:lang w:eastAsia="en-GB"/>
        </w:rPr>
        <w:t xml:space="preserve">was </w:t>
      </w:r>
      <w:r w:rsidRPr="00736B75">
        <w:rPr>
          <w:rFonts w:eastAsia="Times New Roman" w:cs="Times New Roman"/>
          <w:color w:val="000000" w:themeColor="text1"/>
          <w:kern w:val="24"/>
          <w:lang w:eastAsia="en-GB"/>
        </w:rPr>
        <w:t>revis</w:t>
      </w:r>
      <w:r>
        <w:rPr>
          <w:rFonts w:eastAsia="Times New Roman" w:cs="Times New Roman"/>
          <w:color w:val="000000" w:themeColor="text1"/>
          <w:kern w:val="24"/>
          <w:lang w:eastAsia="en-GB"/>
        </w:rPr>
        <w:t xml:space="preserve">ed and received at </w:t>
      </w:r>
      <w:r w:rsidR="00A61581">
        <w:rPr>
          <w:rFonts w:eastAsia="Times New Roman" w:cs="Times New Roman"/>
          <w:color w:val="000000" w:themeColor="text1"/>
          <w:kern w:val="24"/>
          <w:lang w:eastAsia="en-GB"/>
        </w:rPr>
        <w:t xml:space="preserve">the </w:t>
      </w:r>
      <w:r>
        <w:rPr>
          <w:rFonts w:eastAsia="Times New Roman" w:cs="Times New Roman"/>
          <w:color w:val="000000" w:themeColor="text1"/>
          <w:kern w:val="24"/>
          <w:lang w:eastAsia="en-GB"/>
        </w:rPr>
        <w:t>SRO Programme Group.</w:t>
      </w:r>
    </w:p>
    <w:p w14:paraId="4AE578AF" w14:textId="71ABB367" w:rsidR="00BD646A" w:rsidRPr="00BD646A" w:rsidRDefault="00BD646A" w:rsidP="00BD646A">
      <w:pPr>
        <w:rPr>
          <w:b/>
          <w:color w:val="000000" w:themeColor="text1"/>
        </w:rPr>
      </w:pPr>
    </w:p>
    <w:p w14:paraId="39EEEA93" w14:textId="0624784F" w:rsidR="00BD646A" w:rsidRDefault="00BD646A" w:rsidP="00BD646A">
      <w:pPr>
        <w:ind w:left="851" w:hanging="851"/>
        <w:contextualSpacing/>
        <w:jc w:val="both"/>
      </w:pPr>
      <w:r>
        <w:rPr>
          <w:rFonts w:eastAsia="Verdana" w:cs="Verdana"/>
          <w:color w:val="000000" w:themeColor="text1"/>
          <w:kern w:val="24"/>
          <w:lang w:eastAsia="en-GB"/>
        </w:rPr>
        <w:t>6.</w:t>
      </w:r>
      <w:r w:rsidR="008809B1">
        <w:rPr>
          <w:rFonts w:eastAsia="Verdana" w:cs="Verdana"/>
          <w:color w:val="000000" w:themeColor="text1"/>
          <w:kern w:val="24"/>
          <w:lang w:eastAsia="en-GB"/>
        </w:rPr>
        <w:t>3.6</w:t>
      </w:r>
      <w:r w:rsidRPr="003F207A">
        <w:rPr>
          <w:rFonts w:eastAsia="Verdana" w:cs="Verdana"/>
          <w:color w:val="000000" w:themeColor="text1"/>
          <w:kern w:val="24"/>
          <w:lang w:eastAsia="en-GB"/>
        </w:rPr>
        <w:tab/>
      </w:r>
      <w:r>
        <w:rPr>
          <w:rFonts w:eastAsia="Verdana" w:cs="Verdana"/>
          <w:color w:val="000000" w:themeColor="text1"/>
          <w:kern w:val="24"/>
          <w:lang w:eastAsia="en-GB"/>
        </w:rPr>
        <w:t xml:space="preserve">On 9 December 2020, the SRO Programme Group received a copy of the </w:t>
      </w:r>
      <w:r w:rsidRPr="005C7A18">
        <w:rPr>
          <w:i/>
        </w:rPr>
        <w:t>Brexit (D20) Command &amp; Control and Reporting Arrangements</w:t>
      </w:r>
      <w:r>
        <w:t xml:space="preserve"> drafted by the Public Health Wales Business Continuity and Emergency Planning Team.  It was agreed this paper would be submitted to Gold on 10 December when the recommendations were accepted and implemented.</w:t>
      </w:r>
    </w:p>
    <w:p w14:paraId="026D6A7F" w14:textId="64A77F61" w:rsidR="00BD646A" w:rsidRDefault="00BD646A" w:rsidP="00BD646A">
      <w:pPr>
        <w:ind w:left="851" w:hanging="851"/>
        <w:contextualSpacing/>
        <w:jc w:val="both"/>
      </w:pPr>
    </w:p>
    <w:p w14:paraId="10E24973" w14:textId="45CB4CDC" w:rsidR="00BD646A" w:rsidRPr="003F207A" w:rsidRDefault="00BD646A" w:rsidP="00BD646A">
      <w:pPr>
        <w:ind w:left="851" w:hanging="851"/>
        <w:contextualSpacing/>
        <w:jc w:val="both"/>
        <w:rPr>
          <w:rFonts w:eastAsia="Verdana" w:cs="Verdana"/>
          <w:color w:val="000000" w:themeColor="text1"/>
          <w:kern w:val="24"/>
          <w:lang w:eastAsia="en-GB"/>
        </w:rPr>
      </w:pPr>
      <w:r>
        <w:rPr>
          <w:rFonts w:eastAsia="Verdana" w:cs="Verdana"/>
          <w:color w:val="000000" w:themeColor="text1"/>
          <w:kern w:val="24"/>
          <w:lang w:eastAsia="en-GB"/>
        </w:rPr>
        <w:t>6.</w:t>
      </w:r>
      <w:r w:rsidR="008809B1">
        <w:rPr>
          <w:rFonts w:eastAsia="Verdana" w:cs="Verdana"/>
          <w:color w:val="000000" w:themeColor="text1"/>
          <w:kern w:val="24"/>
          <w:lang w:eastAsia="en-GB"/>
        </w:rPr>
        <w:t>3.7</w:t>
      </w:r>
      <w:r>
        <w:rPr>
          <w:rFonts w:eastAsia="Verdana" w:cs="Verdana"/>
          <w:color w:val="000000" w:themeColor="text1"/>
          <w:kern w:val="24"/>
          <w:lang w:eastAsia="en-GB"/>
        </w:rPr>
        <w:tab/>
        <w:t>T</w:t>
      </w:r>
      <w:r w:rsidRPr="003F207A">
        <w:rPr>
          <w:rFonts w:eastAsia="Verdana" w:cs="Verdana"/>
          <w:color w:val="000000" w:themeColor="text1"/>
          <w:kern w:val="24"/>
          <w:lang w:eastAsia="en-GB"/>
        </w:rPr>
        <w:t xml:space="preserve">he Programme </w:t>
      </w:r>
      <w:r>
        <w:rPr>
          <w:rFonts w:eastAsia="Verdana" w:cs="Verdana"/>
          <w:color w:val="000000" w:themeColor="text1"/>
          <w:kern w:val="24"/>
          <w:lang w:eastAsia="en-GB"/>
        </w:rPr>
        <w:t xml:space="preserve">therefore </w:t>
      </w:r>
      <w:r w:rsidRPr="003F207A">
        <w:rPr>
          <w:rFonts w:eastAsia="Verdana" w:cs="Verdana"/>
          <w:color w:val="000000" w:themeColor="text1"/>
          <w:kern w:val="24"/>
          <w:lang w:eastAsia="en-GB"/>
        </w:rPr>
        <w:t>moved into response mode on 24 December and was overseen by the COVID-19 Gold Group in line with the integrated arrangements put in place by Local Resilience Forums.</w:t>
      </w:r>
    </w:p>
    <w:p w14:paraId="54286F4F" w14:textId="77777777" w:rsidR="00BD646A" w:rsidRPr="003F207A" w:rsidRDefault="00BD646A" w:rsidP="00BD646A">
      <w:pPr>
        <w:ind w:left="851" w:hanging="851"/>
        <w:contextualSpacing/>
        <w:jc w:val="both"/>
        <w:rPr>
          <w:rFonts w:eastAsia="Verdana" w:cs="Verdana"/>
          <w:color w:val="000000" w:themeColor="text1"/>
          <w:kern w:val="24"/>
          <w:lang w:eastAsia="en-GB"/>
        </w:rPr>
      </w:pPr>
    </w:p>
    <w:p w14:paraId="2E42FBD2" w14:textId="5ABB4A53" w:rsidR="00BD646A" w:rsidRPr="00070A59" w:rsidRDefault="008809B1" w:rsidP="00BD646A">
      <w:pPr>
        <w:ind w:left="851" w:hanging="851"/>
        <w:contextualSpacing/>
        <w:jc w:val="both"/>
        <w:rPr>
          <w:rFonts w:eastAsia="Verdana" w:cs="Verdana"/>
          <w:b/>
          <w:color w:val="000000" w:themeColor="text1"/>
          <w:kern w:val="24"/>
          <w:lang w:eastAsia="en-GB"/>
        </w:rPr>
      </w:pPr>
      <w:r>
        <w:rPr>
          <w:rFonts w:eastAsia="Verdana" w:cs="Verdana"/>
          <w:color w:val="000000" w:themeColor="text1"/>
          <w:kern w:val="24"/>
          <w:lang w:eastAsia="en-GB"/>
        </w:rPr>
        <w:t>6.3.8</w:t>
      </w:r>
      <w:r w:rsidR="00BD646A" w:rsidRPr="003F207A">
        <w:rPr>
          <w:rFonts w:eastAsia="Verdana" w:cs="Verdana"/>
          <w:b/>
          <w:color w:val="000000" w:themeColor="text1"/>
          <w:kern w:val="24"/>
          <w:lang w:eastAsia="en-GB"/>
        </w:rPr>
        <w:tab/>
      </w:r>
      <w:r w:rsidR="00B46BB7">
        <w:rPr>
          <w:rFonts w:eastAsia="Verdana" w:cs="Verdana"/>
          <w:color w:val="000000" w:themeColor="text1"/>
          <w:kern w:val="24"/>
          <w:lang w:eastAsia="en-GB"/>
        </w:rPr>
        <w:t>From 1</w:t>
      </w:r>
      <w:r w:rsidR="00423910">
        <w:rPr>
          <w:rFonts w:eastAsia="Verdana" w:cs="Verdana"/>
          <w:color w:val="000000" w:themeColor="text1"/>
          <w:kern w:val="24"/>
          <w:lang w:eastAsia="en-GB"/>
        </w:rPr>
        <w:t xml:space="preserve"> D</w:t>
      </w:r>
      <w:r w:rsidR="00B46BB7">
        <w:rPr>
          <w:rFonts w:eastAsia="Verdana" w:cs="Verdana"/>
          <w:color w:val="000000" w:themeColor="text1"/>
          <w:kern w:val="24"/>
          <w:lang w:eastAsia="en-GB"/>
        </w:rPr>
        <w:t>ecember 2020 (following the retirement of Dr Quentin Sandifer</w:t>
      </w:r>
      <w:r w:rsidR="00423910">
        <w:rPr>
          <w:rFonts w:eastAsia="Verdana" w:cs="Verdana"/>
          <w:color w:val="000000" w:themeColor="text1"/>
          <w:kern w:val="24"/>
          <w:lang w:eastAsia="en-GB"/>
        </w:rPr>
        <w:t>)</w:t>
      </w:r>
      <w:r w:rsidR="00B46BB7">
        <w:rPr>
          <w:rFonts w:eastAsia="Verdana" w:cs="Verdana"/>
          <w:color w:val="000000" w:themeColor="text1"/>
          <w:kern w:val="24"/>
          <w:lang w:eastAsia="en-GB"/>
        </w:rPr>
        <w:t>,</w:t>
      </w:r>
      <w:r w:rsidR="00423910">
        <w:rPr>
          <w:rFonts w:eastAsia="Verdana" w:cs="Verdana"/>
          <w:color w:val="000000" w:themeColor="text1"/>
          <w:kern w:val="24"/>
          <w:lang w:eastAsia="en-GB"/>
        </w:rPr>
        <w:t xml:space="preserve"> </w:t>
      </w:r>
      <w:r w:rsidR="00B46BB7">
        <w:rPr>
          <w:rFonts w:eastAsia="Verdana" w:cs="Verdana"/>
          <w:color w:val="000000" w:themeColor="text1"/>
          <w:kern w:val="24"/>
          <w:lang w:eastAsia="en-GB"/>
        </w:rPr>
        <w:t>Andrew Jones was appointed to the role of Interim Executive Director of Public Health Services and assumes the various lead roles as P</w:t>
      </w:r>
      <w:r w:rsidR="00423910">
        <w:rPr>
          <w:rFonts w:eastAsia="Verdana" w:cs="Verdana"/>
          <w:color w:val="000000" w:themeColor="text1"/>
          <w:kern w:val="24"/>
          <w:lang w:eastAsia="en-GB"/>
        </w:rPr>
        <w:t xml:space="preserve">ublic Health Wales </w:t>
      </w:r>
      <w:r w:rsidR="00B46BB7">
        <w:rPr>
          <w:rFonts w:eastAsia="Verdana" w:cs="Verdana"/>
          <w:color w:val="000000" w:themeColor="text1"/>
          <w:kern w:val="24"/>
          <w:lang w:eastAsia="en-GB"/>
        </w:rPr>
        <w:t xml:space="preserve">Programme SRO, SRO for Wales Health Security </w:t>
      </w:r>
      <w:r w:rsidR="00423910">
        <w:rPr>
          <w:rFonts w:eastAsia="Verdana" w:cs="Verdana"/>
          <w:color w:val="000000" w:themeColor="text1"/>
          <w:kern w:val="24"/>
          <w:lang w:eastAsia="en-GB"/>
        </w:rPr>
        <w:t>S</w:t>
      </w:r>
      <w:r w:rsidR="00B46BB7">
        <w:rPr>
          <w:rFonts w:eastAsia="Verdana" w:cs="Verdana"/>
          <w:color w:val="000000" w:themeColor="text1"/>
          <w:kern w:val="24"/>
          <w:lang w:eastAsia="en-GB"/>
        </w:rPr>
        <w:t xml:space="preserve">ub </w:t>
      </w:r>
      <w:r w:rsidR="00423910">
        <w:rPr>
          <w:rFonts w:eastAsia="Verdana" w:cs="Verdana"/>
          <w:color w:val="000000" w:themeColor="text1"/>
          <w:kern w:val="24"/>
          <w:lang w:eastAsia="en-GB"/>
        </w:rPr>
        <w:t>G</w:t>
      </w:r>
      <w:r w:rsidR="00B46BB7">
        <w:rPr>
          <w:rFonts w:eastAsia="Verdana" w:cs="Verdana"/>
          <w:color w:val="000000" w:themeColor="text1"/>
          <w:kern w:val="24"/>
          <w:lang w:eastAsia="en-GB"/>
        </w:rPr>
        <w:t xml:space="preserve">roup and Strategic Director. </w:t>
      </w:r>
      <w:r w:rsidR="00BD646A" w:rsidRPr="003F207A">
        <w:rPr>
          <w:rFonts w:eastAsia="Verdana" w:cs="Verdana"/>
          <w:color w:val="000000" w:themeColor="text1"/>
          <w:kern w:val="24"/>
          <w:lang w:eastAsia="en-GB"/>
        </w:rPr>
        <w:t xml:space="preserve">The Strategic Director retained oversight of the Brexit response, </w:t>
      </w:r>
      <w:r w:rsidR="00BD646A" w:rsidRPr="00524D02">
        <w:rPr>
          <w:rFonts w:eastAsia="Verdana" w:cs="Verdana"/>
          <w:color w:val="000000" w:themeColor="text1"/>
          <w:kern w:val="24"/>
          <w:lang w:eastAsia="en-GB"/>
        </w:rPr>
        <w:t xml:space="preserve">with support </w:t>
      </w:r>
      <w:r w:rsidR="00BD646A">
        <w:rPr>
          <w:rFonts w:eastAsia="Verdana" w:cs="Verdana"/>
          <w:color w:val="000000" w:themeColor="text1"/>
          <w:kern w:val="24"/>
          <w:lang w:eastAsia="en-GB"/>
        </w:rPr>
        <w:t xml:space="preserve">from the </w:t>
      </w:r>
      <w:r w:rsidR="00BD646A" w:rsidRPr="00524D02">
        <w:rPr>
          <w:rFonts w:eastAsia="Verdana" w:cs="Verdana"/>
          <w:color w:val="000000" w:themeColor="text1"/>
          <w:kern w:val="24"/>
          <w:lang w:eastAsia="en-GB"/>
        </w:rPr>
        <w:t>Emergency Planning and Brexit Programme Team.</w:t>
      </w:r>
      <w:r w:rsidR="00BD646A">
        <w:rPr>
          <w:rFonts w:eastAsia="Verdana" w:cs="Verdana"/>
          <w:color w:val="000000" w:themeColor="text1"/>
          <w:kern w:val="24"/>
          <w:lang w:eastAsia="en-GB"/>
        </w:rPr>
        <w:t xml:space="preserve"> </w:t>
      </w:r>
    </w:p>
    <w:p w14:paraId="5AC38420" w14:textId="77777777" w:rsidR="00BD646A" w:rsidRPr="00524D02" w:rsidRDefault="00BD646A" w:rsidP="00BD646A">
      <w:pPr>
        <w:contextualSpacing/>
        <w:jc w:val="both"/>
        <w:rPr>
          <w:rFonts w:ascii="Times New Roman" w:eastAsia="Times New Roman" w:hAnsi="Times New Roman" w:cs="Times New Roman"/>
          <w:color w:val="000000" w:themeColor="text1"/>
          <w:lang w:eastAsia="en-GB"/>
        </w:rPr>
      </w:pPr>
    </w:p>
    <w:p w14:paraId="19B09B7D" w14:textId="5E312AE5" w:rsidR="00BD646A" w:rsidRPr="00524D02" w:rsidRDefault="00BD646A" w:rsidP="00BD646A">
      <w:pPr>
        <w:ind w:left="851" w:hanging="851"/>
        <w:contextualSpacing/>
        <w:jc w:val="both"/>
        <w:rPr>
          <w:rFonts w:ascii="Times New Roman" w:eastAsia="Times New Roman" w:hAnsi="Times New Roman" w:cs="Times New Roman"/>
          <w:color w:val="000000" w:themeColor="text1"/>
          <w:lang w:eastAsia="en-GB"/>
        </w:rPr>
      </w:pPr>
      <w:r>
        <w:rPr>
          <w:rFonts w:eastAsia="Verdana" w:cs="Verdana"/>
          <w:color w:val="000000" w:themeColor="text1"/>
          <w:kern w:val="24"/>
          <w:lang w:eastAsia="en-GB"/>
        </w:rPr>
        <w:t>6.</w:t>
      </w:r>
      <w:r w:rsidR="008809B1">
        <w:rPr>
          <w:rFonts w:eastAsia="Verdana" w:cs="Verdana"/>
          <w:color w:val="000000" w:themeColor="text1"/>
          <w:kern w:val="24"/>
          <w:lang w:eastAsia="en-GB"/>
        </w:rPr>
        <w:t>3.9</w:t>
      </w:r>
      <w:r>
        <w:rPr>
          <w:rFonts w:eastAsia="Verdana" w:cs="Verdana"/>
          <w:color w:val="000000" w:themeColor="text1"/>
          <w:kern w:val="24"/>
          <w:lang w:eastAsia="en-GB"/>
        </w:rPr>
        <w:tab/>
      </w:r>
      <w:r w:rsidRPr="00524D02">
        <w:rPr>
          <w:rFonts w:eastAsia="Verdana" w:cs="Verdana"/>
          <w:color w:val="000000" w:themeColor="text1"/>
          <w:kern w:val="24"/>
          <w:lang w:eastAsia="en-GB"/>
        </w:rPr>
        <w:t xml:space="preserve">Welsh Government Command </w:t>
      </w:r>
      <w:r>
        <w:rPr>
          <w:rFonts w:eastAsia="Verdana" w:cs="Verdana"/>
          <w:color w:val="000000" w:themeColor="text1"/>
          <w:kern w:val="24"/>
          <w:lang w:eastAsia="en-GB"/>
        </w:rPr>
        <w:t xml:space="preserve">and </w:t>
      </w:r>
      <w:r w:rsidRPr="00524D02">
        <w:rPr>
          <w:rFonts w:eastAsia="Verdana" w:cs="Verdana"/>
          <w:color w:val="000000" w:themeColor="text1"/>
          <w:kern w:val="24"/>
          <w:lang w:eastAsia="en-GB"/>
        </w:rPr>
        <w:t xml:space="preserve">Control </w:t>
      </w:r>
      <w:r>
        <w:rPr>
          <w:rFonts w:eastAsia="Verdana" w:cs="Verdana"/>
          <w:color w:val="000000" w:themeColor="text1"/>
          <w:kern w:val="24"/>
          <w:lang w:eastAsia="en-GB"/>
        </w:rPr>
        <w:t xml:space="preserve">stood </w:t>
      </w:r>
      <w:r w:rsidRPr="00524D02">
        <w:rPr>
          <w:rFonts w:eastAsia="Verdana" w:cs="Verdana"/>
          <w:color w:val="000000" w:themeColor="text1"/>
          <w:kern w:val="24"/>
          <w:lang w:eastAsia="en-GB"/>
        </w:rPr>
        <w:t>up on 28</w:t>
      </w:r>
      <w:r>
        <w:rPr>
          <w:rFonts w:eastAsia="Verdana" w:cs="Verdana"/>
          <w:color w:val="000000" w:themeColor="text1"/>
          <w:kern w:val="24"/>
          <w:lang w:eastAsia="en-GB"/>
        </w:rPr>
        <w:t xml:space="preserve"> </w:t>
      </w:r>
      <w:r w:rsidRPr="00524D02">
        <w:rPr>
          <w:rFonts w:eastAsia="Verdana" w:cs="Verdana"/>
          <w:color w:val="000000" w:themeColor="text1"/>
          <w:kern w:val="24"/>
          <w:lang w:eastAsia="en-GB"/>
        </w:rPr>
        <w:t>December, operating 7 days a week (0</w:t>
      </w:r>
      <w:r>
        <w:rPr>
          <w:rFonts w:eastAsia="Verdana" w:cs="Verdana"/>
          <w:color w:val="000000" w:themeColor="text1"/>
          <w:kern w:val="24"/>
          <w:lang w:eastAsia="en-GB"/>
        </w:rPr>
        <w:t>7:00 to 22:00) with 24 hour on-</w:t>
      </w:r>
      <w:r w:rsidRPr="00524D02">
        <w:rPr>
          <w:rFonts w:eastAsia="Verdana" w:cs="Verdana"/>
          <w:color w:val="000000" w:themeColor="text1"/>
          <w:kern w:val="24"/>
          <w:lang w:eastAsia="en-GB"/>
        </w:rPr>
        <w:t>call availability</w:t>
      </w:r>
      <w:r>
        <w:rPr>
          <w:rFonts w:eastAsia="Verdana" w:cs="Verdana"/>
          <w:color w:val="000000" w:themeColor="text1"/>
          <w:kern w:val="24"/>
          <w:lang w:eastAsia="en-GB"/>
        </w:rPr>
        <w:t xml:space="preserve">.  Public Health Wales submitted </w:t>
      </w:r>
      <w:r w:rsidRPr="005C7A18">
        <w:rPr>
          <w:rFonts w:eastAsia="Verdana" w:cs="Verdana"/>
          <w:i/>
          <w:color w:val="000000" w:themeColor="text1"/>
          <w:kern w:val="24"/>
          <w:lang w:eastAsia="en-GB"/>
        </w:rPr>
        <w:t>daily returns</w:t>
      </w:r>
      <w:r>
        <w:rPr>
          <w:rFonts w:eastAsia="Verdana" w:cs="Verdana"/>
          <w:color w:val="000000" w:themeColor="text1"/>
          <w:kern w:val="24"/>
          <w:lang w:eastAsia="en-GB"/>
        </w:rPr>
        <w:t xml:space="preserve"> in line with the protocol.</w:t>
      </w:r>
    </w:p>
    <w:p w14:paraId="2749D86A" w14:textId="77777777" w:rsidR="00BD646A" w:rsidRDefault="00BD646A" w:rsidP="00BD646A">
      <w:pPr>
        <w:ind w:left="851" w:hanging="851"/>
        <w:contextualSpacing/>
        <w:jc w:val="both"/>
        <w:rPr>
          <w:rFonts w:eastAsia="Verdana" w:cs="Verdana"/>
          <w:color w:val="000000" w:themeColor="text1"/>
          <w:kern w:val="24"/>
          <w:lang w:eastAsia="en-GB"/>
        </w:rPr>
      </w:pPr>
    </w:p>
    <w:p w14:paraId="08CEA686" w14:textId="1904E34D" w:rsidR="00BD646A" w:rsidRDefault="00BD646A" w:rsidP="00BD646A">
      <w:pPr>
        <w:ind w:left="851" w:hanging="851"/>
        <w:contextualSpacing/>
        <w:jc w:val="both"/>
      </w:pPr>
      <w:r>
        <w:rPr>
          <w:rFonts w:eastAsia="Verdana" w:cs="Verdana"/>
          <w:color w:val="000000" w:themeColor="text1"/>
          <w:kern w:val="24"/>
          <w:lang w:eastAsia="en-GB"/>
        </w:rPr>
        <w:t>6.</w:t>
      </w:r>
      <w:r w:rsidR="008809B1">
        <w:rPr>
          <w:rFonts w:eastAsia="Verdana" w:cs="Verdana"/>
          <w:color w:val="000000" w:themeColor="text1"/>
          <w:kern w:val="24"/>
          <w:lang w:eastAsia="en-GB"/>
        </w:rPr>
        <w:t>3.10</w:t>
      </w:r>
      <w:r>
        <w:rPr>
          <w:rFonts w:eastAsia="Verdana" w:cs="Verdana"/>
          <w:color w:val="000000" w:themeColor="text1"/>
          <w:kern w:val="24"/>
          <w:lang w:eastAsia="en-GB"/>
        </w:rPr>
        <w:tab/>
      </w:r>
      <w:r w:rsidRPr="00524D02">
        <w:rPr>
          <w:rFonts w:eastAsia="Verdana" w:cs="Verdana"/>
          <w:color w:val="000000" w:themeColor="text1"/>
          <w:kern w:val="24"/>
          <w:lang w:eastAsia="en-GB"/>
        </w:rPr>
        <w:t>Reporting arrangements to ECC(W) operate</w:t>
      </w:r>
      <w:r>
        <w:rPr>
          <w:rFonts w:eastAsia="Verdana" w:cs="Verdana"/>
          <w:color w:val="000000" w:themeColor="text1"/>
          <w:kern w:val="24"/>
          <w:lang w:eastAsia="en-GB"/>
        </w:rPr>
        <w:t>d</w:t>
      </w:r>
      <w:r w:rsidRPr="00524D02">
        <w:rPr>
          <w:rFonts w:eastAsia="Verdana" w:cs="Verdana"/>
          <w:color w:val="000000" w:themeColor="text1"/>
          <w:kern w:val="24"/>
          <w:lang w:eastAsia="en-GB"/>
        </w:rPr>
        <w:t xml:space="preserve"> 7 days a week </w:t>
      </w:r>
      <w:r>
        <w:rPr>
          <w:rFonts w:eastAsia="Verdana" w:cs="Verdana"/>
          <w:color w:val="000000" w:themeColor="text1"/>
          <w:kern w:val="24"/>
          <w:lang w:eastAsia="en-GB"/>
        </w:rPr>
        <w:t>from 28 December 2020 to 18 January, when the requirement changed to weekly (Thursdays by 3pm).  At present, this requirement still stands</w:t>
      </w:r>
      <w:r w:rsidR="00385398">
        <w:rPr>
          <w:rFonts w:eastAsia="Verdana" w:cs="Verdana"/>
          <w:color w:val="000000" w:themeColor="text1"/>
          <w:kern w:val="24"/>
          <w:lang w:eastAsia="en-GB"/>
        </w:rPr>
        <w:t xml:space="preserve"> and </w:t>
      </w:r>
      <w:r>
        <w:rPr>
          <w:rFonts w:eastAsia="Verdana" w:cs="Verdana"/>
          <w:color w:val="000000" w:themeColor="text1"/>
          <w:kern w:val="24"/>
          <w:lang w:eastAsia="en-GB"/>
        </w:rPr>
        <w:t xml:space="preserve">Public Health Wales </w:t>
      </w:r>
      <w:r w:rsidRPr="00385398">
        <w:rPr>
          <w:rFonts w:eastAsia="Verdana" w:cs="Verdana"/>
          <w:color w:val="000000" w:themeColor="text1"/>
          <w:kern w:val="24"/>
          <w:lang w:eastAsia="en-GB"/>
        </w:rPr>
        <w:t>continues</w:t>
      </w:r>
      <w:r>
        <w:rPr>
          <w:rFonts w:eastAsia="Verdana" w:cs="Verdana"/>
          <w:color w:val="000000" w:themeColor="text1"/>
          <w:kern w:val="24"/>
          <w:lang w:eastAsia="en-GB"/>
        </w:rPr>
        <w:t xml:space="preserve"> to submit </w:t>
      </w:r>
      <w:r w:rsidRPr="005C7A18">
        <w:rPr>
          <w:rFonts w:eastAsia="Verdana" w:cs="Verdana"/>
          <w:i/>
          <w:color w:val="000000" w:themeColor="text1"/>
          <w:kern w:val="24"/>
          <w:lang w:eastAsia="en-GB"/>
        </w:rPr>
        <w:t>weekly returns</w:t>
      </w:r>
      <w:r>
        <w:rPr>
          <w:rFonts w:eastAsia="Verdana" w:cs="Verdana"/>
          <w:color w:val="000000" w:themeColor="text1"/>
          <w:kern w:val="24"/>
          <w:lang w:eastAsia="en-GB"/>
        </w:rPr>
        <w:t xml:space="preserve"> in line with the protocol.</w:t>
      </w:r>
    </w:p>
    <w:p w14:paraId="768F75C4" w14:textId="089A022C" w:rsidR="00B14157" w:rsidRDefault="00B14157" w:rsidP="00BD646A">
      <w:pPr>
        <w:jc w:val="both"/>
        <w:rPr>
          <w:b/>
          <w:lang w:eastAsia="en-GB"/>
        </w:rPr>
      </w:pPr>
    </w:p>
    <w:p w14:paraId="78A5DD68" w14:textId="46FAD9DD" w:rsidR="00B14157" w:rsidRDefault="008809B1" w:rsidP="00B14157">
      <w:pPr>
        <w:ind w:left="851" w:hanging="851"/>
        <w:jc w:val="both"/>
        <w:rPr>
          <w:color w:val="000000" w:themeColor="text1"/>
        </w:rPr>
      </w:pPr>
      <w:r>
        <w:rPr>
          <w:color w:val="000000" w:themeColor="text1"/>
        </w:rPr>
        <w:t>6.3</w:t>
      </w:r>
      <w:r w:rsidR="00B14157">
        <w:rPr>
          <w:color w:val="000000" w:themeColor="text1"/>
        </w:rPr>
        <w:t>.1</w:t>
      </w:r>
      <w:r>
        <w:rPr>
          <w:color w:val="000000" w:themeColor="text1"/>
        </w:rPr>
        <w:t>1</w:t>
      </w:r>
      <w:r w:rsidR="00B14157">
        <w:rPr>
          <w:color w:val="000000" w:themeColor="text1"/>
        </w:rPr>
        <w:tab/>
      </w:r>
      <w:r w:rsidR="00B14157" w:rsidRPr="00F56787">
        <w:rPr>
          <w:color w:val="000000" w:themeColor="text1"/>
        </w:rPr>
        <w:t>31 December 2020</w:t>
      </w:r>
      <w:r w:rsidR="00B14157">
        <w:rPr>
          <w:color w:val="000000" w:themeColor="text1"/>
        </w:rPr>
        <w:t xml:space="preserve"> - </w:t>
      </w:r>
      <w:r w:rsidR="00B14157" w:rsidRPr="00F56787">
        <w:rPr>
          <w:color w:val="000000" w:themeColor="text1"/>
        </w:rPr>
        <w:t xml:space="preserve">it was agreed the UK may access the EU Early Warning and Response System (EWRS) on a case-by-case basis </w:t>
      </w:r>
      <w:r w:rsidR="00B14157">
        <w:rPr>
          <w:color w:val="000000" w:themeColor="text1"/>
        </w:rPr>
        <w:t xml:space="preserve">as </w:t>
      </w:r>
      <w:r w:rsidR="00B14157" w:rsidRPr="00073DEB">
        <w:rPr>
          <w:i/>
          <w:color w:val="000000" w:themeColor="text1"/>
        </w:rPr>
        <w:t>confirmed by Public Health England</w:t>
      </w:r>
      <w:r w:rsidR="00B14157">
        <w:rPr>
          <w:color w:val="000000" w:themeColor="text1"/>
        </w:rPr>
        <w:t>.</w:t>
      </w:r>
    </w:p>
    <w:p w14:paraId="0E2BCCB4" w14:textId="77777777" w:rsidR="00B14157" w:rsidRPr="00F56787" w:rsidRDefault="00B14157" w:rsidP="00B14157">
      <w:pPr>
        <w:ind w:left="851" w:hanging="851"/>
        <w:jc w:val="both"/>
        <w:rPr>
          <w:color w:val="000000" w:themeColor="text1"/>
        </w:rPr>
      </w:pPr>
    </w:p>
    <w:p w14:paraId="4158DAD9" w14:textId="6D5D5BA4" w:rsidR="00B14157" w:rsidRPr="00423910" w:rsidRDefault="008809B1" w:rsidP="00B14157">
      <w:pPr>
        <w:ind w:left="851" w:hanging="851"/>
        <w:jc w:val="both"/>
        <w:rPr>
          <w:color w:val="000000" w:themeColor="text1"/>
        </w:rPr>
      </w:pPr>
      <w:r>
        <w:rPr>
          <w:color w:val="000000" w:themeColor="text1"/>
        </w:rPr>
        <w:t>6.3</w:t>
      </w:r>
      <w:r w:rsidR="00B14157">
        <w:rPr>
          <w:color w:val="000000" w:themeColor="text1"/>
        </w:rPr>
        <w:t>.</w:t>
      </w:r>
      <w:r>
        <w:rPr>
          <w:color w:val="000000" w:themeColor="text1"/>
        </w:rPr>
        <w:t>1</w:t>
      </w:r>
      <w:r w:rsidR="00B14157">
        <w:rPr>
          <w:color w:val="000000" w:themeColor="text1"/>
        </w:rPr>
        <w:t>2</w:t>
      </w:r>
      <w:r w:rsidR="00B14157">
        <w:rPr>
          <w:color w:val="000000" w:themeColor="text1"/>
        </w:rPr>
        <w:tab/>
      </w:r>
      <w:r w:rsidR="00B14157" w:rsidRPr="00F56787">
        <w:rPr>
          <w:color w:val="000000" w:themeColor="text1"/>
        </w:rPr>
        <w:t>EWRS access was immediately granted in respect of COVID-</w:t>
      </w:r>
      <w:r w:rsidR="00B46BB7">
        <w:rPr>
          <w:color w:val="000000" w:themeColor="text1"/>
        </w:rPr>
        <w:t>19</w:t>
      </w:r>
      <w:r w:rsidR="00B14157">
        <w:rPr>
          <w:color w:val="000000" w:themeColor="text1"/>
        </w:rPr>
        <w:t xml:space="preserve"> as  </w:t>
      </w:r>
      <w:r w:rsidR="00B14157" w:rsidRPr="00073DEB">
        <w:rPr>
          <w:i/>
          <w:color w:val="000000" w:themeColor="text1"/>
        </w:rPr>
        <w:t xml:space="preserve">confirmed by </w:t>
      </w:r>
      <w:r w:rsidR="00B46BB7">
        <w:rPr>
          <w:i/>
          <w:color w:val="000000" w:themeColor="text1"/>
        </w:rPr>
        <w:t>the TCA</w:t>
      </w:r>
      <w:r w:rsidR="00B46BB7" w:rsidRPr="00E941C3">
        <w:rPr>
          <w:color w:val="000000" w:themeColor="text1"/>
        </w:rPr>
        <w:t xml:space="preserve"> and implemented by </w:t>
      </w:r>
      <w:r w:rsidR="00B14157" w:rsidRPr="00E941C3">
        <w:rPr>
          <w:color w:val="000000" w:themeColor="text1"/>
        </w:rPr>
        <w:t>Public Health England.</w:t>
      </w:r>
    </w:p>
    <w:p w14:paraId="08D09F49" w14:textId="77777777" w:rsidR="00B14157" w:rsidRPr="00F56787" w:rsidRDefault="00B14157" w:rsidP="00B14157">
      <w:pPr>
        <w:ind w:left="851" w:hanging="851"/>
        <w:jc w:val="both"/>
        <w:rPr>
          <w:color w:val="000000" w:themeColor="text1"/>
        </w:rPr>
      </w:pPr>
    </w:p>
    <w:p w14:paraId="467B6EF0" w14:textId="225A5BBA" w:rsidR="00B14157" w:rsidRDefault="008809B1" w:rsidP="00B14157">
      <w:pPr>
        <w:ind w:left="851" w:hanging="851"/>
        <w:jc w:val="both"/>
        <w:rPr>
          <w:color w:val="000000" w:themeColor="text1"/>
        </w:rPr>
      </w:pPr>
      <w:r>
        <w:rPr>
          <w:color w:val="000000" w:themeColor="text1"/>
        </w:rPr>
        <w:t>6.3</w:t>
      </w:r>
      <w:r w:rsidR="00B14157">
        <w:rPr>
          <w:color w:val="000000" w:themeColor="text1"/>
        </w:rPr>
        <w:t>.</w:t>
      </w:r>
      <w:r>
        <w:rPr>
          <w:color w:val="000000" w:themeColor="text1"/>
        </w:rPr>
        <w:t>1</w:t>
      </w:r>
      <w:r w:rsidR="00B14157">
        <w:rPr>
          <w:color w:val="000000" w:themeColor="text1"/>
        </w:rPr>
        <w:t>3</w:t>
      </w:r>
      <w:r w:rsidR="00B14157">
        <w:rPr>
          <w:color w:val="000000" w:themeColor="text1"/>
        </w:rPr>
        <w:tab/>
      </w:r>
      <w:r w:rsidR="00FE4D29">
        <w:rPr>
          <w:color w:val="000000" w:themeColor="text1"/>
        </w:rPr>
        <w:t xml:space="preserve">It was agreed between the four nations and </w:t>
      </w:r>
      <w:r w:rsidR="00FE4D29">
        <w:rPr>
          <w:i/>
          <w:color w:val="000000" w:themeColor="text1"/>
        </w:rPr>
        <w:t>confirmed by Public Health</w:t>
      </w:r>
      <w:r w:rsidR="00FE4D29" w:rsidRPr="00FE4D29">
        <w:rPr>
          <w:i/>
          <w:color w:val="000000" w:themeColor="text1"/>
        </w:rPr>
        <w:t xml:space="preserve"> England,</w:t>
      </w:r>
      <w:r w:rsidR="00FE4D29" w:rsidRPr="00FE4D29">
        <w:rPr>
          <w:color w:val="000000" w:themeColor="text1"/>
        </w:rPr>
        <w:t xml:space="preserve"> that the </w:t>
      </w:r>
      <w:r w:rsidR="00B14157" w:rsidRPr="00FE4D29">
        <w:rPr>
          <w:color w:val="000000" w:themeColor="text1"/>
        </w:rPr>
        <w:t>Na</w:t>
      </w:r>
      <w:r w:rsidR="00B14157" w:rsidRPr="00F56787">
        <w:rPr>
          <w:color w:val="000000" w:themeColor="text1"/>
        </w:rPr>
        <w:t xml:space="preserve">tional Focal Point link </w:t>
      </w:r>
      <w:r w:rsidR="00B14157">
        <w:rPr>
          <w:color w:val="000000" w:themeColor="text1"/>
        </w:rPr>
        <w:t xml:space="preserve">for the UK </w:t>
      </w:r>
      <w:r w:rsidR="00FE4D29">
        <w:rPr>
          <w:color w:val="000000" w:themeColor="text1"/>
        </w:rPr>
        <w:t xml:space="preserve">would </w:t>
      </w:r>
      <w:r w:rsidR="00B14157" w:rsidRPr="00F56787">
        <w:rPr>
          <w:color w:val="000000" w:themeColor="text1"/>
        </w:rPr>
        <w:t>remain Public Health Engla</w:t>
      </w:r>
      <w:r w:rsidR="00B14157">
        <w:rPr>
          <w:color w:val="000000" w:themeColor="text1"/>
        </w:rPr>
        <w:t>nd</w:t>
      </w:r>
      <w:r w:rsidR="00FE4D29">
        <w:rPr>
          <w:color w:val="000000" w:themeColor="text1"/>
        </w:rPr>
        <w:t>.</w:t>
      </w:r>
    </w:p>
    <w:p w14:paraId="36415334" w14:textId="292B11E4" w:rsidR="00BD646A" w:rsidRDefault="00BD646A" w:rsidP="00B14157">
      <w:pPr>
        <w:ind w:left="851" w:hanging="851"/>
        <w:jc w:val="both"/>
        <w:rPr>
          <w:color w:val="000000" w:themeColor="text1"/>
        </w:rPr>
      </w:pPr>
    </w:p>
    <w:p w14:paraId="745A1005" w14:textId="798CEE31" w:rsidR="00BD646A" w:rsidRPr="00073DEB" w:rsidRDefault="008809B1" w:rsidP="00BD646A">
      <w:pPr>
        <w:ind w:left="851" w:hanging="851"/>
        <w:jc w:val="both"/>
      </w:pPr>
      <w:r>
        <w:t>6.3.14</w:t>
      </w:r>
      <w:r w:rsidR="00BD646A">
        <w:tab/>
      </w:r>
      <w:r w:rsidR="00BD646A" w:rsidRPr="00DD602B">
        <w:t xml:space="preserve">The </w:t>
      </w:r>
      <w:r w:rsidR="00BD646A" w:rsidRPr="00467632">
        <w:rPr>
          <w:i/>
        </w:rPr>
        <w:t>End Stage Report</w:t>
      </w:r>
      <w:r w:rsidR="00BD646A" w:rsidRPr="00DD602B">
        <w:t xml:space="preserve"> against the Welsh Government Public Health Resilience Programme in Wales</w:t>
      </w:r>
      <w:r w:rsidR="00BD646A">
        <w:t xml:space="preserve"> was submitted in January 2021.</w:t>
      </w:r>
    </w:p>
    <w:p w14:paraId="085BC89B" w14:textId="77777777" w:rsidR="00B14157" w:rsidRDefault="00B14157" w:rsidP="00B14157">
      <w:pPr>
        <w:ind w:left="851" w:hanging="851"/>
        <w:jc w:val="both"/>
        <w:rPr>
          <w:color w:val="000000" w:themeColor="text1"/>
        </w:rPr>
      </w:pPr>
    </w:p>
    <w:p w14:paraId="442B8680" w14:textId="67F98C0F" w:rsidR="00B14157" w:rsidRDefault="008809B1" w:rsidP="00B14157">
      <w:pPr>
        <w:ind w:left="851" w:hanging="851"/>
        <w:jc w:val="both"/>
        <w:rPr>
          <w:color w:val="000000" w:themeColor="text1"/>
        </w:rPr>
      </w:pPr>
      <w:r>
        <w:rPr>
          <w:color w:val="000000" w:themeColor="text1"/>
        </w:rPr>
        <w:t>6.3.15</w:t>
      </w:r>
      <w:r w:rsidR="00B14157">
        <w:rPr>
          <w:color w:val="000000" w:themeColor="text1"/>
        </w:rPr>
        <w:tab/>
      </w:r>
      <w:r w:rsidR="00B14157" w:rsidRPr="00DF29BF">
        <w:rPr>
          <w:i/>
          <w:color w:val="000000" w:themeColor="text1"/>
        </w:rPr>
        <w:t>A Trade and Cooperation Agreement on Health Security: Protocol on UK National Focal Point</w:t>
      </w:r>
      <w:r w:rsidR="00B14157" w:rsidRPr="00F56787">
        <w:rPr>
          <w:color w:val="000000" w:themeColor="text1"/>
        </w:rPr>
        <w:t xml:space="preserve"> was agreed </w:t>
      </w:r>
      <w:r w:rsidR="00B14157">
        <w:rPr>
          <w:color w:val="000000" w:themeColor="text1"/>
        </w:rPr>
        <w:t xml:space="preserve">between the four nations in </w:t>
      </w:r>
      <w:r w:rsidR="00B14157" w:rsidRPr="00F56787">
        <w:rPr>
          <w:color w:val="000000" w:themeColor="text1"/>
        </w:rPr>
        <w:t>January 2021</w:t>
      </w:r>
      <w:r w:rsidR="00B14157">
        <w:rPr>
          <w:color w:val="000000" w:themeColor="text1"/>
        </w:rPr>
        <w:t>.</w:t>
      </w:r>
    </w:p>
    <w:p w14:paraId="23AF1703" w14:textId="21937ED3" w:rsidR="00BD646A" w:rsidRDefault="00BD646A" w:rsidP="00B14157">
      <w:pPr>
        <w:ind w:left="851" w:hanging="851"/>
        <w:jc w:val="both"/>
        <w:rPr>
          <w:color w:val="000000" w:themeColor="text1"/>
        </w:rPr>
      </w:pPr>
    </w:p>
    <w:p w14:paraId="3275392C" w14:textId="3B3DE891" w:rsidR="00BD646A" w:rsidRDefault="008809B1" w:rsidP="00B14157">
      <w:pPr>
        <w:ind w:left="851" w:hanging="851"/>
        <w:jc w:val="both"/>
        <w:rPr>
          <w:color w:val="000000" w:themeColor="text1"/>
        </w:rPr>
      </w:pPr>
      <w:r>
        <w:rPr>
          <w:lang w:eastAsia="en-GB"/>
        </w:rPr>
        <w:t>6.3.16</w:t>
      </w:r>
      <w:r>
        <w:rPr>
          <w:lang w:eastAsia="en-GB"/>
        </w:rPr>
        <w:tab/>
      </w:r>
      <w:r w:rsidR="00BD646A">
        <w:rPr>
          <w:lang w:eastAsia="en-GB"/>
        </w:rPr>
        <w:t>In January 2021</w:t>
      </w:r>
      <w:r w:rsidR="00BD646A" w:rsidRPr="00691084">
        <w:rPr>
          <w:lang w:eastAsia="en-GB"/>
        </w:rPr>
        <w:t>,</w:t>
      </w:r>
      <w:r w:rsidR="00BD646A" w:rsidRPr="00073DEB">
        <w:rPr>
          <w:b/>
          <w:lang w:eastAsia="en-GB"/>
        </w:rPr>
        <w:t xml:space="preserve"> </w:t>
      </w:r>
      <w:r w:rsidR="00BD646A">
        <w:rPr>
          <w:lang w:eastAsia="en-GB"/>
        </w:rPr>
        <w:t xml:space="preserve">the SRO Programme Group commissioned </w:t>
      </w:r>
      <w:r w:rsidR="00BD646A" w:rsidRPr="00073DEB">
        <w:rPr>
          <w:rFonts w:eastAsiaTheme="minorEastAsia"/>
          <w:color w:val="000000" w:themeColor="text1"/>
          <w:kern w:val="24"/>
          <w:lang w:eastAsia="en-GB"/>
        </w:rPr>
        <w:t xml:space="preserve">a post TCA position statement from each of the </w:t>
      </w:r>
      <w:r w:rsidR="00BD646A">
        <w:rPr>
          <w:rFonts w:eastAsiaTheme="minorEastAsia"/>
          <w:color w:val="000000" w:themeColor="text1"/>
          <w:kern w:val="24"/>
          <w:lang w:eastAsia="en-GB"/>
        </w:rPr>
        <w:t xml:space="preserve">Programme </w:t>
      </w:r>
      <w:r w:rsidR="00BD646A" w:rsidRPr="00073DEB">
        <w:rPr>
          <w:rFonts w:eastAsiaTheme="minorEastAsia"/>
          <w:color w:val="000000" w:themeColor="text1"/>
          <w:kern w:val="24"/>
          <w:lang w:eastAsia="en-GB"/>
        </w:rPr>
        <w:t xml:space="preserve">workstreams.  The </w:t>
      </w:r>
      <w:r w:rsidR="00BD646A" w:rsidRPr="00073DEB">
        <w:rPr>
          <w:rFonts w:eastAsiaTheme="minorEastAsia"/>
          <w:i/>
          <w:color w:val="000000" w:themeColor="text1"/>
          <w:kern w:val="24"/>
          <w:lang w:eastAsia="en-GB"/>
        </w:rPr>
        <w:t>position statements</w:t>
      </w:r>
      <w:r w:rsidR="00BD646A" w:rsidRPr="00073DEB">
        <w:rPr>
          <w:rFonts w:eastAsiaTheme="minorEastAsia"/>
          <w:color w:val="000000" w:themeColor="text1"/>
          <w:kern w:val="24"/>
          <w:lang w:eastAsia="en-GB"/>
        </w:rPr>
        <w:t xml:space="preserve"> were considered by the SRO Group at its meeting on 10 February</w:t>
      </w:r>
      <w:r w:rsidR="00BD646A">
        <w:rPr>
          <w:rFonts w:eastAsiaTheme="minorEastAsia"/>
          <w:color w:val="000000" w:themeColor="text1"/>
          <w:kern w:val="24"/>
          <w:lang w:eastAsia="en-GB"/>
        </w:rPr>
        <w:t xml:space="preserve"> 2021</w:t>
      </w:r>
      <w:r w:rsidR="00BD646A" w:rsidRPr="00073DEB">
        <w:rPr>
          <w:rFonts w:eastAsiaTheme="minorEastAsia"/>
          <w:color w:val="000000" w:themeColor="text1"/>
          <w:kern w:val="24"/>
          <w:lang w:eastAsia="en-GB"/>
        </w:rPr>
        <w:t>.</w:t>
      </w:r>
    </w:p>
    <w:p w14:paraId="54D3AC13" w14:textId="77777777" w:rsidR="00B14157" w:rsidRPr="00F56787" w:rsidRDefault="00B14157" w:rsidP="00B14157">
      <w:pPr>
        <w:ind w:left="851" w:hanging="851"/>
        <w:jc w:val="both"/>
        <w:rPr>
          <w:color w:val="000000" w:themeColor="text1"/>
        </w:rPr>
      </w:pPr>
    </w:p>
    <w:p w14:paraId="577D2AFE" w14:textId="722304E1" w:rsidR="00B14157" w:rsidRDefault="008809B1" w:rsidP="00B14157">
      <w:pPr>
        <w:ind w:left="851" w:hanging="851"/>
        <w:jc w:val="both"/>
      </w:pPr>
      <w:r>
        <w:rPr>
          <w:color w:val="000000" w:themeColor="text1"/>
        </w:rPr>
        <w:t>6.3</w:t>
      </w:r>
      <w:r w:rsidR="00B14157" w:rsidRPr="006E4289">
        <w:rPr>
          <w:color w:val="000000" w:themeColor="text1"/>
        </w:rPr>
        <w:t>.</w:t>
      </w:r>
      <w:r>
        <w:rPr>
          <w:color w:val="000000" w:themeColor="text1"/>
        </w:rPr>
        <w:t>17</w:t>
      </w:r>
      <w:r w:rsidR="00B14157" w:rsidRPr="006E4289">
        <w:rPr>
          <w:color w:val="000000" w:themeColor="text1"/>
        </w:rPr>
        <w:tab/>
      </w:r>
      <w:r w:rsidR="00B14157">
        <w:rPr>
          <w:color w:val="000000" w:themeColor="text1"/>
        </w:rPr>
        <w:t xml:space="preserve">On </w:t>
      </w:r>
      <w:r w:rsidR="00B14157">
        <w:t xml:space="preserve">19 February 2021, the inaugural meeting of the UK-ECDC MoU Technical Group </w:t>
      </w:r>
      <w:r w:rsidR="00B14157">
        <w:rPr>
          <w:color w:val="000000" w:themeColor="text1"/>
        </w:rPr>
        <w:t xml:space="preserve">(previously the UK Surveillance Task and Finish Group) </w:t>
      </w:r>
      <w:r w:rsidR="00B14157">
        <w:t xml:space="preserve">was held and a </w:t>
      </w:r>
      <w:r w:rsidR="00B14157" w:rsidRPr="00DF29BF">
        <w:rPr>
          <w:i/>
        </w:rPr>
        <w:t>Value of Participation</w:t>
      </w:r>
      <w:r w:rsidR="00B14157">
        <w:t xml:space="preserve"> was submitted by Public Health Wales.</w:t>
      </w:r>
    </w:p>
    <w:p w14:paraId="77E74729" w14:textId="77777777" w:rsidR="00B14157" w:rsidRPr="006E4289" w:rsidRDefault="00B14157" w:rsidP="00B14157">
      <w:pPr>
        <w:ind w:left="851" w:hanging="851"/>
        <w:jc w:val="both"/>
        <w:rPr>
          <w:color w:val="000000" w:themeColor="text1"/>
        </w:rPr>
      </w:pPr>
    </w:p>
    <w:p w14:paraId="7EA1D784" w14:textId="6D89C608" w:rsidR="00B14157" w:rsidRDefault="008809B1" w:rsidP="00B14157">
      <w:pPr>
        <w:ind w:left="851" w:hanging="851"/>
        <w:jc w:val="both"/>
      </w:pPr>
      <w:r>
        <w:t>6.3</w:t>
      </w:r>
      <w:r w:rsidR="00B14157">
        <w:t>.</w:t>
      </w:r>
      <w:r>
        <w:t>18</w:t>
      </w:r>
      <w:r w:rsidR="00B14157">
        <w:tab/>
        <w:t>On 2 March 2021, ECDC and WHO Euro confirmed access to TeSSy for reporting COVID-19 and Influenza data only.</w:t>
      </w:r>
    </w:p>
    <w:p w14:paraId="21D5EB40" w14:textId="77777777" w:rsidR="00B14157" w:rsidRPr="006E4289" w:rsidRDefault="00B14157" w:rsidP="00B14157">
      <w:pPr>
        <w:ind w:left="851" w:hanging="851"/>
        <w:jc w:val="both"/>
        <w:rPr>
          <w:color w:val="000000" w:themeColor="text1"/>
        </w:rPr>
      </w:pPr>
    </w:p>
    <w:p w14:paraId="26AEB950" w14:textId="302A6E03" w:rsidR="00B14157" w:rsidRDefault="008809B1" w:rsidP="00B14157">
      <w:pPr>
        <w:ind w:left="851" w:hanging="851"/>
        <w:jc w:val="both"/>
        <w:rPr>
          <w:color w:val="000000" w:themeColor="text1"/>
        </w:rPr>
      </w:pPr>
      <w:r>
        <w:rPr>
          <w:color w:val="000000" w:themeColor="text1"/>
        </w:rPr>
        <w:t>6.3</w:t>
      </w:r>
      <w:r w:rsidR="00B14157">
        <w:rPr>
          <w:color w:val="000000" w:themeColor="text1"/>
        </w:rPr>
        <w:t>.</w:t>
      </w:r>
      <w:r>
        <w:rPr>
          <w:color w:val="000000" w:themeColor="text1"/>
        </w:rPr>
        <w:t>19</w:t>
      </w:r>
      <w:r w:rsidR="00B14157">
        <w:rPr>
          <w:color w:val="000000" w:themeColor="text1"/>
        </w:rPr>
        <w:tab/>
        <w:t>On 30 March 2021, the inaugural meeting of the UK-ECDC Strategic Forum was held.</w:t>
      </w:r>
    </w:p>
    <w:p w14:paraId="1807FB58" w14:textId="77777777" w:rsidR="00B14157" w:rsidRDefault="00B14157" w:rsidP="00B14157">
      <w:pPr>
        <w:ind w:left="851" w:hanging="851"/>
        <w:jc w:val="both"/>
        <w:rPr>
          <w:color w:val="000000" w:themeColor="text1"/>
        </w:rPr>
      </w:pPr>
    </w:p>
    <w:p w14:paraId="05422B2D" w14:textId="4BCDAEB4" w:rsidR="00B14157" w:rsidRDefault="008809B1" w:rsidP="00B14157">
      <w:pPr>
        <w:ind w:left="851" w:hanging="851"/>
        <w:jc w:val="both"/>
      </w:pPr>
      <w:r>
        <w:rPr>
          <w:color w:val="000000" w:themeColor="text1"/>
        </w:rPr>
        <w:t>6.3.20</w:t>
      </w:r>
      <w:r w:rsidR="00B14157">
        <w:rPr>
          <w:color w:val="000000" w:themeColor="text1"/>
        </w:rPr>
        <w:tab/>
      </w:r>
      <w:r w:rsidR="00B14157" w:rsidRPr="00667151">
        <w:rPr>
          <w:color w:val="000000" w:themeColor="text1"/>
        </w:rPr>
        <w:t xml:space="preserve">A total of </w:t>
      </w:r>
      <w:r w:rsidR="00B14157">
        <w:rPr>
          <w:color w:val="000000" w:themeColor="text1"/>
        </w:rPr>
        <w:t xml:space="preserve">seven </w:t>
      </w:r>
      <w:r w:rsidR="00B14157" w:rsidRPr="00667151">
        <w:rPr>
          <w:i/>
          <w:color w:val="000000" w:themeColor="text1"/>
        </w:rPr>
        <w:t>Health Protection (including Health Securities</w:t>
      </w:r>
      <w:r w:rsidR="00B14157" w:rsidRPr="00C8369E">
        <w:rPr>
          <w:i/>
        </w:rPr>
        <w:t>) Sub Group meetings</w:t>
      </w:r>
      <w:r w:rsidR="00B14157" w:rsidRPr="00C8369E">
        <w:t xml:space="preserve"> were held during Phase II</w:t>
      </w:r>
      <w:r w:rsidR="00B14157">
        <w:t>I</w:t>
      </w:r>
      <w:r w:rsidR="00B14157" w:rsidRPr="00C8369E">
        <w:t xml:space="preserve"> of the Programme.</w:t>
      </w:r>
    </w:p>
    <w:p w14:paraId="132DCC73" w14:textId="77777777" w:rsidR="00BD646A" w:rsidRDefault="00BD646A" w:rsidP="00BD646A">
      <w:pPr>
        <w:jc w:val="both"/>
      </w:pPr>
    </w:p>
    <w:p w14:paraId="1D333C9E" w14:textId="042B5AAD" w:rsidR="00B14157" w:rsidRDefault="00B14157" w:rsidP="008809B1">
      <w:pPr>
        <w:ind w:left="851" w:hanging="851"/>
        <w:jc w:val="both"/>
      </w:pPr>
      <w:r>
        <w:t>6.</w:t>
      </w:r>
      <w:r w:rsidR="008809B1">
        <w:t>3.21</w:t>
      </w:r>
      <w:r>
        <w:tab/>
      </w:r>
      <w:r w:rsidRPr="00EF1DAE">
        <w:t>During Phase I</w:t>
      </w:r>
      <w:r>
        <w:t>II</w:t>
      </w:r>
      <w:r w:rsidRPr="00EF1DAE">
        <w:t xml:space="preserve"> of the Programme</w:t>
      </w:r>
      <w:r>
        <w:t xml:space="preserve"> within Public Health Wales:</w:t>
      </w:r>
    </w:p>
    <w:p w14:paraId="51A945E6" w14:textId="77777777" w:rsidR="00B14157" w:rsidRPr="00942165" w:rsidRDefault="00B14157" w:rsidP="00B14157">
      <w:pPr>
        <w:jc w:val="both"/>
      </w:pPr>
    </w:p>
    <w:p w14:paraId="65EB73DA" w14:textId="77777777" w:rsidR="00B14157" w:rsidRPr="00942165" w:rsidRDefault="00B14157" w:rsidP="00B14157">
      <w:pPr>
        <w:pStyle w:val="ListParagraph"/>
        <w:numPr>
          <w:ilvl w:val="0"/>
          <w:numId w:val="19"/>
        </w:numPr>
        <w:ind w:left="1134"/>
        <w:jc w:val="both"/>
      </w:pPr>
      <w:r>
        <w:t xml:space="preserve">Eleven </w:t>
      </w:r>
      <w:r w:rsidRPr="00467632">
        <w:rPr>
          <w:i/>
        </w:rPr>
        <w:t>SRO Programme Group</w:t>
      </w:r>
      <w:r w:rsidRPr="00942165">
        <w:t xml:space="preserve"> meetings were held</w:t>
      </w:r>
    </w:p>
    <w:p w14:paraId="14C8503C" w14:textId="77777777" w:rsidR="00B14157" w:rsidRPr="008C0983" w:rsidRDefault="00B14157" w:rsidP="00B14157">
      <w:pPr>
        <w:pStyle w:val="ListParagraph"/>
        <w:numPr>
          <w:ilvl w:val="0"/>
          <w:numId w:val="19"/>
        </w:numPr>
        <w:ind w:left="1134"/>
        <w:jc w:val="both"/>
      </w:pPr>
      <w:r w:rsidRPr="008C0983">
        <w:t xml:space="preserve">Six </w:t>
      </w:r>
      <w:r w:rsidRPr="008C0983">
        <w:rPr>
          <w:i/>
        </w:rPr>
        <w:t>reports</w:t>
      </w:r>
      <w:r w:rsidRPr="008C0983">
        <w:t xml:space="preserve"> were submitted to the Business Executive Team</w:t>
      </w:r>
    </w:p>
    <w:p w14:paraId="63BABFB3" w14:textId="77777777" w:rsidR="00B14157" w:rsidRPr="008C0983" w:rsidRDefault="00B14157" w:rsidP="00B14157">
      <w:pPr>
        <w:pStyle w:val="ListParagraph"/>
        <w:numPr>
          <w:ilvl w:val="0"/>
          <w:numId w:val="19"/>
        </w:numPr>
        <w:ind w:left="1134"/>
        <w:jc w:val="both"/>
      </w:pPr>
      <w:r w:rsidRPr="008C0983">
        <w:t xml:space="preserve">Three </w:t>
      </w:r>
      <w:r w:rsidRPr="008C0983">
        <w:rPr>
          <w:i/>
        </w:rPr>
        <w:t>reports</w:t>
      </w:r>
      <w:r w:rsidRPr="008C0983">
        <w:t xml:space="preserve"> were submitted to the Board</w:t>
      </w:r>
    </w:p>
    <w:p w14:paraId="0E590ED2" w14:textId="77777777" w:rsidR="00B14157" w:rsidRPr="008C0983" w:rsidRDefault="00B14157" w:rsidP="00B14157">
      <w:pPr>
        <w:pStyle w:val="ListParagraph"/>
        <w:numPr>
          <w:ilvl w:val="0"/>
          <w:numId w:val="19"/>
        </w:numPr>
        <w:ind w:left="1134"/>
        <w:jc w:val="both"/>
      </w:pPr>
      <w:r w:rsidRPr="008C0983">
        <w:t xml:space="preserve">One </w:t>
      </w:r>
      <w:r w:rsidRPr="008C0983">
        <w:rPr>
          <w:i/>
        </w:rPr>
        <w:t>report</w:t>
      </w:r>
      <w:r w:rsidRPr="008C0983">
        <w:t xml:space="preserve"> was submitted to Gold, and</w:t>
      </w:r>
    </w:p>
    <w:p w14:paraId="099A4B22" w14:textId="77777777" w:rsidR="00B14157" w:rsidRDefault="00B14157" w:rsidP="00B14157">
      <w:pPr>
        <w:pStyle w:val="ListParagraph"/>
        <w:numPr>
          <w:ilvl w:val="0"/>
          <w:numId w:val="19"/>
        </w:numPr>
        <w:ind w:left="1134"/>
        <w:jc w:val="both"/>
      </w:pPr>
      <w:r w:rsidRPr="008C0983">
        <w:t xml:space="preserve">Two </w:t>
      </w:r>
      <w:r w:rsidRPr="008C0983">
        <w:rPr>
          <w:i/>
        </w:rPr>
        <w:t>briefings</w:t>
      </w:r>
      <w:r w:rsidRPr="008C0983">
        <w:t xml:space="preserve"> were provided directly to the Chief Executive on Health Securities’ issues.</w:t>
      </w:r>
    </w:p>
    <w:p w14:paraId="7F411DB5" w14:textId="77777777" w:rsidR="00B14157" w:rsidRDefault="00B14157" w:rsidP="00B14157">
      <w:pPr>
        <w:pStyle w:val="ListParagraph"/>
        <w:ind w:left="1134"/>
        <w:jc w:val="both"/>
      </w:pPr>
    </w:p>
    <w:p w14:paraId="001D981A" w14:textId="27AF029C" w:rsidR="00B14157" w:rsidRPr="003C384B" w:rsidRDefault="00B14157" w:rsidP="00B14157">
      <w:pPr>
        <w:ind w:left="851" w:hanging="851"/>
        <w:jc w:val="both"/>
        <w:rPr>
          <w:b/>
        </w:rPr>
      </w:pPr>
      <w:r>
        <w:rPr>
          <w:rFonts w:eastAsiaTheme="minorEastAsia"/>
          <w:b/>
          <w:lang w:eastAsia="en-GB"/>
        </w:rPr>
        <w:t>6.</w:t>
      </w:r>
      <w:r w:rsidR="008809B1">
        <w:rPr>
          <w:rFonts w:eastAsiaTheme="minorEastAsia"/>
          <w:b/>
          <w:lang w:eastAsia="en-GB"/>
        </w:rPr>
        <w:t>4</w:t>
      </w:r>
      <w:r>
        <w:rPr>
          <w:rFonts w:eastAsiaTheme="minorEastAsia"/>
          <w:b/>
          <w:lang w:eastAsia="en-GB"/>
        </w:rPr>
        <w:tab/>
      </w:r>
      <w:r w:rsidRPr="003C384B">
        <w:rPr>
          <w:rFonts w:eastAsiaTheme="minorEastAsia"/>
          <w:b/>
          <w:lang w:eastAsia="en-GB"/>
        </w:rPr>
        <w:t>Risk</w:t>
      </w:r>
    </w:p>
    <w:p w14:paraId="0A60CDED" w14:textId="77777777" w:rsidR="00B14157" w:rsidRDefault="00B14157" w:rsidP="00B14157">
      <w:pPr>
        <w:ind w:left="851" w:hanging="851"/>
        <w:contextualSpacing/>
        <w:jc w:val="both"/>
        <w:rPr>
          <w:rFonts w:eastAsiaTheme="minorEastAsia"/>
          <w:color w:val="000000" w:themeColor="text1"/>
          <w:kern w:val="24"/>
          <w:lang w:eastAsia="en-GB"/>
        </w:rPr>
      </w:pPr>
    </w:p>
    <w:p w14:paraId="3EC8C495" w14:textId="6777D788" w:rsidR="00B14157" w:rsidRDefault="00B14157" w:rsidP="00B14157">
      <w:pPr>
        <w:ind w:left="851" w:hanging="851"/>
        <w:contextualSpacing/>
        <w:jc w:val="both"/>
        <w:rPr>
          <w:rFonts w:eastAsiaTheme="minorEastAsia"/>
          <w:color w:val="000000" w:themeColor="text1"/>
          <w:kern w:val="24"/>
          <w:lang w:eastAsia="en-GB"/>
        </w:rPr>
      </w:pPr>
      <w:r w:rsidRPr="00DF1455">
        <w:rPr>
          <w:rFonts w:eastAsiaTheme="minorEastAsia"/>
          <w:color w:val="000000" w:themeColor="text1"/>
          <w:kern w:val="24"/>
          <w:lang w:eastAsia="en-GB"/>
        </w:rPr>
        <w:t>6.</w:t>
      </w:r>
      <w:r w:rsidR="008809B1">
        <w:rPr>
          <w:rFonts w:eastAsiaTheme="minorEastAsia"/>
          <w:color w:val="000000" w:themeColor="text1"/>
          <w:kern w:val="24"/>
          <w:lang w:eastAsia="en-GB"/>
        </w:rPr>
        <w:t>4</w:t>
      </w:r>
      <w:r w:rsidRPr="00DF1455">
        <w:rPr>
          <w:rFonts w:eastAsiaTheme="minorEastAsia"/>
          <w:color w:val="000000" w:themeColor="text1"/>
          <w:kern w:val="24"/>
          <w:lang w:eastAsia="en-GB"/>
        </w:rPr>
        <w:t>.1</w:t>
      </w:r>
      <w:r>
        <w:rPr>
          <w:rFonts w:eastAsiaTheme="minorEastAsia"/>
          <w:color w:val="000000" w:themeColor="text1"/>
          <w:kern w:val="24"/>
          <w:lang w:eastAsia="en-GB"/>
        </w:rPr>
        <w:tab/>
        <w:t xml:space="preserve">A </w:t>
      </w:r>
      <w:r w:rsidRPr="007F7676">
        <w:rPr>
          <w:rFonts w:eastAsiaTheme="minorEastAsia"/>
          <w:i/>
          <w:color w:val="000000" w:themeColor="text1"/>
          <w:kern w:val="24"/>
          <w:lang w:eastAsia="en-GB"/>
        </w:rPr>
        <w:t>Risk Log</w:t>
      </w:r>
      <w:r w:rsidRPr="002C15DA">
        <w:rPr>
          <w:rFonts w:eastAsiaTheme="minorEastAsia"/>
          <w:color w:val="000000" w:themeColor="text1"/>
          <w:kern w:val="24"/>
          <w:lang w:eastAsia="en-GB"/>
        </w:rPr>
        <w:t xml:space="preserve"> </w:t>
      </w:r>
      <w:r w:rsidR="00BD646A">
        <w:rPr>
          <w:rFonts w:eastAsiaTheme="minorEastAsia"/>
          <w:color w:val="000000" w:themeColor="text1"/>
          <w:kern w:val="24"/>
          <w:lang w:eastAsia="en-GB"/>
        </w:rPr>
        <w:t>was maintained throughout the length of the P</w:t>
      </w:r>
      <w:r w:rsidRPr="002C15DA">
        <w:rPr>
          <w:rFonts w:eastAsiaTheme="minorEastAsia"/>
          <w:color w:val="000000" w:themeColor="text1"/>
          <w:kern w:val="24"/>
          <w:lang w:eastAsia="en-GB"/>
        </w:rPr>
        <w:t>rogramme</w:t>
      </w:r>
      <w:r>
        <w:rPr>
          <w:rFonts w:eastAsiaTheme="minorEastAsia"/>
          <w:color w:val="000000" w:themeColor="text1"/>
          <w:kern w:val="24"/>
          <w:lang w:eastAsia="en-GB"/>
        </w:rPr>
        <w:t xml:space="preserve"> which </w:t>
      </w:r>
      <w:r w:rsidR="00BD646A">
        <w:rPr>
          <w:rFonts w:eastAsiaTheme="minorEastAsia"/>
          <w:color w:val="000000" w:themeColor="text1"/>
          <w:kern w:val="24"/>
          <w:lang w:eastAsia="en-GB"/>
        </w:rPr>
        <w:t xml:space="preserve">was </w:t>
      </w:r>
      <w:r>
        <w:rPr>
          <w:rFonts w:eastAsiaTheme="minorEastAsia"/>
          <w:color w:val="000000" w:themeColor="text1"/>
          <w:kern w:val="24"/>
          <w:lang w:eastAsia="en-GB"/>
        </w:rPr>
        <w:t xml:space="preserve">regularly reviewed and managed through the Brexit SRO Programme Group.  Residual risks remain which </w:t>
      </w:r>
      <w:r w:rsidR="00BD646A">
        <w:rPr>
          <w:rFonts w:eastAsiaTheme="minorEastAsia"/>
          <w:color w:val="000000" w:themeColor="text1"/>
          <w:kern w:val="24"/>
          <w:lang w:eastAsia="en-GB"/>
        </w:rPr>
        <w:t xml:space="preserve">have been passed to the respective </w:t>
      </w:r>
      <w:r>
        <w:rPr>
          <w:rFonts w:eastAsiaTheme="minorEastAsia"/>
          <w:color w:val="000000" w:themeColor="text1"/>
          <w:kern w:val="24"/>
          <w:lang w:eastAsia="en-GB"/>
        </w:rPr>
        <w:t xml:space="preserve">workstream leads and embedded into local risk registers or managed through business continuity plans (‘business as usual’). </w:t>
      </w:r>
    </w:p>
    <w:p w14:paraId="372A54EC" w14:textId="77777777" w:rsidR="00B14157" w:rsidRDefault="00B14157" w:rsidP="00B14157">
      <w:pPr>
        <w:ind w:left="851" w:hanging="851"/>
        <w:contextualSpacing/>
        <w:jc w:val="both"/>
        <w:rPr>
          <w:rFonts w:eastAsiaTheme="minorEastAsia"/>
          <w:color w:val="000000" w:themeColor="text1"/>
          <w:kern w:val="24"/>
          <w:lang w:eastAsia="en-GB"/>
        </w:rPr>
      </w:pPr>
    </w:p>
    <w:p w14:paraId="6E08B341" w14:textId="1F00CC06" w:rsidR="00B14157" w:rsidRDefault="008809B1" w:rsidP="00B14157">
      <w:pPr>
        <w:ind w:left="851" w:hanging="851"/>
        <w:contextualSpacing/>
        <w:jc w:val="both"/>
        <w:rPr>
          <w:rFonts w:eastAsiaTheme="minorEastAsia"/>
          <w:color w:val="000000" w:themeColor="text1"/>
          <w:kern w:val="24"/>
          <w:lang w:eastAsia="en-GB"/>
        </w:rPr>
      </w:pPr>
      <w:r>
        <w:rPr>
          <w:rFonts w:eastAsiaTheme="minorEastAsia"/>
          <w:color w:val="000000" w:themeColor="text1"/>
          <w:kern w:val="24"/>
          <w:lang w:eastAsia="en-GB"/>
        </w:rPr>
        <w:t>6.4</w:t>
      </w:r>
      <w:r w:rsidR="00B14157" w:rsidRPr="007F5794">
        <w:rPr>
          <w:rFonts w:eastAsiaTheme="minorEastAsia"/>
          <w:color w:val="000000" w:themeColor="text1"/>
          <w:kern w:val="24"/>
          <w:lang w:eastAsia="en-GB"/>
        </w:rPr>
        <w:t>.2</w:t>
      </w:r>
      <w:r w:rsidR="00B14157" w:rsidRPr="007F5794">
        <w:rPr>
          <w:rFonts w:eastAsiaTheme="minorEastAsia"/>
          <w:color w:val="000000" w:themeColor="text1"/>
          <w:kern w:val="24"/>
          <w:lang w:eastAsia="en-GB"/>
        </w:rPr>
        <w:tab/>
        <w:t xml:space="preserve">The Public Health Wales </w:t>
      </w:r>
      <w:r w:rsidR="00B14157" w:rsidRPr="007F5794">
        <w:rPr>
          <w:rFonts w:eastAsiaTheme="minorEastAsia"/>
          <w:i/>
          <w:color w:val="000000" w:themeColor="text1"/>
          <w:kern w:val="24"/>
          <w:lang w:eastAsia="en-GB"/>
        </w:rPr>
        <w:t>Corporate Risk Register</w:t>
      </w:r>
      <w:r w:rsidR="00B14157" w:rsidRPr="007F5794">
        <w:rPr>
          <w:rFonts w:eastAsiaTheme="minorEastAsia"/>
          <w:color w:val="000000" w:themeColor="text1"/>
          <w:kern w:val="24"/>
          <w:lang w:eastAsia="en-GB"/>
        </w:rPr>
        <w:t xml:space="preserve"> ha</w:t>
      </w:r>
      <w:r w:rsidR="00BD646A">
        <w:rPr>
          <w:rFonts w:eastAsiaTheme="minorEastAsia"/>
          <w:color w:val="000000" w:themeColor="text1"/>
          <w:kern w:val="24"/>
          <w:lang w:eastAsia="en-GB"/>
        </w:rPr>
        <w:t xml:space="preserve">d </w:t>
      </w:r>
      <w:r w:rsidR="00B14157" w:rsidRPr="007F5794">
        <w:rPr>
          <w:rFonts w:eastAsiaTheme="minorEastAsia"/>
          <w:color w:val="000000" w:themeColor="text1"/>
          <w:kern w:val="24"/>
          <w:lang w:eastAsia="en-GB"/>
        </w:rPr>
        <w:t xml:space="preserve">an overall risk </w:t>
      </w:r>
      <w:r w:rsidR="00BF619B">
        <w:rPr>
          <w:rFonts w:eastAsiaTheme="minorEastAsia"/>
          <w:color w:val="000000" w:themeColor="text1"/>
          <w:kern w:val="24"/>
          <w:lang w:eastAsia="en-GB"/>
        </w:rPr>
        <w:t xml:space="preserve"> in respect of the EU Exit</w:t>
      </w:r>
      <w:r w:rsidR="000B223B">
        <w:rPr>
          <w:rFonts w:eastAsiaTheme="minorEastAsia"/>
          <w:color w:val="000000" w:themeColor="text1"/>
          <w:kern w:val="24"/>
          <w:lang w:eastAsia="en-GB"/>
        </w:rPr>
        <w:t xml:space="preserve"> (reference: Datix reference 916)</w:t>
      </w:r>
      <w:r w:rsidR="00BD646A">
        <w:rPr>
          <w:rFonts w:eastAsiaTheme="minorEastAsia"/>
          <w:color w:val="000000" w:themeColor="text1"/>
          <w:kern w:val="24"/>
          <w:lang w:eastAsia="en-GB"/>
        </w:rPr>
        <w:t xml:space="preserve"> which was de-escalated to Directorates / Divisions in April 2021.</w:t>
      </w:r>
    </w:p>
    <w:p w14:paraId="5ED1B66E" w14:textId="77777777" w:rsidR="00B14157" w:rsidRDefault="00B14157" w:rsidP="00B14157">
      <w:pPr>
        <w:ind w:left="851" w:hanging="851"/>
        <w:contextualSpacing/>
        <w:jc w:val="both"/>
        <w:rPr>
          <w:rFonts w:eastAsiaTheme="minorEastAsia"/>
          <w:color w:val="000000" w:themeColor="text1"/>
          <w:kern w:val="24"/>
          <w:lang w:eastAsia="en-GB"/>
        </w:rPr>
      </w:pPr>
    </w:p>
    <w:p w14:paraId="2E507081" w14:textId="0D0CB0E6" w:rsidR="00B14157" w:rsidRDefault="007E4744" w:rsidP="008809B1">
      <w:pPr>
        <w:pStyle w:val="ListParagraph"/>
        <w:numPr>
          <w:ilvl w:val="0"/>
          <w:numId w:val="36"/>
        </w:numPr>
        <w:ind w:left="851" w:hanging="851"/>
        <w:jc w:val="both"/>
        <w:rPr>
          <w:rFonts w:eastAsiaTheme="minorEastAsia"/>
          <w:b/>
          <w:color w:val="000000" w:themeColor="text1"/>
          <w:kern w:val="24"/>
          <w:lang w:eastAsia="en-GB"/>
        </w:rPr>
      </w:pPr>
      <w:r>
        <w:rPr>
          <w:rFonts w:eastAsiaTheme="minorEastAsia"/>
          <w:b/>
          <w:color w:val="000000" w:themeColor="text1"/>
          <w:kern w:val="24"/>
          <w:lang w:eastAsia="en-GB"/>
        </w:rPr>
        <w:t>ACTION AND ISSUES LOG</w:t>
      </w:r>
    </w:p>
    <w:p w14:paraId="5EF8D6D5" w14:textId="77777777" w:rsidR="0082327B" w:rsidRDefault="0082327B" w:rsidP="0082327B">
      <w:pPr>
        <w:jc w:val="both"/>
        <w:rPr>
          <w:rFonts w:eastAsiaTheme="minorEastAsia"/>
          <w:b/>
          <w:color w:val="000000" w:themeColor="text1"/>
          <w:kern w:val="24"/>
          <w:lang w:eastAsia="en-GB"/>
        </w:rPr>
      </w:pPr>
    </w:p>
    <w:p w14:paraId="0B569EA5" w14:textId="7C980EB1" w:rsidR="00B14157" w:rsidRPr="00283085" w:rsidRDefault="0082327B" w:rsidP="0082327B">
      <w:pPr>
        <w:ind w:left="851" w:hanging="851"/>
        <w:jc w:val="both"/>
        <w:rPr>
          <w:rFonts w:eastAsiaTheme="minorEastAsia"/>
          <w:color w:val="000000" w:themeColor="text1"/>
          <w:kern w:val="24"/>
          <w:lang w:eastAsia="en-GB"/>
        </w:rPr>
      </w:pPr>
      <w:r w:rsidRPr="0082327B">
        <w:rPr>
          <w:rFonts w:eastAsiaTheme="minorEastAsia"/>
          <w:color w:val="000000" w:themeColor="text1"/>
          <w:kern w:val="24"/>
          <w:lang w:eastAsia="en-GB"/>
        </w:rPr>
        <w:t>7.1</w:t>
      </w:r>
      <w:r>
        <w:rPr>
          <w:rFonts w:eastAsiaTheme="minorEastAsia"/>
          <w:color w:val="000000" w:themeColor="text1"/>
          <w:kern w:val="24"/>
          <w:lang w:eastAsia="en-GB"/>
        </w:rPr>
        <w:tab/>
        <w:t xml:space="preserve">An </w:t>
      </w:r>
      <w:r w:rsidRPr="0082327B">
        <w:rPr>
          <w:rFonts w:eastAsiaTheme="minorEastAsia"/>
          <w:i/>
          <w:color w:val="000000" w:themeColor="text1"/>
          <w:kern w:val="24"/>
          <w:lang w:eastAsia="en-GB"/>
        </w:rPr>
        <w:t>Action and Issues Log</w:t>
      </w:r>
      <w:r>
        <w:rPr>
          <w:rFonts w:eastAsiaTheme="minorEastAsia"/>
          <w:color w:val="000000" w:themeColor="text1"/>
          <w:kern w:val="24"/>
          <w:lang w:eastAsia="en-GB"/>
        </w:rPr>
        <w:t xml:space="preserve"> </w:t>
      </w:r>
      <w:r w:rsidR="00BD646A">
        <w:rPr>
          <w:rFonts w:eastAsiaTheme="minorEastAsia"/>
          <w:color w:val="000000" w:themeColor="text1"/>
          <w:kern w:val="24"/>
          <w:lang w:eastAsia="en-GB"/>
        </w:rPr>
        <w:t xml:space="preserve">was </w:t>
      </w:r>
      <w:r>
        <w:rPr>
          <w:rFonts w:eastAsiaTheme="minorEastAsia"/>
          <w:color w:val="000000" w:themeColor="text1"/>
          <w:kern w:val="24"/>
          <w:lang w:eastAsia="en-GB"/>
        </w:rPr>
        <w:t>maintained throughout the length of the Programme.</w:t>
      </w:r>
      <w:r w:rsidR="00BD646A">
        <w:rPr>
          <w:rFonts w:eastAsiaTheme="minorEastAsia"/>
          <w:color w:val="000000" w:themeColor="text1"/>
          <w:kern w:val="24"/>
          <w:lang w:eastAsia="en-GB"/>
        </w:rPr>
        <w:t xml:space="preserve">  O</w:t>
      </w:r>
      <w:r w:rsidR="000B223B">
        <w:rPr>
          <w:rFonts w:eastAsiaTheme="minorEastAsia"/>
          <w:color w:val="000000" w:themeColor="text1"/>
          <w:kern w:val="24"/>
          <w:lang w:eastAsia="en-GB"/>
        </w:rPr>
        <w:t xml:space="preserve">utstanding </w:t>
      </w:r>
      <w:r w:rsidR="00BD646A">
        <w:rPr>
          <w:rFonts w:eastAsiaTheme="minorEastAsia"/>
          <w:color w:val="000000" w:themeColor="text1"/>
          <w:kern w:val="24"/>
          <w:lang w:eastAsia="en-GB"/>
        </w:rPr>
        <w:t xml:space="preserve">actions </w:t>
      </w:r>
      <w:r w:rsidR="000B223B">
        <w:rPr>
          <w:rFonts w:eastAsiaTheme="minorEastAsia"/>
          <w:color w:val="000000" w:themeColor="text1"/>
          <w:kern w:val="24"/>
          <w:lang w:eastAsia="en-GB"/>
        </w:rPr>
        <w:t>were transferred to the relevant Directorates / Divisions’ risk logs for local management on 12 April 2021.</w:t>
      </w:r>
    </w:p>
    <w:p w14:paraId="1510DDAF" w14:textId="77777777" w:rsidR="00B14157" w:rsidRDefault="00B14157" w:rsidP="00B14157">
      <w:pPr>
        <w:ind w:left="851" w:hanging="851"/>
        <w:contextualSpacing/>
        <w:jc w:val="both"/>
        <w:rPr>
          <w:rFonts w:eastAsiaTheme="minorEastAsia"/>
          <w:color w:val="000000" w:themeColor="text1"/>
          <w:kern w:val="24"/>
          <w:lang w:eastAsia="en-GB"/>
        </w:rPr>
      </w:pPr>
    </w:p>
    <w:p w14:paraId="43154FD3" w14:textId="22B6D318" w:rsidR="00B14157" w:rsidRDefault="007E4744" w:rsidP="008809B1">
      <w:pPr>
        <w:pStyle w:val="ListParagraph"/>
        <w:numPr>
          <w:ilvl w:val="0"/>
          <w:numId w:val="36"/>
        </w:numPr>
        <w:ind w:left="851" w:hanging="851"/>
        <w:jc w:val="both"/>
        <w:rPr>
          <w:b/>
        </w:rPr>
      </w:pPr>
      <w:r>
        <w:rPr>
          <w:b/>
        </w:rPr>
        <w:t>PROGRAMME LEGACY</w:t>
      </w:r>
    </w:p>
    <w:p w14:paraId="23A435E9" w14:textId="77777777" w:rsidR="00B14157" w:rsidRDefault="00B14157" w:rsidP="00B14157">
      <w:pPr>
        <w:jc w:val="both"/>
        <w:rPr>
          <w:b/>
        </w:rPr>
      </w:pPr>
    </w:p>
    <w:p w14:paraId="6DB4E077" w14:textId="77777777" w:rsidR="00B14157" w:rsidRDefault="00B14157" w:rsidP="00B14157">
      <w:pPr>
        <w:ind w:left="851" w:hanging="851"/>
        <w:jc w:val="both"/>
        <w:rPr>
          <w:b/>
        </w:rPr>
      </w:pPr>
      <w:r>
        <w:rPr>
          <w:b/>
        </w:rPr>
        <w:t>8.1</w:t>
      </w:r>
      <w:r>
        <w:rPr>
          <w:b/>
        </w:rPr>
        <w:tab/>
        <w:t>End Stage Action Plan</w:t>
      </w:r>
    </w:p>
    <w:p w14:paraId="4F14379B" w14:textId="77777777" w:rsidR="00B14157" w:rsidRDefault="00B14157" w:rsidP="00B14157">
      <w:pPr>
        <w:ind w:left="851" w:hanging="851"/>
        <w:jc w:val="both"/>
        <w:rPr>
          <w:b/>
        </w:rPr>
      </w:pPr>
    </w:p>
    <w:p w14:paraId="55A6113F" w14:textId="342F3E87" w:rsidR="00B14157" w:rsidRDefault="00B14157" w:rsidP="00B14157">
      <w:pPr>
        <w:ind w:left="851" w:hanging="851"/>
        <w:jc w:val="both"/>
      </w:pPr>
      <w:r>
        <w:t>8</w:t>
      </w:r>
      <w:r w:rsidRPr="00AB7FB4">
        <w:t>.1.1</w:t>
      </w:r>
      <w:r>
        <w:tab/>
        <w:t xml:space="preserve">The </w:t>
      </w:r>
      <w:r w:rsidR="00BD646A" w:rsidRPr="00BD646A">
        <w:rPr>
          <w:i/>
        </w:rPr>
        <w:t xml:space="preserve">Programme </w:t>
      </w:r>
      <w:r w:rsidRPr="00BD646A">
        <w:rPr>
          <w:i/>
        </w:rPr>
        <w:t>E</w:t>
      </w:r>
      <w:r>
        <w:rPr>
          <w:i/>
        </w:rPr>
        <w:t>nd Stage A</w:t>
      </w:r>
      <w:r w:rsidRPr="00577555">
        <w:rPr>
          <w:i/>
        </w:rPr>
        <w:t>ction Plan</w:t>
      </w:r>
      <w:r>
        <w:t xml:space="preserve"> capture</w:t>
      </w:r>
      <w:r w:rsidR="00BD646A">
        <w:t xml:space="preserve">d </w:t>
      </w:r>
      <w:r>
        <w:t>specific actions identified by the Programme which need</w:t>
      </w:r>
      <w:r w:rsidR="00BD646A">
        <w:t xml:space="preserve">ed to be followed through and either embedded into ‘business as usual’ or completed.  </w:t>
      </w:r>
      <w:r>
        <w:t>All actions ha</w:t>
      </w:r>
      <w:r w:rsidR="00BD646A">
        <w:t xml:space="preserve">d </w:t>
      </w:r>
      <w:r>
        <w:t>an identified lead</w:t>
      </w:r>
      <w:r w:rsidR="00BD646A">
        <w:t xml:space="preserve"> and were transferred to the relevant Directorate / Division on 12 April 2021.</w:t>
      </w:r>
    </w:p>
    <w:p w14:paraId="5EF072DB" w14:textId="77777777" w:rsidR="00B14157" w:rsidRDefault="00B14157" w:rsidP="00B14157">
      <w:pPr>
        <w:ind w:left="851" w:hanging="851"/>
        <w:jc w:val="both"/>
      </w:pPr>
    </w:p>
    <w:p w14:paraId="497314A6" w14:textId="77777777" w:rsidR="00B14157" w:rsidRPr="00577555" w:rsidRDefault="00B14157" w:rsidP="00B14157">
      <w:pPr>
        <w:ind w:left="851" w:hanging="851"/>
        <w:jc w:val="both"/>
        <w:rPr>
          <w:b/>
        </w:rPr>
      </w:pPr>
      <w:r>
        <w:rPr>
          <w:b/>
        </w:rPr>
        <w:t>8</w:t>
      </w:r>
      <w:r w:rsidRPr="00577555">
        <w:rPr>
          <w:b/>
        </w:rPr>
        <w:t>.2</w:t>
      </w:r>
      <w:r w:rsidRPr="00577555">
        <w:rPr>
          <w:b/>
        </w:rPr>
        <w:tab/>
        <w:t>Meetings specific to EU Exit</w:t>
      </w:r>
    </w:p>
    <w:p w14:paraId="5EEBFD05" w14:textId="77777777" w:rsidR="00B14157" w:rsidRDefault="00B14157" w:rsidP="00B14157">
      <w:pPr>
        <w:ind w:left="851" w:hanging="851"/>
        <w:jc w:val="both"/>
      </w:pPr>
    </w:p>
    <w:p w14:paraId="783B3490" w14:textId="0519EF9F" w:rsidR="00B14157" w:rsidRDefault="00B14157" w:rsidP="00B14157">
      <w:pPr>
        <w:ind w:left="851" w:hanging="851"/>
        <w:jc w:val="both"/>
      </w:pPr>
      <w:r>
        <w:t>8.2.1</w:t>
      </w:r>
      <w:r>
        <w:tab/>
        <w:t xml:space="preserve">A number of meetings, internal and external, have been specific to managing </w:t>
      </w:r>
      <w:r w:rsidR="00BD646A">
        <w:t xml:space="preserve">the </w:t>
      </w:r>
      <w:r>
        <w:t>EU Exit</w:t>
      </w:r>
      <w:r w:rsidR="00BD646A">
        <w:t xml:space="preserve"> Programme and f</w:t>
      </w:r>
      <w:r>
        <w:t xml:space="preserve">or continuity reasons, </w:t>
      </w:r>
      <w:r w:rsidR="00BD646A">
        <w:t xml:space="preserve">may </w:t>
      </w:r>
      <w:r>
        <w:t>continue into 2021 and beyond.</w:t>
      </w:r>
      <w:r w:rsidR="00BD646A">
        <w:t xml:space="preserve">  These are also included in the </w:t>
      </w:r>
      <w:r w:rsidR="00BD646A" w:rsidRPr="00BD646A">
        <w:rPr>
          <w:i/>
        </w:rPr>
        <w:t>Programme End Stage Action Plan</w:t>
      </w:r>
      <w:r w:rsidR="00BD646A">
        <w:t>.</w:t>
      </w:r>
    </w:p>
    <w:p w14:paraId="4F0A4ACD" w14:textId="77777777" w:rsidR="00BD646A" w:rsidRDefault="00BD646A" w:rsidP="00B14157">
      <w:pPr>
        <w:ind w:left="851" w:hanging="851"/>
        <w:jc w:val="both"/>
      </w:pPr>
    </w:p>
    <w:p w14:paraId="125C6749" w14:textId="1194EEC5" w:rsidR="00B14157" w:rsidRDefault="00B14157" w:rsidP="00B14157">
      <w:pPr>
        <w:ind w:left="851" w:hanging="851"/>
        <w:jc w:val="both"/>
        <w:rPr>
          <w:color w:val="000000" w:themeColor="text1"/>
        </w:rPr>
      </w:pPr>
      <w:r>
        <w:rPr>
          <w:b/>
          <w:color w:val="000000" w:themeColor="text1"/>
        </w:rPr>
        <w:t>8.3</w:t>
      </w:r>
      <w:r w:rsidRPr="00193A98">
        <w:rPr>
          <w:b/>
          <w:color w:val="000000" w:themeColor="text1"/>
        </w:rPr>
        <w:tab/>
        <w:t>The UK Health Protection Non-Legislative Framework</w:t>
      </w:r>
    </w:p>
    <w:p w14:paraId="7DF30F71" w14:textId="77777777" w:rsidR="00B14157" w:rsidRPr="007F7676" w:rsidRDefault="00B14157" w:rsidP="00B14157">
      <w:pPr>
        <w:pStyle w:val="Heading2"/>
        <w:keepLines w:val="0"/>
        <w:spacing w:before="360"/>
        <w:ind w:left="851" w:hanging="851"/>
        <w:jc w:val="both"/>
        <w:rPr>
          <w:rFonts w:ascii="Verdana" w:hAnsi="Verdana" w:cstheme="minorHAnsi"/>
          <w:b/>
          <w:color w:val="000000" w:themeColor="text1"/>
          <w:sz w:val="24"/>
          <w:szCs w:val="24"/>
        </w:rPr>
      </w:pPr>
      <w:r>
        <w:rPr>
          <w:rFonts w:ascii="Verdana" w:hAnsi="Verdana"/>
          <w:color w:val="000000" w:themeColor="text1"/>
          <w:sz w:val="24"/>
          <w:szCs w:val="24"/>
        </w:rPr>
        <w:t>8.3.1</w:t>
      </w:r>
      <w:r>
        <w:rPr>
          <w:rFonts w:ascii="Verdana" w:hAnsi="Verdana"/>
          <w:color w:val="000000" w:themeColor="text1"/>
          <w:sz w:val="24"/>
          <w:szCs w:val="24"/>
        </w:rPr>
        <w:tab/>
        <w:t>W</w:t>
      </w:r>
      <w:r w:rsidRPr="008C0983">
        <w:rPr>
          <w:rFonts w:ascii="Verdana" w:eastAsia="Calibri" w:hAnsi="Verdana"/>
          <w:color w:val="000000" w:themeColor="text1"/>
          <w:sz w:val="24"/>
          <w:szCs w:val="24"/>
        </w:rPr>
        <w:t xml:space="preserve">ork </w:t>
      </w:r>
      <w:r w:rsidRPr="007F7676">
        <w:rPr>
          <w:rFonts w:ascii="Verdana" w:eastAsia="Calibri" w:hAnsi="Verdana"/>
          <w:color w:val="000000" w:themeColor="text1"/>
          <w:sz w:val="24"/>
          <w:szCs w:val="24"/>
        </w:rPr>
        <w:t>commenced on drafting a Health Protection Non-Legislative Framework (NLF) between all four countries in 2019</w:t>
      </w:r>
      <w:r>
        <w:rPr>
          <w:rFonts w:ascii="Verdana" w:eastAsia="Calibri" w:hAnsi="Verdana"/>
          <w:color w:val="000000" w:themeColor="text1"/>
          <w:sz w:val="24"/>
          <w:szCs w:val="24"/>
        </w:rPr>
        <w:t xml:space="preserve"> and resumed during Phase III of the Programme.</w:t>
      </w:r>
    </w:p>
    <w:p w14:paraId="70A45D88" w14:textId="77777777" w:rsidR="00B14157" w:rsidRPr="007F7676" w:rsidRDefault="00B14157" w:rsidP="00B14157">
      <w:pPr>
        <w:pStyle w:val="Heading2"/>
        <w:keepLines w:val="0"/>
        <w:spacing w:before="360"/>
        <w:ind w:left="851" w:hanging="851"/>
        <w:jc w:val="both"/>
        <w:rPr>
          <w:rFonts w:ascii="Verdana" w:eastAsia="Calibri" w:hAnsi="Verdana"/>
          <w:b/>
          <w:color w:val="000000" w:themeColor="text1"/>
          <w:sz w:val="24"/>
          <w:szCs w:val="24"/>
        </w:rPr>
      </w:pPr>
      <w:r>
        <w:rPr>
          <w:rFonts w:ascii="Verdana" w:eastAsia="Calibri" w:hAnsi="Verdana"/>
          <w:color w:val="000000" w:themeColor="text1"/>
          <w:sz w:val="24"/>
          <w:szCs w:val="24"/>
        </w:rPr>
        <w:t>8.3.2</w:t>
      </w:r>
      <w:r w:rsidRPr="007F7676">
        <w:rPr>
          <w:rFonts w:ascii="Verdana" w:eastAsia="Calibri" w:hAnsi="Verdana"/>
          <w:color w:val="000000" w:themeColor="text1"/>
          <w:sz w:val="24"/>
          <w:szCs w:val="24"/>
        </w:rPr>
        <w:tab/>
        <w:t xml:space="preserve">Following submission of the </w:t>
      </w:r>
      <w:r w:rsidRPr="009D76BE">
        <w:rPr>
          <w:rFonts w:ascii="Verdana" w:eastAsia="Calibri" w:hAnsi="Verdana"/>
          <w:i/>
          <w:color w:val="000000" w:themeColor="text1"/>
          <w:sz w:val="24"/>
          <w:szCs w:val="24"/>
        </w:rPr>
        <w:t>Common Framework Outline Agreement</w:t>
      </w:r>
      <w:r w:rsidRPr="007F7676">
        <w:rPr>
          <w:rFonts w:ascii="Verdana" w:eastAsia="Calibri" w:hAnsi="Verdana"/>
          <w:color w:val="000000" w:themeColor="text1"/>
          <w:sz w:val="24"/>
          <w:szCs w:val="24"/>
        </w:rPr>
        <w:t xml:space="preserve"> (CFOA) of the NLF to the Cabinet Office Review and Assessment Panel on 11 November, Project Board agreement was received on 4 December 2020.</w:t>
      </w:r>
    </w:p>
    <w:p w14:paraId="6CA5116E" w14:textId="77777777" w:rsidR="00B14157" w:rsidRPr="007F7676" w:rsidRDefault="00B14157" w:rsidP="00B14157">
      <w:pPr>
        <w:ind w:left="851" w:hanging="851"/>
        <w:rPr>
          <w:color w:val="000000" w:themeColor="text1"/>
        </w:rPr>
      </w:pPr>
    </w:p>
    <w:p w14:paraId="139A9FE0" w14:textId="5B37B1BC" w:rsidR="00B14157" w:rsidRDefault="00B14157" w:rsidP="00B14157">
      <w:pPr>
        <w:ind w:left="851" w:hanging="851"/>
        <w:jc w:val="both"/>
      </w:pPr>
      <w:r>
        <w:rPr>
          <w:color w:val="000000" w:themeColor="text1"/>
        </w:rPr>
        <w:t>8.3.3</w:t>
      </w:r>
      <w:r w:rsidRPr="007F7676">
        <w:rPr>
          <w:color w:val="000000" w:themeColor="text1"/>
        </w:rPr>
        <w:tab/>
      </w:r>
      <w:r>
        <w:rPr>
          <w:color w:val="000000" w:themeColor="text1"/>
        </w:rPr>
        <w:t xml:space="preserve">The </w:t>
      </w:r>
      <w:r w:rsidRPr="007F7676">
        <w:rPr>
          <w:color w:val="000000" w:themeColor="text1"/>
        </w:rPr>
        <w:t xml:space="preserve">CFOA and the Concordat (which </w:t>
      </w:r>
      <w:r w:rsidR="0053333A">
        <w:rPr>
          <w:color w:val="000000" w:themeColor="text1"/>
        </w:rPr>
        <w:t xml:space="preserve">together </w:t>
      </w:r>
      <w:r w:rsidRPr="007F7676">
        <w:rPr>
          <w:color w:val="000000" w:themeColor="text1"/>
        </w:rPr>
        <w:t>make up the NLF)</w:t>
      </w:r>
      <w:r>
        <w:rPr>
          <w:color w:val="000000" w:themeColor="text1"/>
        </w:rPr>
        <w:t xml:space="preserve"> is expected to </w:t>
      </w:r>
      <w:r w:rsidRPr="007F7676">
        <w:rPr>
          <w:color w:val="000000" w:themeColor="text1"/>
        </w:rPr>
        <w:t xml:space="preserve">go </w:t>
      </w:r>
      <w:r>
        <w:t>through Parliament towards the end of 2021.</w:t>
      </w:r>
      <w:r w:rsidR="00B718AD">
        <w:t xml:space="preserve">  </w:t>
      </w:r>
      <w:r w:rsidR="00EC7415">
        <w:t xml:space="preserve">Further amendment to the Health Protection and Health Security Common Framework have been made following the approval of the TCA and the </w:t>
      </w:r>
      <w:r w:rsidR="00EC7415" w:rsidRPr="00E941C3">
        <w:rPr>
          <w:i/>
        </w:rPr>
        <w:t>draft</w:t>
      </w:r>
      <w:r w:rsidR="00EC7415">
        <w:t xml:space="preserve"> will be published shortly prior to further review by the Joint Ministerial Committee.</w:t>
      </w:r>
    </w:p>
    <w:p w14:paraId="2DF4120B" w14:textId="77777777" w:rsidR="00B14157" w:rsidRDefault="00B14157" w:rsidP="00B14157">
      <w:pPr>
        <w:ind w:left="851" w:hanging="851"/>
        <w:jc w:val="both"/>
      </w:pPr>
    </w:p>
    <w:p w14:paraId="0764F648" w14:textId="4260593B" w:rsidR="00B14157" w:rsidRDefault="00B14157" w:rsidP="00B14157">
      <w:pPr>
        <w:ind w:left="851" w:hanging="851"/>
        <w:jc w:val="both"/>
        <w:rPr>
          <w:rFonts w:cs="Arial"/>
        </w:rPr>
      </w:pPr>
      <w:r>
        <w:t>8.3.4</w:t>
      </w:r>
      <w:r>
        <w:tab/>
      </w:r>
      <w:r w:rsidRPr="00A75B84">
        <w:t xml:space="preserve">The legislative mechanism </w:t>
      </w:r>
      <w:r>
        <w:t xml:space="preserve">of the Framework </w:t>
      </w:r>
      <w:r w:rsidRPr="00A75B84">
        <w:t xml:space="preserve">is via a </w:t>
      </w:r>
      <w:r w:rsidRPr="009D76BE">
        <w:rPr>
          <w:i/>
        </w:rPr>
        <w:t>Statutory Instrument – the Health Security (EU Exit) Regulations 2021</w:t>
      </w:r>
      <w:r>
        <w:t xml:space="preserve">.  </w:t>
      </w:r>
      <w:r w:rsidRPr="00A75B84">
        <w:rPr>
          <w:rFonts w:cs="Arial"/>
        </w:rPr>
        <w:t>T</w:t>
      </w:r>
      <w:r>
        <w:rPr>
          <w:rFonts w:cs="Arial"/>
        </w:rPr>
        <w:t>hese R</w:t>
      </w:r>
      <w:r w:rsidRPr="00A75B84">
        <w:rPr>
          <w:rFonts w:cs="Arial"/>
        </w:rPr>
        <w:t>egulations are subject to further legal drafting amendments</w:t>
      </w:r>
      <w:r w:rsidR="00B718AD">
        <w:rPr>
          <w:rFonts w:cs="Arial"/>
        </w:rPr>
        <w:t xml:space="preserve">.  </w:t>
      </w:r>
      <w:r w:rsidR="00B46BB7">
        <w:rPr>
          <w:rFonts w:cs="Arial"/>
        </w:rPr>
        <w:t xml:space="preserve">Public Health Wales and Welsh Government have reviewed final drafts of the Regulations and submitted comments during April 2021. The Regulations are </w:t>
      </w:r>
      <w:r>
        <w:rPr>
          <w:rFonts w:cs="Arial"/>
        </w:rPr>
        <w:t xml:space="preserve"> due to be laid before </w:t>
      </w:r>
      <w:r w:rsidRPr="00A75B84">
        <w:rPr>
          <w:rFonts w:cs="Arial"/>
        </w:rPr>
        <w:t>the House of Commons</w:t>
      </w:r>
      <w:r>
        <w:rPr>
          <w:rFonts w:cs="Arial"/>
        </w:rPr>
        <w:t xml:space="preserve"> </w:t>
      </w:r>
      <w:r w:rsidR="00B46BB7">
        <w:rPr>
          <w:rFonts w:cs="Arial"/>
        </w:rPr>
        <w:t>imm</w:t>
      </w:r>
      <w:r w:rsidR="00423910">
        <w:rPr>
          <w:rFonts w:cs="Arial"/>
        </w:rPr>
        <w:t>i</w:t>
      </w:r>
      <w:r w:rsidR="00B46BB7">
        <w:rPr>
          <w:rFonts w:cs="Arial"/>
        </w:rPr>
        <w:t>nently.</w:t>
      </w:r>
    </w:p>
    <w:p w14:paraId="4748EA2B" w14:textId="77777777" w:rsidR="00B14157" w:rsidRDefault="00B14157" w:rsidP="00B14157">
      <w:pPr>
        <w:ind w:left="851" w:hanging="851"/>
        <w:jc w:val="both"/>
        <w:rPr>
          <w:rFonts w:cs="Arial"/>
        </w:rPr>
      </w:pPr>
    </w:p>
    <w:p w14:paraId="534C4E6F" w14:textId="3E17C219" w:rsidR="00B14157" w:rsidRPr="008809B1" w:rsidRDefault="00B14157" w:rsidP="008809B1">
      <w:pPr>
        <w:pStyle w:val="ListParagraph"/>
        <w:numPr>
          <w:ilvl w:val="1"/>
          <w:numId w:val="37"/>
        </w:numPr>
        <w:ind w:left="851" w:hanging="851"/>
        <w:jc w:val="both"/>
        <w:rPr>
          <w:rFonts w:cs="Arial"/>
        </w:rPr>
      </w:pPr>
      <w:r w:rsidRPr="008809B1">
        <w:rPr>
          <w:rFonts w:cs="Arial"/>
          <w:b/>
        </w:rPr>
        <w:t xml:space="preserve">Review and refresh of MOU between </w:t>
      </w:r>
      <w:r w:rsidR="00180BBA" w:rsidRPr="008809B1">
        <w:rPr>
          <w:rFonts w:cs="Arial"/>
          <w:b/>
        </w:rPr>
        <w:t>P</w:t>
      </w:r>
      <w:r w:rsidR="00B46BB7">
        <w:rPr>
          <w:rFonts w:cs="Arial"/>
          <w:b/>
        </w:rPr>
        <w:t>ublic Health Wales</w:t>
      </w:r>
      <w:r w:rsidRPr="008809B1">
        <w:rPr>
          <w:rFonts w:cs="Arial"/>
          <w:b/>
        </w:rPr>
        <w:t xml:space="preserve"> / Welsh Government / Public Health England</w:t>
      </w:r>
    </w:p>
    <w:p w14:paraId="3169D7DC" w14:textId="77777777" w:rsidR="00B14157" w:rsidRDefault="00B14157" w:rsidP="00B14157">
      <w:pPr>
        <w:pStyle w:val="ListParagraph"/>
        <w:jc w:val="both"/>
        <w:rPr>
          <w:rFonts w:cs="Arial"/>
          <w:b/>
        </w:rPr>
      </w:pPr>
    </w:p>
    <w:p w14:paraId="448ADD1A" w14:textId="77777777" w:rsidR="00B14157" w:rsidRDefault="00B14157" w:rsidP="008809B1">
      <w:pPr>
        <w:pStyle w:val="ListParagraph"/>
        <w:numPr>
          <w:ilvl w:val="2"/>
          <w:numId w:val="37"/>
        </w:numPr>
        <w:ind w:left="851" w:hanging="851"/>
        <w:jc w:val="both"/>
        <w:rPr>
          <w:rFonts w:cs="Arial"/>
        </w:rPr>
      </w:pPr>
      <w:r>
        <w:rPr>
          <w:rFonts w:cs="Arial"/>
        </w:rPr>
        <w:t>T</w:t>
      </w:r>
      <w:r w:rsidRPr="00193A98">
        <w:rPr>
          <w:rFonts w:cs="Arial"/>
        </w:rPr>
        <w:t>his work is underway and</w:t>
      </w:r>
      <w:r>
        <w:rPr>
          <w:rFonts w:cs="Arial"/>
        </w:rPr>
        <w:t>,</w:t>
      </w:r>
      <w:r w:rsidRPr="00193A98">
        <w:rPr>
          <w:rFonts w:cs="Arial"/>
        </w:rPr>
        <w:t xml:space="preserve"> in line with the NLF referenced above, wi</w:t>
      </w:r>
      <w:r>
        <w:rPr>
          <w:rFonts w:cs="Arial"/>
        </w:rPr>
        <w:t>ll be completed later in 2021.</w:t>
      </w:r>
    </w:p>
    <w:p w14:paraId="1E51018B" w14:textId="77777777" w:rsidR="00B14157" w:rsidRPr="00193A98" w:rsidRDefault="00B14157" w:rsidP="00B14157">
      <w:pPr>
        <w:jc w:val="both"/>
        <w:rPr>
          <w:rFonts w:cs="Arial"/>
        </w:rPr>
      </w:pPr>
    </w:p>
    <w:p w14:paraId="24B4F5D5" w14:textId="77777777" w:rsidR="00B14157" w:rsidRPr="00193A98" w:rsidRDefault="00B14157" w:rsidP="008809B1">
      <w:pPr>
        <w:pStyle w:val="ListParagraph"/>
        <w:numPr>
          <w:ilvl w:val="1"/>
          <w:numId w:val="37"/>
        </w:numPr>
        <w:ind w:left="851" w:hanging="851"/>
        <w:jc w:val="both"/>
        <w:rPr>
          <w:rFonts w:cs="Arial"/>
          <w:b/>
        </w:rPr>
      </w:pPr>
      <w:r w:rsidRPr="00193A98">
        <w:rPr>
          <w:rFonts w:cs="Arial"/>
          <w:b/>
        </w:rPr>
        <w:t>Health Protection (including Health Securities) Sub Group</w:t>
      </w:r>
    </w:p>
    <w:p w14:paraId="4D47B908" w14:textId="77777777" w:rsidR="00B14157" w:rsidRPr="00193A98" w:rsidRDefault="00B14157" w:rsidP="00B14157">
      <w:pPr>
        <w:pStyle w:val="ListParagraph"/>
        <w:ind w:left="420"/>
        <w:jc w:val="both"/>
        <w:rPr>
          <w:rFonts w:cs="Arial"/>
        </w:rPr>
      </w:pPr>
    </w:p>
    <w:p w14:paraId="53923AC7" w14:textId="36105D3B" w:rsidR="00B14157" w:rsidRPr="00193A98" w:rsidRDefault="0053333A" w:rsidP="008809B1">
      <w:pPr>
        <w:pStyle w:val="ListParagraph"/>
        <w:numPr>
          <w:ilvl w:val="2"/>
          <w:numId w:val="37"/>
        </w:numPr>
        <w:ind w:left="851" w:hanging="851"/>
        <w:jc w:val="both"/>
        <w:rPr>
          <w:rFonts w:cs="Arial"/>
          <w:color w:val="000000" w:themeColor="text1"/>
        </w:rPr>
      </w:pPr>
      <w:r>
        <w:rPr>
          <w:rFonts w:cs="Arial"/>
          <w:color w:val="000000" w:themeColor="text1"/>
        </w:rPr>
        <w:t xml:space="preserve">The </w:t>
      </w:r>
      <w:r w:rsidR="00B14157" w:rsidRPr="00193A98">
        <w:rPr>
          <w:rFonts w:cs="Arial"/>
          <w:color w:val="000000" w:themeColor="text1"/>
        </w:rPr>
        <w:t xml:space="preserve">Sub Group will continue to meet </w:t>
      </w:r>
      <w:r>
        <w:rPr>
          <w:rFonts w:cs="Arial"/>
          <w:color w:val="000000" w:themeColor="text1"/>
        </w:rPr>
        <w:t xml:space="preserve">until </w:t>
      </w:r>
      <w:r w:rsidR="00E46761">
        <w:rPr>
          <w:rFonts w:cs="Arial"/>
          <w:color w:val="000000" w:themeColor="text1"/>
        </w:rPr>
        <w:t xml:space="preserve">Summer </w:t>
      </w:r>
      <w:r>
        <w:rPr>
          <w:rFonts w:cs="Arial"/>
          <w:color w:val="000000" w:themeColor="text1"/>
        </w:rPr>
        <w:t xml:space="preserve">2021, in line with the Welsh Government EU Transition Leadership Group.  </w:t>
      </w:r>
      <w:r w:rsidR="00B14157" w:rsidRPr="00193A98">
        <w:rPr>
          <w:color w:val="000000" w:themeColor="text1"/>
        </w:rPr>
        <w:t xml:space="preserve">This work will also now merge into wider </w:t>
      </w:r>
      <w:r w:rsidR="00E46761">
        <w:rPr>
          <w:color w:val="000000" w:themeColor="text1"/>
        </w:rPr>
        <w:t xml:space="preserve">Four </w:t>
      </w:r>
      <w:r w:rsidR="00B14157" w:rsidRPr="00193A98">
        <w:rPr>
          <w:color w:val="000000" w:themeColor="text1"/>
        </w:rPr>
        <w:t>Nation joint working on Health Securities, using the governance structure agreed through the Policy Framework.</w:t>
      </w:r>
      <w:r w:rsidR="00B718AD">
        <w:rPr>
          <w:color w:val="000000" w:themeColor="text1"/>
        </w:rPr>
        <w:t xml:space="preserve">  T</w:t>
      </w:r>
      <w:r w:rsidR="00B14157" w:rsidRPr="00193A98">
        <w:rPr>
          <w:color w:val="000000" w:themeColor="text1"/>
        </w:rPr>
        <w:t xml:space="preserve">his includes the </w:t>
      </w:r>
      <w:r w:rsidR="00E46761">
        <w:rPr>
          <w:color w:val="000000" w:themeColor="text1"/>
        </w:rPr>
        <w:t xml:space="preserve">Four </w:t>
      </w:r>
      <w:r w:rsidR="00B14157" w:rsidRPr="00193A98">
        <w:rPr>
          <w:color w:val="000000" w:themeColor="text1"/>
        </w:rPr>
        <w:t>Nation CMO Group, UK Health Protection Committee (requiremen</w:t>
      </w:r>
      <w:r w:rsidR="00B718AD">
        <w:rPr>
          <w:color w:val="000000" w:themeColor="text1"/>
        </w:rPr>
        <w:t>t for which is included in the R</w:t>
      </w:r>
      <w:r w:rsidR="00B14157" w:rsidRPr="00193A98">
        <w:rPr>
          <w:color w:val="000000" w:themeColor="text1"/>
        </w:rPr>
        <w:t>egulations)</w:t>
      </w:r>
      <w:r w:rsidR="00B14157">
        <w:rPr>
          <w:color w:val="000000" w:themeColor="text1"/>
        </w:rPr>
        <w:t>.</w:t>
      </w:r>
    </w:p>
    <w:p w14:paraId="2BE5BA16" w14:textId="77777777" w:rsidR="00B14157" w:rsidRPr="00193A98" w:rsidRDefault="00B14157" w:rsidP="00B14157">
      <w:pPr>
        <w:jc w:val="both"/>
        <w:rPr>
          <w:rFonts w:cs="Arial"/>
          <w:color w:val="000000" w:themeColor="text1"/>
        </w:rPr>
      </w:pPr>
    </w:p>
    <w:p w14:paraId="2720B702" w14:textId="3F1418B0" w:rsidR="00B14157" w:rsidRPr="0005725C" w:rsidRDefault="00B14157" w:rsidP="008809B1">
      <w:pPr>
        <w:pStyle w:val="ListParagraph"/>
        <w:numPr>
          <w:ilvl w:val="1"/>
          <w:numId w:val="37"/>
        </w:numPr>
        <w:ind w:left="851" w:hanging="851"/>
        <w:jc w:val="both"/>
        <w:rPr>
          <w:color w:val="000000" w:themeColor="text1"/>
        </w:rPr>
      </w:pPr>
      <w:r w:rsidRPr="0005725C">
        <w:rPr>
          <w:b/>
          <w:color w:val="000000" w:themeColor="text1"/>
        </w:rPr>
        <w:t>Four Nations</w:t>
      </w:r>
      <w:r w:rsidR="00E46761">
        <w:rPr>
          <w:b/>
          <w:color w:val="000000" w:themeColor="text1"/>
        </w:rPr>
        <w:t>’</w:t>
      </w:r>
      <w:r w:rsidRPr="0005725C">
        <w:rPr>
          <w:b/>
          <w:color w:val="000000" w:themeColor="text1"/>
        </w:rPr>
        <w:t xml:space="preserve"> H</w:t>
      </w:r>
      <w:r>
        <w:rPr>
          <w:b/>
          <w:color w:val="000000" w:themeColor="text1"/>
        </w:rPr>
        <w:t xml:space="preserve">ealth </w:t>
      </w:r>
      <w:r w:rsidRPr="0005725C">
        <w:rPr>
          <w:b/>
          <w:color w:val="000000" w:themeColor="text1"/>
        </w:rPr>
        <w:t>P</w:t>
      </w:r>
      <w:r>
        <w:rPr>
          <w:b/>
          <w:color w:val="000000" w:themeColor="text1"/>
        </w:rPr>
        <w:t>rotection</w:t>
      </w:r>
      <w:r w:rsidRPr="0005725C">
        <w:rPr>
          <w:b/>
          <w:color w:val="000000" w:themeColor="text1"/>
        </w:rPr>
        <w:t xml:space="preserve"> </w:t>
      </w:r>
      <w:r w:rsidR="00EC7415">
        <w:rPr>
          <w:b/>
          <w:color w:val="000000" w:themeColor="text1"/>
        </w:rPr>
        <w:t xml:space="preserve">EU Transition </w:t>
      </w:r>
      <w:r w:rsidRPr="0005725C">
        <w:rPr>
          <w:b/>
          <w:color w:val="000000" w:themeColor="text1"/>
        </w:rPr>
        <w:t>Working Group</w:t>
      </w:r>
    </w:p>
    <w:p w14:paraId="2D19997A" w14:textId="77777777" w:rsidR="00B14157" w:rsidRDefault="00B14157" w:rsidP="00B14157">
      <w:pPr>
        <w:jc w:val="both"/>
        <w:rPr>
          <w:color w:val="000000" w:themeColor="text1"/>
        </w:rPr>
      </w:pPr>
    </w:p>
    <w:p w14:paraId="4A219751" w14:textId="40FB4048" w:rsidR="00B14157" w:rsidRPr="0005725C" w:rsidRDefault="00B14157" w:rsidP="008809B1">
      <w:pPr>
        <w:pStyle w:val="ListParagraph"/>
        <w:numPr>
          <w:ilvl w:val="2"/>
          <w:numId w:val="37"/>
        </w:numPr>
        <w:ind w:left="851" w:hanging="851"/>
        <w:jc w:val="both"/>
        <w:rPr>
          <w:color w:val="000000" w:themeColor="text1"/>
        </w:rPr>
      </w:pPr>
      <w:r>
        <w:rPr>
          <w:color w:val="000000" w:themeColor="text1"/>
        </w:rPr>
        <w:t xml:space="preserve">This Group </w:t>
      </w:r>
      <w:r w:rsidR="00E46761">
        <w:rPr>
          <w:color w:val="000000" w:themeColor="text1"/>
        </w:rPr>
        <w:t xml:space="preserve">was </w:t>
      </w:r>
      <w:r w:rsidRPr="0005725C">
        <w:rPr>
          <w:color w:val="000000" w:themeColor="text1"/>
        </w:rPr>
        <w:t xml:space="preserve">replaced by the </w:t>
      </w:r>
      <w:r w:rsidR="00EC7415" w:rsidRPr="00B718AD">
        <w:rPr>
          <w:color w:val="000000" w:themeColor="text1"/>
        </w:rPr>
        <w:t xml:space="preserve">Four Nations, </w:t>
      </w:r>
      <w:r w:rsidRPr="00B718AD">
        <w:rPr>
          <w:color w:val="000000" w:themeColor="text1"/>
        </w:rPr>
        <w:t xml:space="preserve">Health Protection  Oversight Group </w:t>
      </w:r>
      <w:r w:rsidRPr="0005725C">
        <w:rPr>
          <w:color w:val="000000" w:themeColor="text1"/>
        </w:rPr>
        <w:t>from 1 April 2021.  Th</w:t>
      </w:r>
      <w:r w:rsidR="00E46761">
        <w:rPr>
          <w:color w:val="000000" w:themeColor="text1"/>
        </w:rPr>
        <w:t xml:space="preserve">is </w:t>
      </w:r>
      <w:r w:rsidRPr="0005725C">
        <w:rPr>
          <w:color w:val="000000" w:themeColor="text1"/>
        </w:rPr>
        <w:t xml:space="preserve">new Group </w:t>
      </w:r>
      <w:r w:rsidR="00E46761">
        <w:rPr>
          <w:color w:val="000000" w:themeColor="text1"/>
        </w:rPr>
        <w:t xml:space="preserve">is </w:t>
      </w:r>
      <w:r w:rsidRPr="0005725C">
        <w:rPr>
          <w:color w:val="000000" w:themeColor="text1"/>
        </w:rPr>
        <w:t xml:space="preserve">chaired by </w:t>
      </w:r>
      <w:r>
        <w:rPr>
          <w:color w:val="000000" w:themeColor="text1"/>
        </w:rPr>
        <w:t xml:space="preserve">the </w:t>
      </w:r>
      <w:r w:rsidRPr="0005725C">
        <w:rPr>
          <w:color w:val="000000" w:themeColor="text1"/>
        </w:rPr>
        <w:t>P</w:t>
      </w:r>
      <w:r>
        <w:rPr>
          <w:color w:val="000000" w:themeColor="text1"/>
        </w:rPr>
        <w:t>ublic Health Wales</w:t>
      </w:r>
      <w:r w:rsidR="00B718AD">
        <w:rPr>
          <w:color w:val="000000" w:themeColor="text1"/>
        </w:rPr>
        <w:t>’</w:t>
      </w:r>
      <w:r>
        <w:rPr>
          <w:color w:val="000000" w:themeColor="text1"/>
        </w:rPr>
        <w:t xml:space="preserve"> </w:t>
      </w:r>
      <w:r w:rsidRPr="0005725C">
        <w:rPr>
          <w:color w:val="000000" w:themeColor="text1"/>
        </w:rPr>
        <w:t xml:space="preserve">Interim Executive Director of Public Health Services </w:t>
      </w:r>
      <w:r w:rsidR="00E46761">
        <w:rPr>
          <w:color w:val="000000" w:themeColor="text1"/>
        </w:rPr>
        <w:t xml:space="preserve">for the first year, </w:t>
      </w:r>
      <w:r w:rsidRPr="0005725C">
        <w:rPr>
          <w:color w:val="000000" w:themeColor="text1"/>
        </w:rPr>
        <w:t>to ensure continuity</w:t>
      </w:r>
      <w:r>
        <w:rPr>
          <w:color w:val="000000" w:themeColor="text1"/>
        </w:rPr>
        <w:t>.</w:t>
      </w:r>
      <w:r w:rsidR="00B718AD">
        <w:rPr>
          <w:color w:val="000000" w:themeColor="text1"/>
        </w:rPr>
        <w:t xml:space="preserve">  </w:t>
      </w:r>
      <w:r w:rsidR="00EC7415">
        <w:rPr>
          <w:color w:val="000000" w:themeColor="text1"/>
        </w:rPr>
        <w:t xml:space="preserve">The inaugural meeting approved </w:t>
      </w:r>
      <w:r w:rsidR="00E46761">
        <w:rPr>
          <w:color w:val="000000" w:themeColor="text1"/>
        </w:rPr>
        <w:t>Terms of Reference</w:t>
      </w:r>
      <w:r w:rsidR="00EC7415">
        <w:rPr>
          <w:color w:val="000000" w:themeColor="text1"/>
        </w:rPr>
        <w:t>, quarterly meeting r</w:t>
      </w:r>
      <w:r w:rsidR="00423910">
        <w:rPr>
          <w:color w:val="000000" w:themeColor="text1"/>
        </w:rPr>
        <w:t>h</w:t>
      </w:r>
      <w:r w:rsidR="00EC7415">
        <w:rPr>
          <w:color w:val="000000" w:themeColor="text1"/>
        </w:rPr>
        <w:t xml:space="preserve">ythm and the establishment of </w:t>
      </w:r>
      <w:r w:rsidR="00B718AD">
        <w:rPr>
          <w:color w:val="000000" w:themeColor="text1"/>
        </w:rPr>
        <w:t xml:space="preserve">a </w:t>
      </w:r>
      <w:r w:rsidR="00EC7415">
        <w:rPr>
          <w:color w:val="000000" w:themeColor="text1"/>
        </w:rPr>
        <w:t>formal work programm</w:t>
      </w:r>
      <w:r w:rsidR="00423910">
        <w:rPr>
          <w:color w:val="000000" w:themeColor="text1"/>
        </w:rPr>
        <w:t>e.</w:t>
      </w:r>
      <w:r w:rsidR="00B718AD">
        <w:rPr>
          <w:color w:val="000000" w:themeColor="text1"/>
        </w:rPr>
        <w:t xml:space="preserve">  </w:t>
      </w:r>
      <w:r w:rsidR="00EC7415">
        <w:rPr>
          <w:color w:val="000000" w:themeColor="text1"/>
        </w:rPr>
        <w:t xml:space="preserve">The </w:t>
      </w:r>
      <w:r w:rsidR="00423910">
        <w:rPr>
          <w:color w:val="000000" w:themeColor="text1"/>
        </w:rPr>
        <w:t>G</w:t>
      </w:r>
      <w:r w:rsidR="00EC7415">
        <w:rPr>
          <w:color w:val="000000" w:themeColor="text1"/>
        </w:rPr>
        <w:t xml:space="preserve">roup will report into the UK Health Protection Committee, which will be established by </w:t>
      </w:r>
      <w:r w:rsidR="00EC7415" w:rsidRPr="009D76BE">
        <w:rPr>
          <w:i/>
        </w:rPr>
        <w:t>the Health Security (EU Exit) Regulations 2021</w:t>
      </w:r>
      <w:r w:rsidR="00B718AD">
        <w:rPr>
          <w:i/>
        </w:rPr>
        <w:t>.</w:t>
      </w:r>
    </w:p>
    <w:p w14:paraId="05B6C889" w14:textId="77777777" w:rsidR="00B14157" w:rsidRPr="0005725C" w:rsidRDefault="00B14157" w:rsidP="00B14157">
      <w:pPr>
        <w:jc w:val="both"/>
        <w:rPr>
          <w:color w:val="000000" w:themeColor="text1"/>
        </w:rPr>
      </w:pPr>
    </w:p>
    <w:p w14:paraId="5037D588" w14:textId="77777777" w:rsidR="00B14157" w:rsidRPr="0005725C" w:rsidRDefault="00B14157" w:rsidP="008809B1">
      <w:pPr>
        <w:pStyle w:val="ListParagraph"/>
        <w:numPr>
          <w:ilvl w:val="1"/>
          <w:numId w:val="37"/>
        </w:numPr>
        <w:ind w:left="851" w:hanging="851"/>
        <w:jc w:val="both"/>
        <w:rPr>
          <w:b/>
          <w:color w:val="000000" w:themeColor="text1"/>
        </w:rPr>
      </w:pPr>
      <w:r w:rsidRPr="0005725C">
        <w:rPr>
          <w:b/>
          <w:color w:val="000000" w:themeColor="text1"/>
        </w:rPr>
        <w:t>EU-UK MOU with ECDC</w:t>
      </w:r>
    </w:p>
    <w:p w14:paraId="0907B13B" w14:textId="77777777" w:rsidR="00B14157" w:rsidRPr="0005725C" w:rsidRDefault="00B14157" w:rsidP="00B14157">
      <w:pPr>
        <w:pStyle w:val="ListParagraph"/>
        <w:jc w:val="both"/>
        <w:rPr>
          <w:rFonts w:cs="Arial"/>
          <w:color w:val="000000" w:themeColor="text1"/>
        </w:rPr>
      </w:pPr>
    </w:p>
    <w:p w14:paraId="0726CA5A" w14:textId="517D81B9" w:rsidR="00B14157" w:rsidRPr="00283085" w:rsidRDefault="00B14157" w:rsidP="008809B1">
      <w:pPr>
        <w:pStyle w:val="ListParagraph"/>
        <w:numPr>
          <w:ilvl w:val="2"/>
          <w:numId w:val="37"/>
        </w:numPr>
        <w:ind w:left="851" w:hanging="851"/>
        <w:jc w:val="both"/>
        <w:rPr>
          <w:rFonts w:cs="Arial"/>
          <w:color w:val="000000" w:themeColor="text1"/>
        </w:rPr>
      </w:pPr>
      <w:r w:rsidRPr="00AE0E93">
        <w:rPr>
          <w:color w:val="000000" w:themeColor="text1"/>
        </w:rPr>
        <w:t>Formal development of the implementation arrangements, described in the UK</w:t>
      </w:r>
      <w:r w:rsidR="00B718AD">
        <w:rPr>
          <w:color w:val="000000" w:themeColor="text1"/>
        </w:rPr>
        <w:t xml:space="preserve"> </w:t>
      </w:r>
      <w:r w:rsidRPr="00AE0E93">
        <w:rPr>
          <w:color w:val="000000" w:themeColor="text1"/>
        </w:rPr>
        <w:t>/</w:t>
      </w:r>
      <w:r w:rsidR="00B718AD">
        <w:rPr>
          <w:color w:val="000000" w:themeColor="text1"/>
        </w:rPr>
        <w:t xml:space="preserve"> </w:t>
      </w:r>
      <w:r w:rsidRPr="00AE0E93">
        <w:rPr>
          <w:color w:val="000000" w:themeColor="text1"/>
        </w:rPr>
        <w:t xml:space="preserve">EU </w:t>
      </w:r>
      <w:r w:rsidR="00B718AD">
        <w:rPr>
          <w:color w:val="000000" w:themeColor="text1"/>
        </w:rPr>
        <w:t xml:space="preserve">TCA </w:t>
      </w:r>
      <w:r w:rsidRPr="00AE0E93">
        <w:rPr>
          <w:color w:val="000000" w:themeColor="text1"/>
        </w:rPr>
        <w:t>continues, notably the development of an EU-UK MOU with ECDC.</w:t>
      </w:r>
      <w:r w:rsidR="00EC7415">
        <w:rPr>
          <w:color w:val="000000" w:themeColor="text1"/>
        </w:rPr>
        <w:t xml:space="preserve"> </w:t>
      </w:r>
      <w:r w:rsidR="00B718AD">
        <w:rPr>
          <w:color w:val="000000" w:themeColor="text1"/>
        </w:rPr>
        <w:t xml:space="preserve"> </w:t>
      </w:r>
      <w:r w:rsidR="00EC7415">
        <w:rPr>
          <w:color w:val="000000" w:themeColor="text1"/>
        </w:rPr>
        <w:t>This work is now overseen by the Oversight Group</w:t>
      </w:r>
      <w:r w:rsidR="00B718AD">
        <w:rPr>
          <w:color w:val="000000" w:themeColor="text1"/>
        </w:rPr>
        <w:t xml:space="preserve"> referenced above</w:t>
      </w:r>
      <w:r w:rsidR="00423910">
        <w:rPr>
          <w:color w:val="000000" w:themeColor="text1"/>
        </w:rPr>
        <w:t>.</w:t>
      </w:r>
    </w:p>
    <w:p w14:paraId="762D8EB9" w14:textId="77777777" w:rsidR="00B14157" w:rsidRPr="00283085" w:rsidRDefault="00B14157" w:rsidP="00B14157">
      <w:pPr>
        <w:pStyle w:val="ListParagraph"/>
        <w:ind w:left="851"/>
        <w:jc w:val="both"/>
        <w:rPr>
          <w:rFonts w:cs="Arial"/>
          <w:color w:val="000000" w:themeColor="text1"/>
        </w:rPr>
      </w:pPr>
    </w:p>
    <w:p w14:paraId="4CC9399B" w14:textId="77777777" w:rsidR="00B14157" w:rsidRPr="00283085" w:rsidRDefault="00B14157" w:rsidP="008809B1">
      <w:pPr>
        <w:pStyle w:val="ListParagraph"/>
        <w:numPr>
          <w:ilvl w:val="1"/>
          <w:numId w:val="37"/>
        </w:numPr>
        <w:ind w:left="851" w:hanging="851"/>
        <w:jc w:val="both"/>
        <w:rPr>
          <w:rFonts w:cs="Arial"/>
          <w:b/>
          <w:color w:val="000000" w:themeColor="text1"/>
        </w:rPr>
      </w:pPr>
      <w:r w:rsidRPr="00283085">
        <w:rPr>
          <w:b/>
          <w:color w:val="000000" w:themeColor="text1"/>
        </w:rPr>
        <w:t>Four Nations’ Health Protection Emergency Planning Group</w:t>
      </w:r>
    </w:p>
    <w:p w14:paraId="5EB3C673" w14:textId="77777777" w:rsidR="00B14157" w:rsidRDefault="00B14157" w:rsidP="00B14157">
      <w:pPr>
        <w:pStyle w:val="ListParagraph"/>
        <w:jc w:val="both"/>
        <w:rPr>
          <w:color w:val="000000" w:themeColor="text1"/>
        </w:rPr>
      </w:pPr>
    </w:p>
    <w:p w14:paraId="31D10D22" w14:textId="0ADF68CE" w:rsidR="00B14157" w:rsidRDefault="00B14157" w:rsidP="008809B1">
      <w:pPr>
        <w:pStyle w:val="ListParagraph"/>
        <w:numPr>
          <w:ilvl w:val="2"/>
          <w:numId w:val="37"/>
        </w:numPr>
        <w:ind w:left="851" w:hanging="851"/>
        <w:jc w:val="both"/>
        <w:rPr>
          <w:color w:val="000000" w:themeColor="text1"/>
        </w:rPr>
      </w:pPr>
      <w:r>
        <w:rPr>
          <w:color w:val="000000" w:themeColor="text1"/>
        </w:rPr>
        <w:t xml:space="preserve">It has been agreed that this </w:t>
      </w:r>
      <w:r w:rsidR="00423910">
        <w:rPr>
          <w:color w:val="000000" w:themeColor="text1"/>
        </w:rPr>
        <w:t>G</w:t>
      </w:r>
      <w:r w:rsidR="00EC7415">
        <w:rPr>
          <w:color w:val="000000" w:themeColor="text1"/>
        </w:rPr>
        <w:t xml:space="preserve">roup </w:t>
      </w:r>
      <w:r>
        <w:rPr>
          <w:color w:val="000000" w:themeColor="text1"/>
        </w:rPr>
        <w:t>will continue post March 2021</w:t>
      </w:r>
      <w:r w:rsidR="00EC7415">
        <w:rPr>
          <w:color w:val="000000" w:themeColor="text1"/>
        </w:rPr>
        <w:t>, as one of a number of task groups reporting to the new Four Nation Health Protection Oversight Group</w:t>
      </w:r>
      <w:r>
        <w:rPr>
          <w:color w:val="000000" w:themeColor="text1"/>
        </w:rPr>
        <w:t>.  Terms of Reference are in the process of being drafted</w:t>
      </w:r>
      <w:r w:rsidR="00E46761">
        <w:rPr>
          <w:color w:val="000000" w:themeColor="text1"/>
        </w:rPr>
        <w:t xml:space="preserve"> for consideration.</w:t>
      </w:r>
    </w:p>
    <w:p w14:paraId="185CF773" w14:textId="77777777" w:rsidR="00CE2F80" w:rsidRDefault="00CE2F80" w:rsidP="006E2AD1">
      <w:pPr>
        <w:pStyle w:val="ListParagraph"/>
        <w:ind w:left="1440"/>
        <w:jc w:val="both"/>
        <w:rPr>
          <w:color w:val="000000" w:themeColor="text1"/>
        </w:rPr>
      </w:pPr>
    </w:p>
    <w:p w14:paraId="78110275" w14:textId="0E184425" w:rsidR="00CE2F80" w:rsidRPr="00A24E22" w:rsidRDefault="00CE2F80" w:rsidP="008809B1">
      <w:pPr>
        <w:pStyle w:val="ListParagraph"/>
        <w:numPr>
          <w:ilvl w:val="1"/>
          <w:numId w:val="37"/>
        </w:numPr>
        <w:ind w:left="851" w:hanging="851"/>
        <w:jc w:val="both"/>
        <w:rPr>
          <w:rFonts w:cs="Arial"/>
          <w:color w:val="000000" w:themeColor="text1"/>
        </w:rPr>
      </w:pPr>
      <w:r w:rsidRPr="00A24E22">
        <w:rPr>
          <w:rFonts w:cs="Arial"/>
          <w:b/>
          <w:color w:val="000000" w:themeColor="text1"/>
        </w:rPr>
        <w:t>Understanding the population health impacts of Brexit</w:t>
      </w:r>
    </w:p>
    <w:p w14:paraId="53FAEC49" w14:textId="77777777" w:rsidR="00A24E22" w:rsidRPr="00A24E22" w:rsidRDefault="00A24E22" w:rsidP="00A24E22">
      <w:pPr>
        <w:pStyle w:val="ListParagraph"/>
        <w:ind w:left="851"/>
        <w:jc w:val="both"/>
        <w:rPr>
          <w:rFonts w:cs="Arial"/>
          <w:color w:val="000000" w:themeColor="text1"/>
        </w:rPr>
      </w:pPr>
    </w:p>
    <w:p w14:paraId="2D2B8DEA" w14:textId="025CBAF6" w:rsidR="00B8128E" w:rsidRPr="00A24E22" w:rsidRDefault="00CE2F80" w:rsidP="008809B1">
      <w:pPr>
        <w:pStyle w:val="ListParagraph"/>
        <w:numPr>
          <w:ilvl w:val="2"/>
          <w:numId w:val="37"/>
        </w:numPr>
        <w:ind w:left="851" w:hanging="851"/>
        <w:jc w:val="both"/>
        <w:rPr>
          <w:rFonts w:cs="Arial"/>
          <w:color w:val="000000" w:themeColor="text1"/>
        </w:rPr>
      </w:pPr>
      <w:r w:rsidRPr="00A24E22">
        <w:rPr>
          <w:rFonts w:cs="Arial"/>
          <w:color w:val="000000" w:themeColor="text1"/>
        </w:rPr>
        <w:t xml:space="preserve">The </w:t>
      </w:r>
      <w:r w:rsidR="00A24E22" w:rsidRPr="00A24E22">
        <w:rPr>
          <w:rFonts w:cs="Arial"/>
          <w:color w:val="000000" w:themeColor="text1"/>
        </w:rPr>
        <w:t xml:space="preserve">Public Health Wales </w:t>
      </w:r>
      <w:r w:rsidRPr="00A24E22">
        <w:rPr>
          <w:rFonts w:cs="Arial"/>
          <w:color w:val="000000" w:themeColor="text1"/>
        </w:rPr>
        <w:t xml:space="preserve">Policy and International Health WHO CC Directorate continues to undertake research to support understanding of the potential implications of Brexit for population </w:t>
      </w:r>
      <w:r w:rsidR="00A82947" w:rsidRPr="00A24E22">
        <w:rPr>
          <w:rFonts w:cs="Arial"/>
          <w:color w:val="000000" w:themeColor="text1"/>
        </w:rPr>
        <w:t xml:space="preserve">health and </w:t>
      </w:r>
      <w:r w:rsidRPr="00A24E22">
        <w:rPr>
          <w:rFonts w:cs="Arial"/>
          <w:color w:val="000000" w:themeColor="text1"/>
        </w:rPr>
        <w:t xml:space="preserve">well-being in Wales. Specific products currently in development include: a briefing to explore the implications of Brexit for those experiencing poverty in Wales; a ‘spotlight’ paper examining the </w:t>
      </w:r>
      <w:r w:rsidR="00B3679B" w:rsidRPr="00A24E22">
        <w:rPr>
          <w:rFonts w:cs="Arial"/>
          <w:color w:val="000000" w:themeColor="text1"/>
        </w:rPr>
        <w:t>‘triple challenge’</w:t>
      </w:r>
      <w:r w:rsidRPr="00A24E22">
        <w:rPr>
          <w:rFonts w:cs="Arial"/>
          <w:color w:val="000000" w:themeColor="text1"/>
        </w:rPr>
        <w:t xml:space="preserve"> of Brexit, COVID-19 and climate change on food security in Wales; and a report on the implications for health and well-being of communities following the transition from EU Structural Funds to a new re</w:t>
      </w:r>
      <w:r w:rsidR="00A24E22" w:rsidRPr="00A24E22">
        <w:rPr>
          <w:rFonts w:cs="Arial"/>
          <w:color w:val="000000" w:themeColor="text1"/>
        </w:rPr>
        <w:t>gional funding scheme in Wales.</w:t>
      </w:r>
    </w:p>
    <w:p w14:paraId="55A418AB" w14:textId="77777777" w:rsidR="00A24E22" w:rsidRPr="00A24E22" w:rsidRDefault="00A24E22" w:rsidP="00A24E22">
      <w:pPr>
        <w:pStyle w:val="ListParagraph"/>
        <w:ind w:left="851"/>
        <w:jc w:val="both"/>
        <w:rPr>
          <w:rFonts w:cs="Arial"/>
          <w:color w:val="000000" w:themeColor="text1"/>
        </w:rPr>
      </w:pPr>
    </w:p>
    <w:p w14:paraId="52DD3039" w14:textId="148FDF0B" w:rsidR="00CE2F80" w:rsidRPr="00A24E22" w:rsidRDefault="00B8128E" w:rsidP="008809B1">
      <w:pPr>
        <w:pStyle w:val="ListParagraph"/>
        <w:numPr>
          <w:ilvl w:val="2"/>
          <w:numId w:val="37"/>
        </w:numPr>
        <w:ind w:left="851" w:hanging="851"/>
        <w:jc w:val="both"/>
        <w:rPr>
          <w:rFonts w:cs="Arial"/>
          <w:color w:val="000000" w:themeColor="text1"/>
        </w:rPr>
      </w:pPr>
      <w:r w:rsidRPr="00A24E22">
        <w:rPr>
          <w:rFonts w:cs="Arial"/>
          <w:color w:val="000000" w:themeColor="text1"/>
        </w:rPr>
        <w:t xml:space="preserve">In April and May 2021, the Wales Health Impact Assessment Support Unit </w:t>
      </w:r>
      <w:r w:rsidR="00E46761">
        <w:rPr>
          <w:rFonts w:cs="Arial"/>
          <w:color w:val="000000" w:themeColor="text1"/>
        </w:rPr>
        <w:t xml:space="preserve">hosted </w:t>
      </w:r>
      <w:r w:rsidRPr="00A24E22">
        <w:rPr>
          <w:rFonts w:cs="Arial"/>
          <w:color w:val="000000" w:themeColor="text1"/>
        </w:rPr>
        <w:t xml:space="preserve">masterclasses on Trade and Health. </w:t>
      </w:r>
      <w:r w:rsidR="00CE2F80" w:rsidRPr="00A24E22">
        <w:rPr>
          <w:rFonts w:cs="Arial"/>
          <w:color w:val="000000" w:themeColor="text1"/>
        </w:rPr>
        <w:t xml:space="preserve">  </w:t>
      </w:r>
    </w:p>
    <w:p w14:paraId="64776106" w14:textId="77777777" w:rsidR="00B3679B" w:rsidRPr="006E2AD1" w:rsidRDefault="00B3679B" w:rsidP="006E2AD1">
      <w:pPr>
        <w:pStyle w:val="ListParagraph"/>
        <w:ind w:left="1440"/>
        <w:jc w:val="both"/>
        <w:rPr>
          <w:rFonts w:cs="Arial"/>
          <w:color w:val="000000" w:themeColor="text1"/>
          <w:highlight w:val="yellow"/>
        </w:rPr>
      </w:pPr>
    </w:p>
    <w:p w14:paraId="406C920B" w14:textId="514AB0D1" w:rsidR="00B14157" w:rsidRDefault="008809B1" w:rsidP="008809B1">
      <w:pPr>
        <w:ind w:left="851" w:hanging="851"/>
        <w:jc w:val="both"/>
        <w:rPr>
          <w:b/>
        </w:rPr>
      </w:pPr>
      <w:r>
        <w:rPr>
          <w:b/>
        </w:rPr>
        <w:t>9.</w:t>
      </w:r>
      <w:r>
        <w:rPr>
          <w:b/>
        </w:rPr>
        <w:tab/>
      </w:r>
      <w:r w:rsidR="00A24E22">
        <w:rPr>
          <w:b/>
        </w:rPr>
        <w:t>C</w:t>
      </w:r>
      <w:r w:rsidR="00B14157">
        <w:rPr>
          <w:b/>
        </w:rPr>
        <w:t>ONCLUSION</w:t>
      </w:r>
    </w:p>
    <w:p w14:paraId="202B8771" w14:textId="77777777" w:rsidR="00B14157" w:rsidRDefault="00B14157" w:rsidP="00B14157">
      <w:pPr>
        <w:jc w:val="both"/>
        <w:rPr>
          <w:b/>
        </w:rPr>
      </w:pPr>
    </w:p>
    <w:p w14:paraId="40F7AC8D" w14:textId="38342ECC" w:rsidR="00B14157" w:rsidRDefault="008809B1" w:rsidP="008809B1">
      <w:pPr>
        <w:ind w:left="851" w:hanging="851"/>
        <w:jc w:val="both"/>
      </w:pPr>
      <w:r>
        <w:t>9.1</w:t>
      </w:r>
      <w:r>
        <w:tab/>
      </w:r>
      <w:r w:rsidR="00B14157" w:rsidRPr="00AD3382">
        <w:t xml:space="preserve">The Public Health Wales EU Preparedness Programme was set up in November 2018 to provide relevant and effective support to the organisation as it prepared for the UK’s exit from the EU.  The range of products set out at </w:t>
      </w:r>
      <w:r w:rsidR="00B14157" w:rsidRPr="00AD3382">
        <w:rPr>
          <w:b/>
        </w:rPr>
        <w:t>Appendix A</w:t>
      </w:r>
      <w:r w:rsidR="00B14157" w:rsidRPr="00AD3382">
        <w:t xml:space="preserve"> demonstrate the organisation’s agile and responsive approach, often working with uncertainty </w:t>
      </w:r>
      <w:r w:rsidR="00B14157">
        <w:t xml:space="preserve">and changing deadlines.  </w:t>
      </w:r>
      <w:r w:rsidR="00B14157" w:rsidRPr="00AD3382">
        <w:t>As the UK came out of the Transition Period</w:t>
      </w:r>
      <w:r w:rsidR="00B718AD">
        <w:t>,</w:t>
      </w:r>
      <w:r w:rsidR="00B14157" w:rsidRPr="00AD3382">
        <w:t xml:space="preserve"> and following the TCA agreed on 24</w:t>
      </w:r>
      <w:r w:rsidR="00E46761">
        <w:t xml:space="preserve"> </w:t>
      </w:r>
      <w:r w:rsidR="00B14157" w:rsidRPr="00AD3382">
        <w:t>December</w:t>
      </w:r>
      <w:r w:rsidR="00E46761">
        <w:t xml:space="preserve"> 2020</w:t>
      </w:r>
      <w:r w:rsidR="00B14157" w:rsidRPr="00AD3382">
        <w:t xml:space="preserve">, the need for the Programme </w:t>
      </w:r>
      <w:r w:rsidR="00B14157">
        <w:t xml:space="preserve">has </w:t>
      </w:r>
      <w:r w:rsidR="00B14157" w:rsidRPr="00AD3382">
        <w:t>diminished.  It therefore close</w:t>
      </w:r>
      <w:r w:rsidR="00E46761">
        <w:t>d</w:t>
      </w:r>
      <w:r w:rsidR="00B14157" w:rsidRPr="00AD3382">
        <w:t xml:space="preserve"> on 31 March 2021.</w:t>
      </w:r>
    </w:p>
    <w:p w14:paraId="175C7E44" w14:textId="07E23774" w:rsidR="00E46761" w:rsidRDefault="00E46761" w:rsidP="00B14157">
      <w:pPr>
        <w:jc w:val="both"/>
      </w:pPr>
    </w:p>
    <w:p w14:paraId="7CCD20CD" w14:textId="49A30405" w:rsidR="00E46761" w:rsidRDefault="008809B1" w:rsidP="008809B1">
      <w:pPr>
        <w:ind w:left="851" w:hanging="851"/>
        <w:jc w:val="both"/>
      </w:pPr>
      <w:r>
        <w:t>9.2</w:t>
      </w:r>
      <w:r>
        <w:tab/>
      </w:r>
      <w:r w:rsidR="00E46761">
        <w:t>T</w:t>
      </w:r>
      <w:r w:rsidR="00B14157">
        <w:t xml:space="preserve">he </w:t>
      </w:r>
      <w:r w:rsidR="00B14157" w:rsidRPr="0005725C">
        <w:rPr>
          <w:i/>
        </w:rPr>
        <w:t>products</w:t>
      </w:r>
      <w:r w:rsidR="00B14157">
        <w:t xml:space="preserve"> listed in </w:t>
      </w:r>
      <w:r w:rsidR="00B14157" w:rsidRPr="00E46761">
        <w:rPr>
          <w:b/>
        </w:rPr>
        <w:t>Appendix A</w:t>
      </w:r>
      <w:r w:rsidR="00B14157">
        <w:t xml:space="preserve"> remain as part of the Programme legacy</w:t>
      </w:r>
      <w:r w:rsidR="002D0C12">
        <w:t xml:space="preserve"> and are held within the Finance and Operations Directorate (Strategic Plann</w:t>
      </w:r>
      <w:r w:rsidR="00E46761">
        <w:t>ing and Performance Division).</w:t>
      </w:r>
    </w:p>
    <w:p w14:paraId="502E4D78" w14:textId="77777777" w:rsidR="00E46761" w:rsidRDefault="00E46761" w:rsidP="00E46761">
      <w:pPr>
        <w:jc w:val="both"/>
      </w:pPr>
    </w:p>
    <w:p w14:paraId="0B8AA3AA" w14:textId="614FDF17" w:rsidR="002D0C12" w:rsidRDefault="002D0C12" w:rsidP="00E46761">
      <w:pPr>
        <w:jc w:val="both"/>
      </w:pPr>
      <w:r>
        <w:br w:type="page"/>
      </w:r>
    </w:p>
    <w:p w14:paraId="3F26009F" w14:textId="77777777" w:rsidR="00B14157" w:rsidRDefault="00B14157" w:rsidP="00B14157">
      <w:pPr>
        <w:jc w:val="both"/>
      </w:pPr>
    </w:p>
    <w:p w14:paraId="347022F5" w14:textId="77777777" w:rsidR="00B14157" w:rsidRPr="0005725C" w:rsidRDefault="00B14157" w:rsidP="00B14157">
      <w:pPr>
        <w:jc w:val="right"/>
        <w:rPr>
          <w:b/>
          <w:color w:val="2E74B5" w:themeColor="accent1" w:themeShade="BF"/>
          <w:highlight w:val="yellow"/>
        </w:rPr>
      </w:pPr>
      <w:r w:rsidRPr="000D0B84">
        <w:rPr>
          <w:b/>
          <w:color w:val="2E74B5" w:themeColor="accent1" w:themeShade="BF"/>
        </w:rPr>
        <w:t>APPENDIX A</w:t>
      </w:r>
    </w:p>
    <w:p w14:paraId="4CF9D56A" w14:textId="77777777" w:rsidR="00B14157" w:rsidRPr="00EC281F" w:rsidRDefault="00B14157" w:rsidP="00B14157">
      <w:pPr>
        <w:jc w:val="both"/>
        <w:rPr>
          <w:b/>
          <w:color w:val="2E74B5" w:themeColor="accent1" w:themeShade="BF"/>
        </w:rPr>
      </w:pPr>
    </w:p>
    <w:p w14:paraId="277D1721" w14:textId="77777777" w:rsidR="00B14157" w:rsidRPr="00EC281F" w:rsidRDefault="00B14157" w:rsidP="00B14157">
      <w:pPr>
        <w:jc w:val="center"/>
        <w:rPr>
          <w:b/>
          <w:color w:val="2E74B5" w:themeColor="accent1" w:themeShade="BF"/>
        </w:rPr>
      </w:pPr>
      <w:r w:rsidRPr="00EC281F">
        <w:rPr>
          <w:b/>
          <w:color w:val="2E74B5" w:themeColor="accent1" w:themeShade="BF"/>
        </w:rPr>
        <w:t>Public He</w:t>
      </w:r>
      <w:r w:rsidR="000D0B84">
        <w:rPr>
          <w:b/>
          <w:color w:val="2E74B5" w:themeColor="accent1" w:themeShade="BF"/>
        </w:rPr>
        <w:t xml:space="preserve">alth Wales EU Exit </w:t>
      </w:r>
      <w:r w:rsidRPr="00EC281F">
        <w:rPr>
          <w:b/>
          <w:color w:val="2E74B5" w:themeColor="accent1" w:themeShade="BF"/>
        </w:rPr>
        <w:t>Programme</w:t>
      </w:r>
    </w:p>
    <w:p w14:paraId="04ED1BBE" w14:textId="77777777" w:rsidR="00B14157" w:rsidRPr="00EC281F" w:rsidRDefault="00B14157" w:rsidP="00B14157">
      <w:pPr>
        <w:jc w:val="center"/>
        <w:rPr>
          <w:b/>
          <w:color w:val="2E74B5" w:themeColor="accent1" w:themeShade="BF"/>
        </w:rPr>
      </w:pPr>
    </w:p>
    <w:p w14:paraId="174DF7D5" w14:textId="77777777" w:rsidR="00B14157" w:rsidRPr="00DD0050" w:rsidRDefault="00B14157" w:rsidP="00B14157">
      <w:pPr>
        <w:jc w:val="center"/>
        <w:rPr>
          <w:b/>
        </w:rPr>
      </w:pPr>
      <w:r w:rsidRPr="00EC281F">
        <w:rPr>
          <w:b/>
          <w:color w:val="2E74B5" w:themeColor="accent1" w:themeShade="BF"/>
        </w:rPr>
        <w:t>List of Products</w:t>
      </w:r>
    </w:p>
    <w:p w14:paraId="25295583" w14:textId="77777777" w:rsidR="00B14157" w:rsidRDefault="00B14157" w:rsidP="00B14157">
      <w:pPr>
        <w:jc w:val="both"/>
        <w:rPr>
          <w:b/>
        </w:rPr>
      </w:pPr>
    </w:p>
    <w:p w14:paraId="3DC23FBB" w14:textId="77777777" w:rsidR="00B14157" w:rsidRDefault="00B14157" w:rsidP="00B14157">
      <w:pPr>
        <w:jc w:val="both"/>
        <w:rPr>
          <w:b/>
        </w:rPr>
      </w:pPr>
    </w:p>
    <w:p w14:paraId="6013CB2A" w14:textId="77777777" w:rsidR="00B14157" w:rsidRPr="00EC281F" w:rsidRDefault="00B14157" w:rsidP="00B14157">
      <w:pPr>
        <w:jc w:val="both"/>
        <w:rPr>
          <w:color w:val="2E74B5" w:themeColor="accent1" w:themeShade="BF"/>
        </w:rPr>
      </w:pPr>
      <w:r w:rsidRPr="00EC281F">
        <w:rPr>
          <w:b/>
          <w:color w:val="2E74B5" w:themeColor="accent1" w:themeShade="BF"/>
        </w:rPr>
        <w:t>PHASE I (November 2018 – April 2019)</w:t>
      </w:r>
    </w:p>
    <w:p w14:paraId="7265E91D" w14:textId="77777777" w:rsidR="00B14157" w:rsidRDefault="00B14157" w:rsidP="00B14157">
      <w:pPr>
        <w:jc w:val="both"/>
      </w:pPr>
    </w:p>
    <w:p w14:paraId="4AACFC17" w14:textId="5FBD7B2D" w:rsidR="0082327B" w:rsidRPr="00A25C45" w:rsidRDefault="0082327B" w:rsidP="0082327B">
      <w:r>
        <w:t xml:space="preserve">13 </w:t>
      </w:r>
      <w:r w:rsidRPr="00A25C45">
        <w:t xml:space="preserve">November 2018 - presentation to the </w:t>
      </w:r>
      <w:r w:rsidR="00180BBA">
        <w:t>P</w:t>
      </w:r>
      <w:r w:rsidR="0040650C">
        <w:t xml:space="preserve">ublic Health Wales </w:t>
      </w:r>
      <w:r w:rsidRPr="00A25C45">
        <w:t>Business Executive Team.</w:t>
      </w:r>
    </w:p>
    <w:p w14:paraId="694FD040" w14:textId="77777777" w:rsidR="0082327B" w:rsidRPr="00A25C45" w:rsidRDefault="0082327B" w:rsidP="0082327B"/>
    <w:p w14:paraId="35F5158C" w14:textId="77777777" w:rsidR="0082327B" w:rsidRDefault="0082327B" w:rsidP="0082327B">
      <w:pPr>
        <w:jc w:val="both"/>
      </w:pPr>
      <w:r w:rsidRPr="00A25C45">
        <w:t>Public Health Wales</w:t>
      </w:r>
      <w:r>
        <w:t xml:space="preserve">’ </w:t>
      </w:r>
      <w:r w:rsidRPr="00A25C45">
        <w:t xml:space="preserve">bid for funding to Welsh Government against European Transition Fund </w:t>
      </w:r>
      <w:r>
        <w:t>monies.</w:t>
      </w:r>
    </w:p>
    <w:p w14:paraId="16485DB9" w14:textId="77777777" w:rsidR="0082327B" w:rsidRDefault="0082327B" w:rsidP="0082327B"/>
    <w:p w14:paraId="71404F15" w14:textId="77777777" w:rsidR="0082327B" w:rsidRDefault="0082327B" w:rsidP="0082327B">
      <w:pPr>
        <w:jc w:val="both"/>
      </w:pPr>
      <w:r w:rsidRPr="00A25C45">
        <w:t>Brexit-related business continuity impact assessments</w:t>
      </w:r>
      <w:r>
        <w:t xml:space="preserve"> based on a ‘No Deal’ scenario.</w:t>
      </w:r>
    </w:p>
    <w:p w14:paraId="4B26C067" w14:textId="77777777" w:rsidR="008D37A5" w:rsidRDefault="008D37A5" w:rsidP="0082327B">
      <w:pPr>
        <w:jc w:val="both"/>
      </w:pPr>
    </w:p>
    <w:p w14:paraId="28B01F4A" w14:textId="77777777" w:rsidR="008D37A5" w:rsidRPr="008D37A5" w:rsidRDefault="008D37A5" w:rsidP="0082327B">
      <w:pPr>
        <w:jc w:val="both"/>
        <w:rPr>
          <w:color w:val="000000" w:themeColor="text1"/>
        </w:rPr>
      </w:pPr>
      <w:r w:rsidRPr="008D37A5">
        <w:rPr>
          <w:color w:val="000000" w:themeColor="text1"/>
        </w:rPr>
        <w:t>November 2018 - ‘Workforce Implications of a No Deal Brexit’.</w:t>
      </w:r>
    </w:p>
    <w:p w14:paraId="07AD14A1" w14:textId="77777777" w:rsidR="008D37A5" w:rsidRPr="008D37A5" w:rsidRDefault="008D37A5" w:rsidP="0082327B">
      <w:pPr>
        <w:jc w:val="both"/>
        <w:rPr>
          <w:color w:val="000000" w:themeColor="text1"/>
        </w:rPr>
      </w:pPr>
    </w:p>
    <w:p w14:paraId="15FD278D" w14:textId="77777777" w:rsidR="008D37A5" w:rsidRDefault="008D37A5" w:rsidP="008D37A5">
      <w:r w:rsidRPr="00A25C45">
        <w:t>December 2018 - Health Securities’ Sub Group Terms of Reference and membership</w:t>
      </w:r>
      <w:r>
        <w:t xml:space="preserve"> and risk </w:t>
      </w:r>
      <w:r w:rsidRPr="00A25C45">
        <w:t>area based Programme Plan</w:t>
      </w:r>
      <w:r>
        <w:t xml:space="preserve"> agreed.</w:t>
      </w:r>
    </w:p>
    <w:p w14:paraId="2BE31581" w14:textId="77777777" w:rsidR="008D37A5" w:rsidRPr="00A25C45" w:rsidRDefault="008D37A5" w:rsidP="0082327B">
      <w:pPr>
        <w:jc w:val="both"/>
      </w:pPr>
    </w:p>
    <w:p w14:paraId="41BCC211" w14:textId="44B8A7E8" w:rsidR="0082327B" w:rsidRDefault="0082327B" w:rsidP="0082327B">
      <w:r w:rsidRPr="00A25C45">
        <w:t xml:space="preserve">January 2019 - </w:t>
      </w:r>
      <w:r w:rsidR="0040650C">
        <w:t xml:space="preserve">Public Health Wales </w:t>
      </w:r>
      <w:r w:rsidRPr="00A25C45">
        <w:t xml:space="preserve">published </w:t>
      </w:r>
      <w:hyperlink r:id="rId10" w:history="1">
        <w:r w:rsidRPr="00A25C45">
          <w:rPr>
            <w:rStyle w:val="Hyperlink"/>
          </w:rPr>
          <w:t>The Public Health Implications of Brexit in Wales: A Health Impact Assessment Approach</w:t>
        </w:r>
      </w:hyperlink>
      <w:r>
        <w:t>.</w:t>
      </w:r>
    </w:p>
    <w:p w14:paraId="787D03B5" w14:textId="5499A388" w:rsidR="00BD1CF7" w:rsidRDefault="00BD1CF7" w:rsidP="0082327B"/>
    <w:p w14:paraId="3070E54C" w14:textId="77777777" w:rsidR="00BD1CF7" w:rsidRPr="00BD1CF7" w:rsidRDefault="00BD1CF7" w:rsidP="0082327B">
      <w:r w:rsidRPr="00BD1CF7">
        <w:t>March 2019 - Heightened Monthly Monitoring Reports in the Context of Brexit commence (and run to May 2020).</w:t>
      </w:r>
    </w:p>
    <w:p w14:paraId="3572BE9A" w14:textId="77777777" w:rsidR="00BD1CF7" w:rsidRDefault="00BD1CF7" w:rsidP="0082327B">
      <w:pPr>
        <w:rPr>
          <w:highlight w:val="yellow"/>
        </w:rPr>
      </w:pPr>
    </w:p>
    <w:p w14:paraId="6A3CE536" w14:textId="296E5408" w:rsidR="008D37A5" w:rsidRPr="00A25C45" w:rsidRDefault="008D37A5" w:rsidP="00F44D24">
      <w:pPr>
        <w:jc w:val="both"/>
      </w:pPr>
      <w:r>
        <w:t>March 2019 - Debrief report on strategic walk through exercise Allanfa #1.</w:t>
      </w:r>
    </w:p>
    <w:p w14:paraId="3D323B08" w14:textId="77777777" w:rsidR="008D37A5" w:rsidRDefault="008D37A5" w:rsidP="0082327B"/>
    <w:p w14:paraId="4B0F89C2" w14:textId="77777777" w:rsidR="0082327B" w:rsidRPr="00A25C45" w:rsidRDefault="0082327B" w:rsidP="0082327B">
      <w:pPr>
        <w:jc w:val="both"/>
      </w:pPr>
      <w:r>
        <w:t>March and April 2019 - H</w:t>
      </w:r>
      <w:r w:rsidRPr="00A25C45">
        <w:t>ealth securities assurance statements submitted to Welsh Government for</w:t>
      </w:r>
      <w:r>
        <w:t xml:space="preserve"> consideration by the wider system SRO Group.</w:t>
      </w:r>
    </w:p>
    <w:p w14:paraId="2E24A7E0" w14:textId="77777777" w:rsidR="0082327B" w:rsidRPr="00A25C45" w:rsidRDefault="0082327B" w:rsidP="0082327B"/>
    <w:p w14:paraId="4F491264" w14:textId="77777777" w:rsidR="0082327B" w:rsidRPr="00A25C45" w:rsidRDefault="0082327B" w:rsidP="0082327B">
      <w:pPr>
        <w:jc w:val="both"/>
      </w:pPr>
      <w:r w:rsidRPr="00A25C45">
        <w:t xml:space="preserve">Four Nations’ Health Protection Emergency Planning </w:t>
      </w:r>
      <w:r>
        <w:t>Group - n</w:t>
      </w:r>
      <w:r w:rsidRPr="00A25C45">
        <w:t>ine meetings held during Phase I</w:t>
      </w:r>
      <w:r w:rsidR="000D0B84">
        <w:t xml:space="preserve">; </w:t>
      </w:r>
      <w:r>
        <w:t>Agenda and papers.</w:t>
      </w:r>
    </w:p>
    <w:p w14:paraId="41537440" w14:textId="77777777" w:rsidR="0082327B" w:rsidRPr="00A25C45" w:rsidRDefault="0082327B" w:rsidP="0082327B"/>
    <w:p w14:paraId="399F80A2" w14:textId="77777777" w:rsidR="0082327B" w:rsidRDefault="0082327B" w:rsidP="0082327B">
      <w:pPr>
        <w:jc w:val="both"/>
      </w:pPr>
      <w:r>
        <w:t>C</w:t>
      </w:r>
      <w:r w:rsidRPr="00A25C45">
        <w:t>ommunicat</w:t>
      </w:r>
      <w:r>
        <w:t>ions from People and Organisational Development (including: M</w:t>
      </w:r>
      <w:r w:rsidRPr="00A25C45">
        <w:t>aking staff aware and promoting the Settl</w:t>
      </w:r>
      <w:r>
        <w:t xml:space="preserve">ed Status Pilot Scheme to staff; </w:t>
      </w:r>
      <w:r w:rsidRPr="00A25C45">
        <w:t>Sign-posting staff to a series of ‘drop in sessions’, which were held for staff in December 2018</w:t>
      </w:r>
      <w:r>
        <w:t xml:space="preserve">; </w:t>
      </w:r>
      <w:r w:rsidRPr="00A25C45">
        <w:t>Providing an update to staff on the work and scope of the Brexit Programme.</w:t>
      </w:r>
    </w:p>
    <w:p w14:paraId="3716A856" w14:textId="77777777" w:rsidR="0082327B" w:rsidRDefault="0082327B" w:rsidP="0082327B"/>
    <w:p w14:paraId="7B44AAC7" w14:textId="25A0C09E" w:rsidR="0082327B" w:rsidRDefault="0082327B" w:rsidP="0082327B">
      <w:r>
        <w:t>I</w:t>
      </w:r>
      <w:r w:rsidRPr="00A25C45">
        <w:t>nitial financial assessment made of any EU income</w:t>
      </w:r>
      <w:r>
        <w:t>.</w:t>
      </w:r>
    </w:p>
    <w:p w14:paraId="145895B2" w14:textId="77777777" w:rsidR="0082327B" w:rsidRDefault="0082327B" w:rsidP="0082327B"/>
    <w:p w14:paraId="25739BD1" w14:textId="77777777" w:rsidR="0082327B" w:rsidRDefault="0082327B" w:rsidP="0082327B">
      <w:r w:rsidRPr="00A25C45">
        <w:t>March / April 2019</w:t>
      </w:r>
      <w:r>
        <w:t xml:space="preserve"> - </w:t>
      </w:r>
      <w:r w:rsidRPr="00A25C45">
        <w:t xml:space="preserve">Phase I Review </w:t>
      </w:r>
      <w:r>
        <w:t xml:space="preserve">of the Programme and </w:t>
      </w:r>
      <w:r w:rsidRPr="00A25C45">
        <w:t>End of Phase I Report</w:t>
      </w:r>
      <w:r>
        <w:t>.</w:t>
      </w:r>
    </w:p>
    <w:p w14:paraId="5F2D65B5" w14:textId="77777777" w:rsidR="0082327B" w:rsidRPr="000D0B84" w:rsidRDefault="0082327B" w:rsidP="0082327B"/>
    <w:p w14:paraId="6BA3C737" w14:textId="77777777" w:rsidR="0082327B" w:rsidRPr="000D0B84" w:rsidRDefault="0082327B" w:rsidP="0082327B">
      <w:pPr>
        <w:jc w:val="both"/>
        <w:rPr>
          <w:rStyle w:val="Hyperlink"/>
          <w:rFonts w:cs="Calibri"/>
          <w:color w:val="000000" w:themeColor="text1"/>
          <w:u w:val="none"/>
        </w:rPr>
      </w:pPr>
      <w:r w:rsidRPr="000D0B84">
        <w:rPr>
          <w:rStyle w:val="Hyperlink"/>
          <w:rFonts w:cs="Calibri"/>
          <w:color w:val="000000" w:themeColor="text1"/>
          <w:u w:val="none"/>
        </w:rPr>
        <w:t>SRO Programme Group:</w:t>
      </w:r>
    </w:p>
    <w:p w14:paraId="051E697E" w14:textId="77777777" w:rsidR="0082327B" w:rsidRPr="000D0B84" w:rsidRDefault="0082327B" w:rsidP="0082327B">
      <w:pPr>
        <w:pStyle w:val="ListParagraph"/>
        <w:numPr>
          <w:ilvl w:val="0"/>
          <w:numId w:val="21"/>
        </w:numPr>
        <w:jc w:val="both"/>
        <w:rPr>
          <w:rStyle w:val="Hyperlink"/>
          <w:rFonts w:cs="Calibri"/>
          <w:color w:val="000000" w:themeColor="text1"/>
          <w:u w:val="none"/>
        </w:rPr>
      </w:pPr>
      <w:r w:rsidRPr="000D0B84">
        <w:rPr>
          <w:rStyle w:val="Hyperlink"/>
          <w:rFonts w:cs="Calibri"/>
          <w:color w:val="000000" w:themeColor="text1"/>
          <w:u w:val="none"/>
        </w:rPr>
        <w:t>Terms of Reference</w:t>
      </w:r>
    </w:p>
    <w:p w14:paraId="7AC1B873" w14:textId="77777777" w:rsidR="0082327B" w:rsidRPr="000D0B84" w:rsidRDefault="0082327B" w:rsidP="0082327B">
      <w:pPr>
        <w:pStyle w:val="ListParagraph"/>
        <w:numPr>
          <w:ilvl w:val="0"/>
          <w:numId w:val="21"/>
        </w:numPr>
        <w:jc w:val="both"/>
        <w:rPr>
          <w:rStyle w:val="Strong"/>
          <w:rFonts w:cs="Calibri"/>
          <w:color w:val="000000" w:themeColor="text1"/>
        </w:rPr>
      </w:pPr>
      <w:r w:rsidRPr="000D0B84">
        <w:rPr>
          <w:rStyle w:val="Hyperlink"/>
          <w:rFonts w:cs="Calibri"/>
          <w:color w:val="000000" w:themeColor="text1"/>
          <w:u w:val="none"/>
        </w:rPr>
        <w:t>Meeting papers: 27 November 2018; 10 December 2018; 9 January 2019; 23 January 2019; 6 February 2019; 18 February 2019; 7 March 2019; 18 March 2019, 26 March 2019 and 10 April 2019.</w:t>
      </w:r>
    </w:p>
    <w:p w14:paraId="74CDFE06" w14:textId="77777777" w:rsidR="0082327B" w:rsidRPr="000D0B84" w:rsidRDefault="0082327B" w:rsidP="0082327B">
      <w:pPr>
        <w:jc w:val="both"/>
        <w:rPr>
          <w:rStyle w:val="Strong"/>
          <w:rFonts w:cs="Calibri"/>
          <w:color w:val="000000" w:themeColor="text1"/>
        </w:rPr>
      </w:pPr>
    </w:p>
    <w:p w14:paraId="491619CD" w14:textId="2077B6AD" w:rsidR="0082327B" w:rsidRDefault="0082327B" w:rsidP="0082327B">
      <w:pPr>
        <w:jc w:val="both"/>
        <w:rPr>
          <w:rFonts w:eastAsia="Times New Roman" w:cs="Times New Roman"/>
          <w:bCs/>
          <w:kern w:val="36"/>
          <w:lang w:eastAsia="en-GB"/>
        </w:rPr>
      </w:pPr>
      <w:r w:rsidRPr="000D0B84">
        <w:rPr>
          <w:rFonts w:eastAsia="Times New Roman" w:cs="Times New Roman"/>
          <w:bCs/>
          <w:kern w:val="36"/>
          <w:lang w:eastAsia="en-GB"/>
        </w:rPr>
        <w:t>Health Protection (including Health Securities) Sub Group of the Welsh Government EUTLG:</w:t>
      </w:r>
    </w:p>
    <w:p w14:paraId="6FE89FBE" w14:textId="77777777" w:rsidR="0082327B" w:rsidRPr="00121120" w:rsidRDefault="0082327B" w:rsidP="0082327B">
      <w:pPr>
        <w:pStyle w:val="ListParagraph"/>
        <w:numPr>
          <w:ilvl w:val="0"/>
          <w:numId w:val="21"/>
        </w:numPr>
        <w:jc w:val="both"/>
        <w:rPr>
          <w:rFonts w:eastAsia="Times New Roman" w:cs="Times New Roman"/>
          <w:bCs/>
          <w:kern w:val="36"/>
          <w:lang w:eastAsia="en-GB"/>
        </w:rPr>
      </w:pPr>
      <w:r w:rsidRPr="00425E29">
        <w:t>Te</w:t>
      </w:r>
      <w:r>
        <w:t>rms of Reference</w:t>
      </w:r>
    </w:p>
    <w:p w14:paraId="4A4526CC" w14:textId="77777777" w:rsidR="0082327B" w:rsidRPr="00121120" w:rsidRDefault="0082327B" w:rsidP="0082327B">
      <w:pPr>
        <w:pStyle w:val="ListParagraph"/>
        <w:numPr>
          <w:ilvl w:val="0"/>
          <w:numId w:val="21"/>
        </w:numPr>
        <w:jc w:val="both"/>
        <w:rPr>
          <w:rFonts w:eastAsia="Times New Roman" w:cs="Times New Roman"/>
          <w:bCs/>
          <w:kern w:val="36"/>
          <w:lang w:eastAsia="en-GB"/>
        </w:rPr>
      </w:pPr>
      <w:r>
        <w:t xml:space="preserve">Meeting papers: </w:t>
      </w:r>
      <w:r w:rsidRPr="00121120">
        <w:rPr>
          <w:rFonts w:eastAsia="Times New Roman" w:cs="Times New Roman"/>
          <w:bCs/>
          <w:kern w:val="36"/>
          <w:lang w:eastAsia="en-GB"/>
        </w:rPr>
        <w:t>30 January 2019; 12 February 2019; 27 February 2019; 13 March 2019 and 27 March 2019</w:t>
      </w:r>
      <w:r>
        <w:rPr>
          <w:rFonts w:eastAsia="Times New Roman" w:cs="Times New Roman"/>
          <w:bCs/>
          <w:kern w:val="36"/>
          <w:lang w:eastAsia="en-GB"/>
        </w:rPr>
        <w:t>.</w:t>
      </w:r>
    </w:p>
    <w:p w14:paraId="59EE33CE" w14:textId="77777777" w:rsidR="0082327B" w:rsidRDefault="0082327B" w:rsidP="0082327B">
      <w:pPr>
        <w:jc w:val="both"/>
        <w:rPr>
          <w:rFonts w:eastAsia="Times New Roman" w:cs="Times New Roman"/>
          <w:bCs/>
          <w:kern w:val="36"/>
          <w:lang w:eastAsia="en-GB"/>
        </w:rPr>
      </w:pPr>
    </w:p>
    <w:tbl>
      <w:tblPr>
        <w:tblStyle w:val="TableGrid"/>
        <w:tblW w:w="0" w:type="auto"/>
        <w:tblLook w:val="04A0" w:firstRow="1" w:lastRow="0" w:firstColumn="1" w:lastColumn="0" w:noHBand="0" w:noVBand="1"/>
      </w:tblPr>
      <w:tblGrid>
        <w:gridCol w:w="2122"/>
        <w:gridCol w:w="2829"/>
        <w:gridCol w:w="1941"/>
        <w:gridCol w:w="2124"/>
      </w:tblGrid>
      <w:tr w:rsidR="0082327B" w14:paraId="4DF184B8" w14:textId="77777777" w:rsidTr="004A7ABB">
        <w:trPr>
          <w:tblHeader/>
        </w:trPr>
        <w:tc>
          <w:tcPr>
            <w:tcW w:w="9016" w:type="dxa"/>
            <w:gridSpan w:val="4"/>
            <w:shd w:val="clear" w:color="auto" w:fill="C5E0B3" w:themeFill="accent6" w:themeFillTint="66"/>
          </w:tcPr>
          <w:p w14:paraId="22463B8E" w14:textId="77777777" w:rsidR="0082327B" w:rsidRDefault="0082327B" w:rsidP="004A7ABB">
            <w:pPr>
              <w:rPr>
                <w:b/>
              </w:rPr>
            </w:pPr>
            <w:r>
              <w:rPr>
                <w:b/>
              </w:rPr>
              <w:t>Public Health Wales – internal reports / presentations / briefings</w:t>
            </w:r>
          </w:p>
          <w:p w14:paraId="7B6788A1" w14:textId="77777777" w:rsidR="0082327B" w:rsidRDefault="0082327B" w:rsidP="004A7ABB">
            <w:pPr>
              <w:rPr>
                <w:b/>
              </w:rPr>
            </w:pPr>
          </w:p>
        </w:tc>
      </w:tr>
      <w:tr w:rsidR="0082327B" w:rsidRPr="008E7D38" w14:paraId="4FC0316F" w14:textId="77777777" w:rsidTr="004A7ABB">
        <w:trPr>
          <w:tblHeader/>
        </w:trPr>
        <w:tc>
          <w:tcPr>
            <w:tcW w:w="2122" w:type="dxa"/>
            <w:shd w:val="clear" w:color="auto" w:fill="C5E0B3" w:themeFill="accent6" w:themeFillTint="66"/>
          </w:tcPr>
          <w:p w14:paraId="457D66FA" w14:textId="77777777" w:rsidR="0082327B" w:rsidRPr="008E7D38" w:rsidRDefault="0082327B" w:rsidP="004A7ABB">
            <w:pPr>
              <w:rPr>
                <w:b/>
              </w:rPr>
            </w:pPr>
            <w:r w:rsidRPr="008E7D38">
              <w:rPr>
                <w:b/>
              </w:rPr>
              <w:t>Date</w:t>
            </w:r>
          </w:p>
        </w:tc>
        <w:tc>
          <w:tcPr>
            <w:tcW w:w="2829" w:type="dxa"/>
            <w:shd w:val="clear" w:color="auto" w:fill="C5E0B3" w:themeFill="accent6" w:themeFillTint="66"/>
          </w:tcPr>
          <w:p w14:paraId="76E46061" w14:textId="77777777" w:rsidR="0082327B" w:rsidRPr="008E7D38" w:rsidRDefault="0082327B" w:rsidP="004A7ABB">
            <w:pPr>
              <w:rPr>
                <w:b/>
              </w:rPr>
            </w:pPr>
            <w:r w:rsidRPr="008E7D38">
              <w:rPr>
                <w:b/>
              </w:rPr>
              <w:t>Meeting</w:t>
            </w:r>
          </w:p>
        </w:tc>
        <w:tc>
          <w:tcPr>
            <w:tcW w:w="1941" w:type="dxa"/>
            <w:shd w:val="clear" w:color="auto" w:fill="C5E0B3" w:themeFill="accent6" w:themeFillTint="66"/>
          </w:tcPr>
          <w:p w14:paraId="32526818" w14:textId="77777777" w:rsidR="0082327B" w:rsidRPr="008E7D38" w:rsidRDefault="0082327B" w:rsidP="004A7ABB">
            <w:pPr>
              <w:rPr>
                <w:b/>
              </w:rPr>
            </w:pPr>
            <w:r w:rsidRPr="008E7D38">
              <w:rPr>
                <w:b/>
              </w:rPr>
              <w:t xml:space="preserve">Presentation / </w:t>
            </w:r>
            <w:r>
              <w:rPr>
                <w:b/>
              </w:rPr>
              <w:t>Report</w:t>
            </w:r>
          </w:p>
        </w:tc>
        <w:tc>
          <w:tcPr>
            <w:tcW w:w="2124" w:type="dxa"/>
            <w:shd w:val="clear" w:color="auto" w:fill="C5E0B3" w:themeFill="accent6" w:themeFillTint="66"/>
          </w:tcPr>
          <w:p w14:paraId="1E702821" w14:textId="77777777" w:rsidR="0082327B" w:rsidRPr="008E7D38" w:rsidRDefault="0082327B" w:rsidP="004A7ABB">
            <w:pPr>
              <w:rPr>
                <w:b/>
              </w:rPr>
            </w:pPr>
            <w:r>
              <w:rPr>
                <w:b/>
              </w:rPr>
              <w:t>To Note</w:t>
            </w:r>
          </w:p>
        </w:tc>
      </w:tr>
      <w:tr w:rsidR="0082327B" w:rsidRPr="001421F2" w14:paraId="4454B1AC" w14:textId="77777777" w:rsidTr="004A7ABB">
        <w:tc>
          <w:tcPr>
            <w:tcW w:w="9016" w:type="dxa"/>
            <w:gridSpan w:val="4"/>
          </w:tcPr>
          <w:p w14:paraId="1B35590D" w14:textId="77777777" w:rsidR="0082327B" w:rsidRDefault="0082327B" w:rsidP="004A7ABB">
            <w:pPr>
              <w:rPr>
                <w:b/>
              </w:rPr>
            </w:pPr>
            <w:r w:rsidRPr="001421F2">
              <w:rPr>
                <w:b/>
              </w:rPr>
              <w:t>PHASE I (NOVEMBER 2018 – MARCH 2019)</w:t>
            </w:r>
          </w:p>
          <w:p w14:paraId="68A60683" w14:textId="77777777" w:rsidR="0082327B" w:rsidRPr="001421F2" w:rsidRDefault="0082327B" w:rsidP="004A7ABB">
            <w:pPr>
              <w:rPr>
                <w:b/>
              </w:rPr>
            </w:pPr>
          </w:p>
        </w:tc>
      </w:tr>
      <w:tr w:rsidR="0082327B" w:rsidRPr="00C46C88" w14:paraId="01063EB9" w14:textId="77777777" w:rsidTr="004A7ABB">
        <w:tc>
          <w:tcPr>
            <w:tcW w:w="2122" w:type="dxa"/>
          </w:tcPr>
          <w:p w14:paraId="0030E469" w14:textId="77777777" w:rsidR="0082327B" w:rsidRPr="00C46C88" w:rsidRDefault="0082327B" w:rsidP="004A7ABB">
            <w:r>
              <w:t>13 November 2018</w:t>
            </w:r>
          </w:p>
        </w:tc>
        <w:tc>
          <w:tcPr>
            <w:tcW w:w="2829" w:type="dxa"/>
          </w:tcPr>
          <w:p w14:paraId="6EB74A36" w14:textId="77777777" w:rsidR="0082327B" w:rsidRPr="00C46C88" w:rsidRDefault="0082327B" w:rsidP="004A7ABB">
            <w:r>
              <w:t>Business Executive Team</w:t>
            </w:r>
          </w:p>
        </w:tc>
        <w:tc>
          <w:tcPr>
            <w:tcW w:w="1941" w:type="dxa"/>
          </w:tcPr>
          <w:p w14:paraId="08A6F10F" w14:textId="77777777" w:rsidR="0082327B" w:rsidRPr="00C46C88" w:rsidRDefault="0082327B" w:rsidP="004A7ABB">
            <w:r>
              <w:t>Report</w:t>
            </w:r>
          </w:p>
        </w:tc>
        <w:tc>
          <w:tcPr>
            <w:tcW w:w="2124" w:type="dxa"/>
          </w:tcPr>
          <w:p w14:paraId="077A7C7B" w14:textId="77777777" w:rsidR="0082327B" w:rsidRPr="00C46C88" w:rsidRDefault="0082327B" w:rsidP="004A7ABB"/>
        </w:tc>
      </w:tr>
      <w:tr w:rsidR="0082327B" w:rsidRPr="00C46C88" w14:paraId="0B35D890" w14:textId="77777777" w:rsidTr="004A7ABB">
        <w:tc>
          <w:tcPr>
            <w:tcW w:w="2122" w:type="dxa"/>
          </w:tcPr>
          <w:p w14:paraId="67A0EFFC" w14:textId="77777777" w:rsidR="0082327B" w:rsidRPr="00C46C88" w:rsidRDefault="0082327B" w:rsidP="004A7ABB">
            <w:r w:rsidRPr="00C46C88">
              <w:t>20 December 2018</w:t>
            </w:r>
          </w:p>
        </w:tc>
        <w:tc>
          <w:tcPr>
            <w:tcW w:w="2829" w:type="dxa"/>
          </w:tcPr>
          <w:p w14:paraId="242379E8" w14:textId="77777777" w:rsidR="0082327B" w:rsidRPr="00C46C88" w:rsidRDefault="0082327B" w:rsidP="004A7ABB">
            <w:r>
              <w:t>Business Executive Team</w:t>
            </w:r>
          </w:p>
        </w:tc>
        <w:tc>
          <w:tcPr>
            <w:tcW w:w="1941" w:type="dxa"/>
          </w:tcPr>
          <w:p w14:paraId="000872AE" w14:textId="77777777" w:rsidR="0082327B" w:rsidRPr="00C46C88" w:rsidRDefault="0082327B" w:rsidP="004A7ABB">
            <w:r w:rsidRPr="00C46C88">
              <w:t>Presentation</w:t>
            </w:r>
          </w:p>
        </w:tc>
        <w:tc>
          <w:tcPr>
            <w:tcW w:w="2124" w:type="dxa"/>
          </w:tcPr>
          <w:p w14:paraId="5F2435EE" w14:textId="77777777" w:rsidR="0082327B" w:rsidRPr="00C46C88" w:rsidRDefault="0082327B" w:rsidP="004A7ABB">
            <w:r w:rsidRPr="00C46C88">
              <w:t>Business Continuity arrangements</w:t>
            </w:r>
          </w:p>
        </w:tc>
      </w:tr>
      <w:tr w:rsidR="0082327B" w:rsidRPr="00C46C88" w14:paraId="47607167" w14:textId="77777777" w:rsidTr="004A7ABB">
        <w:tc>
          <w:tcPr>
            <w:tcW w:w="2122" w:type="dxa"/>
          </w:tcPr>
          <w:p w14:paraId="2BC1B90C" w14:textId="77777777" w:rsidR="0082327B" w:rsidRPr="00C46C88" w:rsidRDefault="0082327B" w:rsidP="004A7ABB">
            <w:r>
              <w:t>15 January 2019</w:t>
            </w:r>
          </w:p>
        </w:tc>
        <w:tc>
          <w:tcPr>
            <w:tcW w:w="2829" w:type="dxa"/>
          </w:tcPr>
          <w:p w14:paraId="41E4C5B2" w14:textId="77777777" w:rsidR="0082327B" w:rsidRPr="00C46C88" w:rsidRDefault="0082327B" w:rsidP="004A7ABB">
            <w:r>
              <w:t>Business Executive Team</w:t>
            </w:r>
          </w:p>
        </w:tc>
        <w:tc>
          <w:tcPr>
            <w:tcW w:w="1941" w:type="dxa"/>
          </w:tcPr>
          <w:p w14:paraId="00810A52" w14:textId="77777777" w:rsidR="0082327B" w:rsidRPr="00C46C88" w:rsidRDefault="0082327B" w:rsidP="004A7ABB">
            <w:r>
              <w:t>Report</w:t>
            </w:r>
          </w:p>
        </w:tc>
        <w:tc>
          <w:tcPr>
            <w:tcW w:w="2124" w:type="dxa"/>
          </w:tcPr>
          <w:p w14:paraId="7175984B" w14:textId="77777777" w:rsidR="0082327B" w:rsidRPr="00C46C88" w:rsidRDefault="0082327B" w:rsidP="004A7ABB"/>
        </w:tc>
      </w:tr>
      <w:tr w:rsidR="0082327B" w:rsidRPr="00C46C88" w14:paraId="0CE36DB8" w14:textId="77777777" w:rsidTr="004A7ABB">
        <w:tc>
          <w:tcPr>
            <w:tcW w:w="2122" w:type="dxa"/>
          </w:tcPr>
          <w:p w14:paraId="59EB610C" w14:textId="77777777" w:rsidR="0082327B" w:rsidRPr="00C46C88" w:rsidRDefault="0082327B" w:rsidP="004A7ABB">
            <w:r w:rsidRPr="00C46C88">
              <w:t>23 January 2019</w:t>
            </w:r>
          </w:p>
        </w:tc>
        <w:tc>
          <w:tcPr>
            <w:tcW w:w="2829" w:type="dxa"/>
          </w:tcPr>
          <w:p w14:paraId="35F6E107" w14:textId="77777777" w:rsidR="0082327B" w:rsidRPr="00C46C88" w:rsidRDefault="0082327B" w:rsidP="004A7ABB">
            <w:r w:rsidRPr="00C46C88">
              <w:t>Audit and Corporate Governance Committee</w:t>
            </w:r>
          </w:p>
        </w:tc>
        <w:tc>
          <w:tcPr>
            <w:tcW w:w="1941" w:type="dxa"/>
          </w:tcPr>
          <w:p w14:paraId="5B2390F3" w14:textId="77777777" w:rsidR="0082327B" w:rsidRPr="00C46C88" w:rsidRDefault="0082327B" w:rsidP="004A7ABB">
            <w:r w:rsidRPr="00C46C88">
              <w:t>Report</w:t>
            </w:r>
          </w:p>
        </w:tc>
        <w:tc>
          <w:tcPr>
            <w:tcW w:w="2124" w:type="dxa"/>
          </w:tcPr>
          <w:p w14:paraId="7E7C9816" w14:textId="77777777" w:rsidR="0082327B" w:rsidRPr="00C46C88" w:rsidRDefault="0082327B" w:rsidP="004A7ABB"/>
        </w:tc>
      </w:tr>
      <w:tr w:rsidR="0082327B" w:rsidRPr="00C46C88" w14:paraId="1BD87EBC" w14:textId="77777777" w:rsidTr="004A7ABB">
        <w:tc>
          <w:tcPr>
            <w:tcW w:w="2122" w:type="dxa"/>
          </w:tcPr>
          <w:p w14:paraId="0BF4EAB6" w14:textId="77777777" w:rsidR="0082327B" w:rsidRPr="00C46C88" w:rsidRDefault="0082327B" w:rsidP="004A7ABB">
            <w:r>
              <w:t>12 February 2019</w:t>
            </w:r>
          </w:p>
        </w:tc>
        <w:tc>
          <w:tcPr>
            <w:tcW w:w="2829" w:type="dxa"/>
          </w:tcPr>
          <w:p w14:paraId="4DDD0ACE" w14:textId="77777777" w:rsidR="0082327B" w:rsidRPr="00C46C88" w:rsidRDefault="0082327B" w:rsidP="004A7ABB">
            <w:r>
              <w:t>Business Executive Team</w:t>
            </w:r>
          </w:p>
        </w:tc>
        <w:tc>
          <w:tcPr>
            <w:tcW w:w="1941" w:type="dxa"/>
          </w:tcPr>
          <w:p w14:paraId="33F44DA3" w14:textId="77777777" w:rsidR="0082327B" w:rsidRPr="00C46C88" w:rsidRDefault="0082327B" w:rsidP="004A7ABB">
            <w:r>
              <w:t>Report</w:t>
            </w:r>
          </w:p>
        </w:tc>
        <w:tc>
          <w:tcPr>
            <w:tcW w:w="2124" w:type="dxa"/>
          </w:tcPr>
          <w:p w14:paraId="3E534706" w14:textId="77777777" w:rsidR="0082327B" w:rsidRPr="00C46C88" w:rsidRDefault="0082327B" w:rsidP="004A7ABB"/>
        </w:tc>
      </w:tr>
      <w:tr w:rsidR="0082327B" w:rsidRPr="00C46C88" w14:paraId="0BCF77FB" w14:textId="77777777" w:rsidTr="004A7ABB">
        <w:tc>
          <w:tcPr>
            <w:tcW w:w="2122" w:type="dxa"/>
          </w:tcPr>
          <w:p w14:paraId="5B82A5B2" w14:textId="77777777" w:rsidR="0082327B" w:rsidRPr="00C46C88" w:rsidRDefault="0082327B" w:rsidP="004A7ABB">
            <w:r w:rsidRPr="00C46C88">
              <w:t>13 February 2019</w:t>
            </w:r>
          </w:p>
        </w:tc>
        <w:tc>
          <w:tcPr>
            <w:tcW w:w="2829" w:type="dxa"/>
          </w:tcPr>
          <w:p w14:paraId="3E1B8EBB" w14:textId="77777777" w:rsidR="0082327B" w:rsidRPr="00C46C88" w:rsidRDefault="0082327B" w:rsidP="004A7ABB">
            <w:r w:rsidRPr="00C46C88">
              <w:t>Audit and Corporate Governance Committee</w:t>
            </w:r>
          </w:p>
        </w:tc>
        <w:tc>
          <w:tcPr>
            <w:tcW w:w="1941" w:type="dxa"/>
          </w:tcPr>
          <w:p w14:paraId="423F7972" w14:textId="77777777" w:rsidR="0082327B" w:rsidRPr="00C46C88" w:rsidRDefault="0082327B" w:rsidP="004A7ABB">
            <w:r w:rsidRPr="00C46C88">
              <w:t>Report</w:t>
            </w:r>
          </w:p>
        </w:tc>
        <w:tc>
          <w:tcPr>
            <w:tcW w:w="2124" w:type="dxa"/>
          </w:tcPr>
          <w:p w14:paraId="1822D844" w14:textId="77777777" w:rsidR="0082327B" w:rsidRPr="00C46C88" w:rsidRDefault="0082327B" w:rsidP="004A7ABB"/>
        </w:tc>
      </w:tr>
      <w:tr w:rsidR="0082327B" w:rsidRPr="00C46C88" w14:paraId="557D0A07" w14:textId="77777777" w:rsidTr="004A7ABB">
        <w:tc>
          <w:tcPr>
            <w:tcW w:w="2122" w:type="dxa"/>
          </w:tcPr>
          <w:p w14:paraId="313A9267" w14:textId="77777777" w:rsidR="0082327B" w:rsidRPr="00C46C88" w:rsidRDefault="0082327B" w:rsidP="004A7ABB">
            <w:r>
              <w:t>13 March 2019</w:t>
            </w:r>
          </w:p>
        </w:tc>
        <w:tc>
          <w:tcPr>
            <w:tcW w:w="2829" w:type="dxa"/>
          </w:tcPr>
          <w:p w14:paraId="2F0F586E" w14:textId="77777777" w:rsidR="0082327B" w:rsidRPr="00C46C88" w:rsidRDefault="0082327B" w:rsidP="004A7ABB">
            <w:r>
              <w:t>Business Executive Team</w:t>
            </w:r>
          </w:p>
        </w:tc>
        <w:tc>
          <w:tcPr>
            <w:tcW w:w="1941" w:type="dxa"/>
          </w:tcPr>
          <w:p w14:paraId="7AC033B9" w14:textId="77777777" w:rsidR="0082327B" w:rsidRPr="00C46C88" w:rsidRDefault="0082327B" w:rsidP="004A7ABB">
            <w:r>
              <w:t>Report</w:t>
            </w:r>
          </w:p>
        </w:tc>
        <w:tc>
          <w:tcPr>
            <w:tcW w:w="2124" w:type="dxa"/>
          </w:tcPr>
          <w:p w14:paraId="3A8D3027" w14:textId="77777777" w:rsidR="0082327B" w:rsidRPr="00C46C88" w:rsidRDefault="0082327B" w:rsidP="004A7ABB"/>
        </w:tc>
      </w:tr>
      <w:tr w:rsidR="0082327B" w:rsidRPr="00C15441" w14:paraId="06B646CD" w14:textId="77777777" w:rsidTr="004A7ABB">
        <w:tc>
          <w:tcPr>
            <w:tcW w:w="2122" w:type="dxa"/>
          </w:tcPr>
          <w:p w14:paraId="38F6A1C9" w14:textId="77777777" w:rsidR="0082327B" w:rsidRPr="00C46C88" w:rsidRDefault="0082327B" w:rsidP="004A7ABB">
            <w:r w:rsidRPr="00C46C88">
              <w:t>18 March 2019</w:t>
            </w:r>
          </w:p>
        </w:tc>
        <w:tc>
          <w:tcPr>
            <w:tcW w:w="2829" w:type="dxa"/>
          </w:tcPr>
          <w:p w14:paraId="68A95D6E" w14:textId="77777777" w:rsidR="0082327B" w:rsidRPr="00C46C88" w:rsidRDefault="0082327B" w:rsidP="004A7ABB">
            <w:r>
              <w:t>Business Executive Team</w:t>
            </w:r>
          </w:p>
        </w:tc>
        <w:tc>
          <w:tcPr>
            <w:tcW w:w="1941" w:type="dxa"/>
          </w:tcPr>
          <w:p w14:paraId="447234C1" w14:textId="77777777" w:rsidR="0082327B" w:rsidRPr="00C46C88" w:rsidRDefault="0082327B" w:rsidP="004A7ABB">
            <w:r w:rsidRPr="00C46C88">
              <w:t>Report</w:t>
            </w:r>
          </w:p>
        </w:tc>
        <w:tc>
          <w:tcPr>
            <w:tcW w:w="2124" w:type="dxa"/>
          </w:tcPr>
          <w:p w14:paraId="6C5EAA40" w14:textId="77777777" w:rsidR="0082327B" w:rsidRPr="00C15441" w:rsidRDefault="0082327B" w:rsidP="004A7ABB"/>
        </w:tc>
      </w:tr>
      <w:tr w:rsidR="0082327B" w:rsidRPr="00C15441" w14:paraId="6083704C" w14:textId="77777777" w:rsidTr="004A7ABB">
        <w:tc>
          <w:tcPr>
            <w:tcW w:w="2122" w:type="dxa"/>
          </w:tcPr>
          <w:p w14:paraId="19C6C92B" w14:textId="77777777" w:rsidR="0082327B" w:rsidRDefault="0082327B" w:rsidP="004A7ABB">
            <w:r>
              <w:t>18 March 2019</w:t>
            </w:r>
          </w:p>
        </w:tc>
        <w:tc>
          <w:tcPr>
            <w:tcW w:w="2829" w:type="dxa"/>
          </w:tcPr>
          <w:p w14:paraId="7A202DEA" w14:textId="77777777" w:rsidR="0082327B" w:rsidRDefault="0082327B" w:rsidP="004A7ABB">
            <w:r>
              <w:t>Business Executive Team</w:t>
            </w:r>
          </w:p>
        </w:tc>
        <w:tc>
          <w:tcPr>
            <w:tcW w:w="1941" w:type="dxa"/>
          </w:tcPr>
          <w:p w14:paraId="3F8E6C29" w14:textId="77777777" w:rsidR="0082327B" w:rsidRDefault="0082327B" w:rsidP="004A7ABB">
            <w:r>
              <w:t>Report</w:t>
            </w:r>
          </w:p>
        </w:tc>
        <w:tc>
          <w:tcPr>
            <w:tcW w:w="2124" w:type="dxa"/>
          </w:tcPr>
          <w:p w14:paraId="55D82800" w14:textId="77777777" w:rsidR="0082327B" w:rsidRPr="00C15441" w:rsidRDefault="0082327B" w:rsidP="004A7ABB">
            <w:r w:rsidRPr="00C15441">
              <w:t>Brexit update and Situation Reporting (SitRep) arrangements</w:t>
            </w:r>
          </w:p>
        </w:tc>
      </w:tr>
      <w:tr w:rsidR="0082327B" w:rsidRPr="00C15441" w14:paraId="5F14BDDC" w14:textId="77777777" w:rsidTr="004A7ABB">
        <w:tc>
          <w:tcPr>
            <w:tcW w:w="2122" w:type="dxa"/>
          </w:tcPr>
          <w:p w14:paraId="2D780DD2" w14:textId="77777777" w:rsidR="0082327B" w:rsidRDefault="0082327B" w:rsidP="004A7ABB">
            <w:r>
              <w:t>28 March 2019</w:t>
            </w:r>
          </w:p>
        </w:tc>
        <w:tc>
          <w:tcPr>
            <w:tcW w:w="2829" w:type="dxa"/>
          </w:tcPr>
          <w:p w14:paraId="71B6EE94" w14:textId="77777777" w:rsidR="0082327B" w:rsidRDefault="0082327B" w:rsidP="004A7ABB">
            <w:r>
              <w:t>Board</w:t>
            </w:r>
          </w:p>
        </w:tc>
        <w:tc>
          <w:tcPr>
            <w:tcW w:w="1941" w:type="dxa"/>
          </w:tcPr>
          <w:p w14:paraId="11EB93F0" w14:textId="77777777" w:rsidR="0082327B" w:rsidRDefault="0082327B" w:rsidP="004A7ABB">
            <w:r>
              <w:t>Report</w:t>
            </w:r>
          </w:p>
        </w:tc>
        <w:tc>
          <w:tcPr>
            <w:tcW w:w="2124" w:type="dxa"/>
          </w:tcPr>
          <w:p w14:paraId="15970E85" w14:textId="77777777" w:rsidR="0082327B" w:rsidRPr="00C15441" w:rsidRDefault="0082327B" w:rsidP="004A7ABB"/>
        </w:tc>
      </w:tr>
    </w:tbl>
    <w:p w14:paraId="39C48DF1" w14:textId="77777777" w:rsidR="0082327B" w:rsidRDefault="0082327B" w:rsidP="0082327B"/>
    <w:p w14:paraId="44863B68" w14:textId="77777777" w:rsidR="0082327B" w:rsidRDefault="0082327B" w:rsidP="00B14157">
      <w:pPr>
        <w:jc w:val="both"/>
        <w:rPr>
          <w:b/>
          <w:color w:val="2E74B5" w:themeColor="accent1" w:themeShade="BF"/>
        </w:rPr>
      </w:pPr>
    </w:p>
    <w:p w14:paraId="4ED58D49" w14:textId="77777777" w:rsidR="0040650C" w:rsidRDefault="0040650C" w:rsidP="00B14157">
      <w:pPr>
        <w:jc w:val="both"/>
        <w:rPr>
          <w:b/>
          <w:color w:val="2E74B5" w:themeColor="accent1" w:themeShade="BF"/>
        </w:rPr>
      </w:pPr>
    </w:p>
    <w:p w14:paraId="0906ABE6" w14:textId="77777777" w:rsidR="0040650C" w:rsidRDefault="0040650C" w:rsidP="00B14157">
      <w:pPr>
        <w:jc w:val="both"/>
        <w:rPr>
          <w:b/>
          <w:color w:val="2E74B5" w:themeColor="accent1" w:themeShade="BF"/>
        </w:rPr>
      </w:pPr>
    </w:p>
    <w:p w14:paraId="6CA1CAFD" w14:textId="70A51AEB" w:rsidR="00B14157" w:rsidRDefault="00B14157" w:rsidP="00B14157">
      <w:pPr>
        <w:jc w:val="both"/>
        <w:rPr>
          <w:b/>
        </w:rPr>
      </w:pPr>
      <w:r w:rsidRPr="00EC281F">
        <w:rPr>
          <w:b/>
          <w:color w:val="2E74B5" w:themeColor="accent1" w:themeShade="BF"/>
        </w:rPr>
        <w:t xml:space="preserve">PHASE II (May 2019 – </w:t>
      </w:r>
      <w:r w:rsidR="00A24E22">
        <w:rPr>
          <w:b/>
          <w:color w:val="2E74B5" w:themeColor="accent1" w:themeShade="BF"/>
        </w:rPr>
        <w:t xml:space="preserve">February </w:t>
      </w:r>
      <w:r w:rsidRPr="00EC281F">
        <w:rPr>
          <w:b/>
          <w:color w:val="2E74B5" w:themeColor="accent1" w:themeShade="BF"/>
        </w:rPr>
        <w:t>2020)</w:t>
      </w:r>
    </w:p>
    <w:p w14:paraId="15F52D52" w14:textId="77777777" w:rsidR="00B14157" w:rsidRDefault="00B14157" w:rsidP="00B14157">
      <w:pPr>
        <w:jc w:val="both"/>
        <w:rPr>
          <w:b/>
        </w:rPr>
      </w:pPr>
    </w:p>
    <w:p w14:paraId="79D85B5B" w14:textId="77777777" w:rsidR="004B506D" w:rsidRPr="00A25C45" w:rsidRDefault="004B506D" w:rsidP="004B506D">
      <w:r w:rsidRPr="00A25C45">
        <w:t xml:space="preserve">Welsh Government </w:t>
      </w:r>
      <w:r>
        <w:t xml:space="preserve">letter </w:t>
      </w:r>
      <w:r w:rsidR="000D0B84">
        <w:t xml:space="preserve">confirms </w:t>
      </w:r>
      <w:r w:rsidRPr="00A25C45">
        <w:t>bid against European monies awarded</w:t>
      </w:r>
      <w:r w:rsidR="000D0B84">
        <w:t xml:space="preserve"> @ £60,000 </w:t>
      </w:r>
      <w:r w:rsidRPr="00A25C45">
        <w:t>to fund the Public Health Resilience Programme in Wales.</w:t>
      </w:r>
    </w:p>
    <w:p w14:paraId="7C35B794" w14:textId="77777777" w:rsidR="004B506D" w:rsidRPr="00A25C45" w:rsidRDefault="004B506D" w:rsidP="004B506D"/>
    <w:p w14:paraId="33D09CFB" w14:textId="77777777" w:rsidR="004B506D" w:rsidRDefault="004B506D" w:rsidP="004B506D">
      <w:r>
        <w:t xml:space="preserve">July 2019 - </w:t>
      </w:r>
      <w:r w:rsidRPr="00A25C45">
        <w:t>‘No-Deal’ Activation Plan</w:t>
      </w:r>
      <w:r>
        <w:t>.</w:t>
      </w:r>
    </w:p>
    <w:p w14:paraId="65231888" w14:textId="77777777" w:rsidR="004B506D" w:rsidRDefault="004B506D" w:rsidP="004B506D"/>
    <w:p w14:paraId="0E7100F6" w14:textId="77777777" w:rsidR="004B506D" w:rsidRDefault="004B506D" w:rsidP="004B506D">
      <w:r>
        <w:t xml:space="preserve">August 2019 </w:t>
      </w:r>
      <w:r w:rsidR="000D0B84">
        <w:t>–</w:t>
      </w:r>
      <w:r>
        <w:t xml:space="preserve"> </w:t>
      </w:r>
      <w:r w:rsidRPr="00A25C45">
        <w:t>Communications</w:t>
      </w:r>
      <w:r w:rsidR="000D0B84">
        <w:t>’</w:t>
      </w:r>
      <w:r w:rsidRPr="00A25C45">
        <w:t xml:space="preserve"> No Deal Activation Plan</w:t>
      </w:r>
      <w:r>
        <w:t>.</w:t>
      </w:r>
    </w:p>
    <w:p w14:paraId="203E91E5" w14:textId="77777777" w:rsidR="004B506D" w:rsidRDefault="004B506D" w:rsidP="004B506D"/>
    <w:p w14:paraId="1B6FBE55" w14:textId="77777777" w:rsidR="004B506D" w:rsidRDefault="004B506D" w:rsidP="004B506D">
      <w:r>
        <w:t xml:space="preserve">October 2019 - </w:t>
      </w:r>
      <w:r w:rsidRPr="00A25C45">
        <w:t>The Public Health Implications of Brexit in Wales: A Health Impact Assessment Approach A rapid review and update</w:t>
      </w:r>
      <w:r>
        <w:t>.</w:t>
      </w:r>
    </w:p>
    <w:p w14:paraId="28E588F0" w14:textId="77777777" w:rsidR="004B506D" w:rsidRDefault="004B506D" w:rsidP="004B506D"/>
    <w:p w14:paraId="08C332A9" w14:textId="77777777" w:rsidR="004B506D" w:rsidRPr="00A25C45" w:rsidRDefault="004B506D" w:rsidP="000D0B84">
      <w:pPr>
        <w:jc w:val="both"/>
      </w:pPr>
      <w:r>
        <w:t xml:space="preserve">July 2019 - </w:t>
      </w:r>
      <w:r w:rsidRPr="00A25C45">
        <w:t xml:space="preserve">Environment Health Lead Officer Training Steering Group Terms of </w:t>
      </w:r>
      <w:r w:rsidR="000D0B84">
        <w:t>Reference</w:t>
      </w:r>
      <w:r>
        <w:t>.</w:t>
      </w:r>
    </w:p>
    <w:p w14:paraId="437B3E35" w14:textId="77777777" w:rsidR="004B506D" w:rsidRPr="00A25C45" w:rsidRDefault="004B506D" w:rsidP="004B506D"/>
    <w:p w14:paraId="6A0E55A9" w14:textId="77777777" w:rsidR="004B506D" w:rsidRDefault="004B506D" w:rsidP="000D0B84">
      <w:pPr>
        <w:jc w:val="both"/>
      </w:pPr>
      <w:r>
        <w:t xml:space="preserve">September 2019 - </w:t>
      </w:r>
      <w:r w:rsidRPr="00A25C45">
        <w:t>refresher training provided by Public Health Wales on the use of Personal Protective Equipment for the management of High Consequence Infectious Diseases</w:t>
      </w:r>
      <w:r>
        <w:t>.</w:t>
      </w:r>
    </w:p>
    <w:p w14:paraId="42F92F80" w14:textId="77777777" w:rsidR="004B506D" w:rsidRDefault="004B506D" w:rsidP="004B506D"/>
    <w:p w14:paraId="6CA02C0C" w14:textId="77777777" w:rsidR="004B506D" w:rsidRDefault="004B506D" w:rsidP="000D0B84">
      <w:pPr>
        <w:jc w:val="both"/>
      </w:pPr>
      <w:r>
        <w:t xml:space="preserve">October 2019 - </w:t>
      </w:r>
      <w:r w:rsidRPr="00A25C45">
        <w:t xml:space="preserve">training provided by Public Health Wales on </w:t>
      </w:r>
      <w:r>
        <w:t>Legionellosis.</w:t>
      </w:r>
    </w:p>
    <w:p w14:paraId="57C6AD70" w14:textId="77777777" w:rsidR="004B506D" w:rsidRPr="00A25C45" w:rsidRDefault="004B506D" w:rsidP="004B506D"/>
    <w:p w14:paraId="7BF87CDF" w14:textId="77777777" w:rsidR="004B506D" w:rsidRPr="00A25C45" w:rsidRDefault="004B506D" w:rsidP="004B506D">
      <w:r>
        <w:t>October 2019 - Allanfa #2 debrief report.</w:t>
      </w:r>
    </w:p>
    <w:p w14:paraId="06DB7964" w14:textId="77777777" w:rsidR="004B506D" w:rsidRPr="00A25C45" w:rsidRDefault="004B506D" w:rsidP="004B506D"/>
    <w:p w14:paraId="0A83E9FF" w14:textId="3EAE664B" w:rsidR="00C24AFD" w:rsidRDefault="00C24AFD" w:rsidP="00A24E22">
      <w:pPr>
        <w:jc w:val="both"/>
        <w:rPr>
          <w:rFonts w:cs="Arial"/>
          <w:color w:val="000000"/>
          <w:lang w:eastAsia="en-GB"/>
        </w:rPr>
      </w:pPr>
      <w:r w:rsidRPr="0069485A">
        <w:rPr>
          <w:lang w:eastAsia="en-GB"/>
        </w:rPr>
        <w:t>February 20</w:t>
      </w:r>
      <w:r>
        <w:rPr>
          <w:lang w:eastAsia="en-GB"/>
        </w:rPr>
        <w:t xml:space="preserve">20 </w:t>
      </w:r>
      <w:r w:rsidR="00423910">
        <w:rPr>
          <w:lang w:eastAsia="en-GB"/>
        </w:rPr>
        <w:t>–</w:t>
      </w:r>
      <w:r>
        <w:rPr>
          <w:lang w:eastAsia="en-GB"/>
        </w:rPr>
        <w:t xml:space="preserve"> </w:t>
      </w:r>
      <w:r w:rsidR="00180BBA">
        <w:rPr>
          <w:lang w:eastAsia="en-GB"/>
        </w:rPr>
        <w:t>P</w:t>
      </w:r>
      <w:r w:rsidR="00423910">
        <w:rPr>
          <w:lang w:eastAsia="en-GB"/>
        </w:rPr>
        <w:t xml:space="preserve">ublic Health Wales </w:t>
      </w:r>
      <w:r w:rsidRPr="0069485A">
        <w:rPr>
          <w:lang w:eastAsia="en-GB"/>
        </w:rPr>
        <w:t xml:space="preserve">published </w:t>
      </w:r>
      <w:hyperlink r:id="rId11" w:history="1">
        <w:r w:rsidRPr="0069485A">
          <w:rPr>
            <w:rStyle w:val="Hyperlink"/>
            <w:rFonts w:cs="Arial"/>
          </w:rPr>
          <w:t>The health and well-being of young people in Wales. Do they think Brexit will make a difference?</w:t>
        </w:r>
      </w:hyperlink>
      <w:r w:rsidRPr="0069485A">
        <w:rPr>
          <w:rFonts w:cs="Arial"/>
          <w:color w:val="000000"/>
          <w:lang w:eastAsia="en-GB"/>
        </w:rPr>
        <w:t>.</w:t>
      </w:r>
    </w:p>
    <w:p w14:paraId="7D414D0C" w14:textId="77777777" w:rsidR="00C24AFD" w:rsidRDefault="00C24AFD" w:rsidP="000D0B84">
      <w:pPr>
        <w:jc w:val="both"/>
      </w:pPr>
    </w:p>
    <w:p w14:paraId="2CCCA6E7" w14:textId="70580EEB" w:rsidR="004B506D" w:rsidRDefault="004B506D" w:rsidP="000D0B84">
      <w:pPr>
        <w:jc w:val="both"/>
      </w:pPr>
      <w:r>
        <w:t xml:space="preserve">February 2020 - </w:t>
      </w:r>
      <w:r w:rsidRPr="00A25C45">
        <w:t xml:space="preserve">Public Health Wales COVID-19 training session for </w:t>
      </w:r>
      <w:r>
        <w:t xml:space="preserve">Environmental Health </w:t>
      </w:r>
      <w:r w:rsidRPr="00A25C45">
        <w:t>Lead Officers and others</w:t>
      </w:r>
      <w:r>
        <w:t>.</w:t>
      </w:r>
    </w:p>
    <w:p w14:paraId="24CB5297" w14:textId="3B62AABC" w:rsidR="00C24AFD" w:rsidRDefault="00C24AFD" w:rsidP="000D0B84">
      <w:pPr>
        <w:jc w:val="both"/>
      </w:pPr>
    </w:p>
    <w:p w14:paraId="23939D8F" w14:textId="4BDA4FA5" w:rsidR="004B506D" w:rsidRDefault="004B506D" w:rsidP="000D0B84">
      <w:pPr>
        <w:jc w:val="both"/>
      </w:pPr>
      <w:r w:rsidRPr="00A25C45">
        <w:t>Sixteen meetings of the Four Nations’ Health Protection Emergency Planning Group were held d</w:t>
      </w:r>
      <w:r>
        <w:t>uring Phase II of the Programme – agenda and papers.</w:t>
      </w:r>
    </w:p>
    <w:p w14:paraId="7110294C" w14:textId="77777777" w:rsidR="004B506D" w:rsidRDefault="004B506D" w:rsidP="004B506D"/>
    <w:p w14:paraId="140D4B36" w14:textId="77777777" w:rsidR="004B506D" w:rsidRPr="00A25C45" w:rsidRDefault="004B506D" w:rsidP="000D0B84">
      <w:pPr>
        <w:jc w:val="both"/>
      </w:pPr>
      <w:r w:rsidRPr="00A25C45">
        <w:t xml:space="preserve">Two health securities assurance statements were submitted to Welsh Government for consideration by </w:t>
      </w:r>
      <w:r w:rsidR="000D0B84">
        <w:t xml:space="preserve">the </w:t>
      </w:r>
      <w:r w:rsidRPr="00A25C45">
        <w:t>SRO Group.</w:t>
      </w:r>
    </w:p>
    <w:p w14:paraId="5D0B212B" w14:textId="77777777" w:rsidR="004B506D" w:rsidRPr="00A25C45" w:rsidRDefault="004B506D" w:rsidP="004B506D"/>
    <w:p w14:paraId="0F046490" w14:textId="615C74B9" w:rsidR="004B506D" w:rsidRDefault="00180BBA" w:rsidP="004B506D">
      <w:r>
        <w:t xml:space="preserve">Public Health Wales </w:t>
      </w:r>
      <w:r w:rsidR="004B506D" w:rsidRPr="00A25C45">
        <w:t>Business Continuity and Emergency Planning Project Plan</w:t>
      </w:r>
      <w:r w:rsidR="004B506D">
        <w:t>.</w:t>
      </w:r>
    </w:p>
    <w:p w14:paraId="3692980B" w14:textId="77777777" w:rsidR="004B506D" w:rsidRDefault="004B506D" w:rsidP="004B506D"/>
    <w:p w14:paraId="30DFAC86" w14:textId="7AE9BA06" w:rsidR="004B506D" w:rsidRPr="00A25C45" w:rsidRDefault="004B506D" w:rsidP="00180BBA">
      <w:pPr>
        <w:jc w:val="both"/>
      </w:pPr>
      <w:r>
        <w:t xml:space="preserve">September 2019 - </w:t>
      </w:r>
      <w:r w:rsidRPr="00A25C45">
        <w:t>Business continuity exercises for identified P</w:t>
      </w:r>
      <w:r w:rsidR="00180BBA">
        <w:t xml:space="preserve">ublic Health Wales </w:t>
      </w:r>
      <w:r w:rsidRPr="00A25C45">
        <w:t>critical services (Microbiology, Health Protection and Screening</w:t>
      </w:r>
      <w:r>
        <w:t>)</w:t>
      </w:r>
      <w:r w:rsidRPr="00A25C45">
        <w:t>.</w:t>
      </w:r>
    </w:p>
    <w:p w14:paraId="0FEA51F2" w14:textId="77777777" w:rsidR="004B506D" w:rsidRPr="00A25C45" w:rsidRDefault="004B506D" w:rsidP="004B506D"/>
    <w:p w14:paraId="2B566C69" w14:textId="77777777" w:rsidR="004B506D" w:rsidRPr="00A25C45" w:rsidRDefault="004B506D" w:rsidP="004B506D">
      <w:r>
        <w:t xml:space="preserve">July 2019 - </w:t>
      </w:r>
      <w:r w:rsidRPr="00A25C45">
        <w:t>A Learning and Development Prospectus, including a training competency pathway</w:t>
      </w:r>
      <w:r>
        <w:t>.</w:t>
      </w:r>
    </w:p>
    <w:p w14:paraId="2D89B42A" w14:textId="77777777" w:rsidR="004B506D" w:rsidRDefault="004B506D" w:rsidP="004B506D"/>
    <w:p w14:paraId="4A6F1B61" w14:textId="7DFA89BE" w:rsidR="00F653B6" w:rsidRPr="002D0C12" w:rsidRDefault="00F653B6">
      <w:pPr>
        <w:jc w:val="both"/>
        <w:rPr>
          <w:bCs/>
        </w:rPr>
      </w:pPr>
      <w:r w:rsidRPr="002D0C12">
        <w:t xml:space="preserve">August 2019 – A </w:t>
      </w:r>
      <w:r w:rsidRPr="002D0C12">
        <w:rPr>
          <w:bCs/>
        </w:rPr>
        <w:t>joint Public Health Wales and Welsh Government workshop on ‘</w:t>
      </w:r>
      <w:r w:rsidRPr="002D0C12">
        <w:rPr>
          <w:bCs/>
          <w:i/>
        </w:rPr>
        <w:t>Health, well-being and care post Brexit</w:t>
      </w:r>
      <w:r w:rsidRPr="002D0C12">
        <w:rPr>
          <w:bCs/>
        </w:rPr>
        <w:t xml:space="preserve">’. </w:t>
      </w:r>
    </w:p>
    <w:p w14:paraId="548F12B4" w14:textId="77777777" w:rsidR="00F653B6" w:rsidRPr="002D0C12" w:rsidRDefault="00F653B6" w:rsidP="000D0B84">
      <w:pPr>
        <w:jc w:val="both"/>
      </w:pPr>
    </w:p>
    <w:p w14:paraId="54A9C79C" w14:textId="675651D4" w:rsidR="00F653B6" w:rsidRDefault="00F653B6" w:rsidP="000D0B84">
      <w:pPr>
        <w:jc w:val="both"/>
      </w:pPr>
      <w:r w:rsidRPr="002D0C12">
        <w:t>November 2019 - A Health and Trade Symposium, and a Trade Agreements and Health Masterclass.</w:t>
      </w:r>
      <w:r>
        <w:t xml:space="preserve"> </w:t>
      </w:r>
    </w:p>
    <w:p w14:paraId="4D038E8B" w14:textId="77777777" w:rsidR="00F653B6" w:rsidRDefault="00F653B6" w:rsidP="000D0B84">
      <w:pPr>
        <w:jc w:val="both"/>
      </w:pPr>
    </w:p>
    <w:p w14:paraId="16D175B1" w14:textId="7AD4E6DE" w:rsidR="004B506D" w:rsidRPr="00A25C45" w:rsidRDefault="004B506D" w:rsidP="000D0B84">
      <w:pPr>
        <w:jc w:val="both"/>
      </w:pPr>
      <w:r>
        <w:t xml:space="preserve">December 2019 - </w:t>
      </w:r>
      <w:r w:rsidRPr="00A25C45">
        <w:t xml:space="preserve">Emergency Planning and Business Continuity Team delivered a training session on Emergency Planning to Environment Health Lead </w:t>
      </w:r>
      <w:r>
        <w:t>Officers</w:t>
      </w:r>
      <w:r w:rsidRPr="00A25C45">
        <w:t>.</w:t>
      </w:r>
    </w:p>
    <w:p w14:paraId="7C9CD73F" w14:textId="77777777" w:rsidR="004B506D" w:rsidRPr="00A25C45" w:rsidRDefault="004B506D" w:rsidP="004B506D"/>
    <w:p w14:paraId="27FA84D3" w14:textId="77777777" w:rsidR="004B506D" w:rsidRPr="00A25C45" w:rsidRDefault="004B506D" w:rsidP="000D0B84">
      <w:pPr>
        <w:jc w:val="both"/>
      </w:pPr>
      <w:r>
        <w:t xml:space="preserve">October 2019 - </w:t>
      </w:r>
      <w:r w:rsidRPr="00A25C45">
        <w:t xml:space="preserve">revised Gold Terms of Reference and Executive On Call Handbook.  </w:t>
      </w:r>
    </w:p>
    <w:p w14:paraId="50C64CB9" w14:textId="77777777" w:rsidR="004B506D" w:rsidRPr="00A25C45" w:rsidRDefault="004B506D" w:rsidP="004B506D"/>
    <w:p w14:paraId="3C187B76" w14:textId="735018D8" w:rsidR="00F653B6" w:rsidRDefault="00F653B6" w:rsidP="004B506D">
      <w:pPr>
        <w:rPr>
          <w:rStyle w:val="Hyperlink"/>
          <w:i/>
          <w:lang w:eastAsia="en-GB"/>
        </w:rPr>
      </w:pPr>
      <w:r w:rsidRPr="002D0C12">
        <w:t xml:space="preserve">February 2020 – </w:t>
      </w:r>
      <w:hyperlink r:id="rId12" w:history="1">
        <w:r w:rsidRPr="002D0C12">
          <w:rPr>
            <w:rStyle w:val="Hyperlink"/>
            <w:i/>
            <w:lang w:eastAsia="en-GB"/>
          </w:rPr>
          <w:t>The health and well-being of young people in Wales. Do they think Brexit will make a difference?</w:t>
        </w:r>
      </w:hyperlink>
    </w:p>
    <w:p w14:paraId="62D61B9D" w14:textId="0A2EEBE9" w:rsidR="00BD1CF7" w:rsidRDefault="00BD1CF7" w:rsidP="004B506D">
      <w:pPr>
        <w:rPr>
          <w:rStyle w:val="Hyperlink"/>
          <w:i/>
          <w:lang w:eastAsia="en-GB"/>
        </w:rPr>
      </w:pPr>
    </w:p>
    <w:p w14:paraId="792F51B3" w14:textId="77777777" w:rsidR="00BD1CF7" w:rsidRPr="00BD1CF7" w:rsidRDefault="00BD1CF7" w:rsidP="00BD1CF7">
      <w:pPr>
        <w:jc w:val="both"/>
        <w:rPr>
          <w:bCs/>
        </w:rPr>
      </w:pPr>
      <w:r w:rsidRPr="00BD1CF7">
        <w:t xml:space="preserve">June 2020 - Observatory </w:t>
      </w:r>
      <w:r w:rsidRPr="00BD1CF7">
        <w:rPr>
          <w:bCs/>
        </w:rPr>
        <w:t>COVID-19 Recovery Profile (information previously captured in Heightened Monthly Monitoring Reports ref</w:t>
      </w:r>
      <w:r>
        <w:rPr>
          <w:bCs/>
        </w:rPr>
        <w:t>e</w:t>
      </w:r>
      <w:r w:rsidRPr="00BD1CF7">
        <w:rPr>
          <w:bCs/>
        </w:rPr>
        <w:t>renced above)</w:t>
      </w:r>
    </w:p>
    <w:p w14:paraId="451D01D7" w14:textId="77777777" w:rsidR="00BD1CF7" w:rsidRDefault="00BD1CF7" w:rsidP="004B506D"/>
    <w:p w14:paraId="627A2647" w14:textId="40630949" w:rsidR="004B506D" w:rsidRDefault="004B506D" w:rsidP="004B506D">
      <w:r>
        <w:t>R</w:t>
      </w:r>
      <w:r w:rsidRPr="00A25C45">
        <w:t>eview undertaken of the Silver Group rota population process</w:t>
      </w:r>
      <w:r>
        <w:t>.</w:t>
      </w:r>
    </w:p>
    <w:p w14:paraId="031B602B" w14:textId="77777777" w:rsidR="004B506D" w:rsidRDefault="004B506D" w:rsidP="004B506D"/>
    <w:p w14:paraId="4C44F416" w14:textId="6C0951DC" w:rsidR="004B506D" w:rsidRPr="00A25C45" w:rsidRDefault="004B506D" w:rsidP="004B506D">
      <w:r w:rsidRPr="00A25C45">
        <w:t>Brexit: Staff Resources</w:t>
      </w:r>
      <w:r w:rsidR="000D0B84">
        <w:t xml:space="preserve"> </w:t>
      </w:r>
      <w:r w:rsidR="0040650C">
        <w:t>web</w:t>
      </w:r>
      <w:r w:rsidR="000D0B84">
        <w:t>page.</w:t>
      </w:r>
    </w:p>
    <w:p w14:paraId="0C54DF1E" w14:textId="77777777" w:rsidR="004B506D" w:rsidRPr="00A25C45" w:rsidRDefault="004B506D" w:rsidP="004B506D"/>
    <w:p w14:paraId="2F003454" w14:textId="77777777" w:rsidR="004B506D" w:rsidRDefault="004B506D" w:rsidP="004B506D">
      <w:r w:rsidRPr="00A25C45">
        <w:t>Quarterly reports against the Welsh Government Public Health Resilience Programme in Wales submitted</w:t>
      </w:r>
      <w:r w:rsidR="000D0B84">
        <w:t xml:space="preserve"> for Quarter 1, Quarter 2 and Quarter 3.</w:t>
      </w:r>
    </w:p>
    <w:p w14:paraId="35E4375C" w14:textId="77777777" w:rsidR="000D0B84" w:rsidRDefault="000D0B84" w:rsidP="004B506D"/>
    <w:p w14:paraId="0F2C8AC8" w14:textId="77777777" w:rsidR="004B506D" w:rsidRPr="000D0B84" w:rsidRDefault="004B506D" w:rsidP="004B506D">
      <w:pPr>
        <w:jc w:val="both"/>
        <w:rPr>
          <w:rStyle w:val="Hyperlink"/>
          <w:rFonts w:cs="Calibri"/>
          <w:color w:val="000000" w:themeColor="text1"/>
          <w:u w:val="none"/>
        </w:rPr>
      </w:pPr>
      <w:r w:rsidRPr="000D0B84">
        <w:rPr>
          <w:rStyle w:val="Hyperlink"/>
          <w:rFonts w:cs="Calibri"/>
          <w:color w:val="000000" w:themeColor="text1"/>
          <w:u w:val="none"/>
        </w:rPr>
        <w:t>SRO Programme Group:</w:t>
      </w:r>
    </w:p>
    <w:p w14:paraId="3AD4E3A3" w14:textId="77777777" w:rsidR="004B506D" w:rsidRPr="000D0B84" w:rsidRDefault="004B506D" w:rsidP="004B506D">
      <w:pPr>
        <w:pStyle w:val="ListParagraph"/>
        <w:numPr>
          <w:ilvl w:val="0"/>
          <w:numId w:val="21"/>
        </w:numPr>
        <w:jc w:val="both"/>
        <w:rPr>
          <w:rStyle w:val="Hyperlink"/>
          <w:rFonts w:cs="Calibri"/>
          <w:color w:val="000000" w:themeColor="text1"/>
          <w:u w:val="none"/>
        </w:rPr>
      </w:pPr>
      <w:r w:rsidRPr="000D0B84">
        <w:rPr>
          <w:rStyle w:val="Hyperlink"/>
          <w:rFonts w:cs="Calibri"/>
          <w:color w:val="000000" w:themeColor="text1"/>
          <w:u w:val="none"/>
        </w:rPr>
        <w:t>Revised Terms of Reference</w:t>
      </w:r>
    </w:p>
    <w:p w14:paraId="142DBAE9" w14:textId="77777777" w:rsidR="004B506D" w:rsidRPr="003616C7" w:rsidRDefault="004B506D" w:rsidP="004B506D">
      <w:pPr>
        <w:pStyle w:val="ListParagraph"/>
        <w:numPr>
          <w:ilvl w:val="0"/>
          <w:numId w:val="21"/>
        </w:numPr>
        <w:jc w:val="both"/>
        <w:rPr>
          <w:b/>
        </w:rPr>
      </w:pPr>
      <w:r w:rsidRPr="000D0B84">
        <w:rPr>
          <w:rStyle w:val="Hyperlink"/>
          <w:rFonts w:cs="Calibri"/>
          <w:color w:val="000000" w:themeColor="text1"/>
          <w:u w:val="none"/>
        </w:rPr>
        <w:t>Meeting papers: 18 June 2019; 16 July 2019; 15 August 2019; 11 September 2019; 25 September 2019; 11 October 2019; 24 October 2019; 21 November 2019; 11 December 2019, and 9 January 2020.</w:t>
      </w:r>
    </w:p>
    <w:p w14:paraId="39683631" w14:textId="77777777" w:rsidR="004B506D" w:rsidRDefault="004B506D" w:rsidP="004B506D">
      <w:pPr>
        <w:jc w:val="both"/>
        <w:rPr>
          <w:b/>
        </w:rPr>
      </w:pPr>
    </w:p>
    <w:p w14:paraId="3A91B95C" w14:textId="2C371DA1" w:rsidR="004B506D" w:rsidRDefault="004B506D" w:rsidP="004B506D">
      <w:pPr>
        <w:jc w:val="both"/>
        <w:rPr>
          <w:rFonts w:eastAsia="Times New Roman" w:cs="Times New Roman"/>
          <w:bCs/>
          <w:kern w:val="36"/>
          <w:lang w:eastAsia="en-GB"/>
        </w:rPr>
      </w:pPr>
      <w:r>
        <w:rPr>
          <w:rFonts w:eastAsia="Times New Roman" w:cs="Times New Roman"/>
          <w:bCs/>
          <w:kern w:val="36"/>
          <w:lang w:eastAsia="en-GB"/>
        </w:rPr>
        <w:t>Health Protection (including Health Securities) Sub Group of the Welsh Government EUTLG:</w:t>
      </w:r>
    </w:p>
    <w:p w14:paraId="0380C4C9" w14:textId="77777777" w:rsidR="004B506D" w:rsidRDefault="004B506D" w:rsidP="004B506D">
      <w:pPr>
        <w:pStyle w:val="ListParagraph"/>
        <w:numPr>
          <w:ilvl w:val="0"/>
          <w:numId w:val="21"/>
        </w:numPr>
        <w:jc w:val="both"/>
      </w:pPr>
      <w:r>
        <w:t>Meeting papers: 10 April 2019; 24 April 2019; 30 July 2019; 27 August 2019; 10 September 2019; 24 September 2019; 8 October 2019; 22 October 2019; 5 November 2019; 10 December 2019; 14 January 2020 and 26 January 2020.</w:t>
      </w:r>
    </w:p>
    <w:p w14:paraId="7E09F5A2" w14:textId="77777777" w:rsidR="004B506D" w:rsidRDefault="004B506D" w:rsidP="004B506D">
      <w:pPr>
        <w:ind w:left="360"/>
        <w:jc w:val="both"/>
      </w:pPr>
    </w:p>
    <w:tbl>
      <w:tblPr>
        <w:tblStyle w:val="TableGrid"/>
        <w:tblW w:w="0" w:type="auto"/>
        <w:tblLook w:val="04A0" w:firstRow="1" w:lastRow="0" w:firstColumn="1" w:lastColumn="0" w:noHBand="0" w:noVBand="1"/>
      </w:tblPr>
      <w:tblGrid>
        <w:gridCol w:w="2122"/>
        <w:gridCol w:w="2829"/>
        <w:gridCol w:w="1941"/>
        <w:gridCol w:w="2124"/>
      </w:tblGrid>
      <w:tr w:rsidR="004B506D" w14:paraId="0A0FF655" w14:textId="77777777" w:rsidTr="004A7ABB">
        <w:trPr>
          <w:tblHeader/>
        </w:trPr>
        <w:tc>
          <w:tcPr>
            <w:tcW w:w="9016" w:type="dxa"/>
            <w:gridSpan w:val="4"/>
            <w:shd w:val="clear" w:color="auto" w:fill="C5E0B3" w:themeFill="accent6" w:themeFillTint="66"/>
          </w:tcPr>
          <w:p w14:paraId="5F2144E8" w14:textId="77777777" w:rsidR="004B506D" w:rsidRDefault="004B506D" w:rsidP="004A7ABB">
            <w:pPr>
              <w:rPr>
                <w:b/>
              </w:rPr>
            </w:pPr>
            <w:r>
              <w:rPr>
                <w:b/>
              </w:rPr>
              <w:t>Public Health Wales – internal reports / presentations / briefings</w:t>
            </w:r>
          </w:p>
          <w:p w14:paraId="1A5D5844" w14:textId="77777777" w:rsidR="004B506D" w:rsidRDefault="004B506D" w:rsidP="004A7ABB">
            <w:pPr>
              <w:rPr>
                <w:b/>
              </w:rPr>
            </w:pPr>
          </w:p>
        </w:tc>
      </w:tr>
      <w:tr w:rsidR="004B506D" w:rsidRPr="008E7D38" w14:paraId="5C6CA9CF" w14:textId="77777777" w:rsidTr="004A7ABB">
        <w:trPr>
          <w:tblHeader/>
        </w:trPr>
        <w:tc>
          <w:tcPr>
            <w:tcW w:w="2122" w:type="dxa"/>
            <w:shd w:val="clear" w:color="auto" w:fill="C5E0B3" w:themeFill="accent6" w:themeFillTint="66"/>
          </w:tcPr>
          <w:p w14:paraId="2169D540" w14:textId="77777777" w:rsidR="004B506D" w:rsidRPr="008E7D38" w:rsidRDefault="004B506D" w:rsidP="004A7ABB">
            <w:pPr>
              <w:rPr>
                <w:b/>
              </w:rPr>
            </w:pPr>
            <w:r w:rsidRPr="008E7D38">
              <w:rPr>
                <w:b/>
              </w:rPr>
              <w:t>Date</w:t>
            </w:r>
          </w:p>
        </w:tc>
        <w:tc>
          <w:tcPr>
            <w:tcW w:w="2829" w:type="dxa"/>
            <w:shd w:val="clear" w:color="auto" w:fill="C5E0B3" w:themeFill="accent6" w:themeFillTint="66"/>
          </w:tcPr>
          <w:p w14:paraId="7426BED4" w14:textId="77777777" w:rsidR="004B506D" w:rsidRPr="008E7D38" w:rsidRDefault="004B506D" w:rsidP="004A7ABB">
            <w:pPr>
              <w:rPr>
                <w:b/>
              </w:rPr>
            </w:pPr>
            <w:r w:rsidRPr="008E7D38">
              <w:rPr>
                <w:b/>
              </w:rPr>
              <w:t>Meeting</w:t>
            </w:r>
          </w:p>
        </w:tc>
        <w:tc>
          <w:tcPr>
            <w:tcW w:w="1941" w:type="dxa"/>
            <w:shd w:val="clear" w:color="auto" w:fill="C5E0B3" w:themeFill="accent6" w:themeFillTint="66"/>
          </w:tcPr>
          <w:p w14:paraId="0D73CF44" w14:textId="77777777" w:rsidR="004B506D" w:rsidRPr="008E7D38" w:rsidRDefault="004B506D" w:rsidP="004A7ABB">
            <w:pPr>
              <w:rPr>
                <w:b/>
              </w:rPr>
            </w:pPr>
            <w:r w:rsidRPr="008E7D38">
              <w:rPr>
                <w:b/>
              </w:rPr>
              <w:t xml:space="preserve">Presentation / </w:t>
            </w:r>
            <w:r>
              <w:rPr>
                <w:b/>
              </w:rPr>
              <w:t>Report</w:t>
            </w:r>
          </w:p>
        </w:tc>
        <w:tc>
          <w:tcPr>
            <w:tcW w:w="2124" w:type="dxa"/>
            <w:shd w:val="clear" w:color="auto" w:fill="C5E0B3" w:themeFill="accent6" w:themeFillTint="66"/>
          </w:tcPr>
          <w:p w14:paraId="2EE32E1C" w14:textId="77777777" w:rsidR="004B506D" w:rsidRPr="008E7D38" w:rsidRDefault="004B506D" w:rsidP="004A7ABB">
            <w:pPr>
              <w:rPr>
                <w:b/>
              </w:rPr>
            </w:pPr>
            <w:r>
              <w:rPr>
                <w:b/>
              </w:rPr>
              <w:t>To Note</w:t>
            </w:r>
          </w:p>
        </w:tc>
      </w:tr>
      <w:tr w:rsidR="004B506D" w:rsidRPr="001421F2" w14:paraId="7F0F2C29" w14:textId="77777777" w:rsidTr="004A7ABB">
        <w:tc>
          <w:tcPr>
            <w:tcW w:w="9016" w:type="dxa"/>
            <w:gridSpan w:val="4"/>
          </w:tcPr>
          <w:p w14:paraId="4FBB4889" w14:textId="77777777" w:rsidR="004B506D" w:rsidRDefault="004B506D" w:rsidP="004A7ABB">
            <w:pPr>
              <w:rPr>
                <w:b/>
              </w:rPr>
            </w:pPr>
            <w:r w:rsidRPr="001421F2">
              <w:rPr>
                <w:b/>
              </w:rPr>
              <w:t>PHASE II (</w:t>
            </w:r>
            <w:r>
              <w:rPr>
                <w:b/>
              </w:rPr>
              <w:t>MAY</w:t>
            </w:r>
            <w:r w:rsidRPr="001421F2">
              <w:rPr>
                <w:b/>
              </w:rPr>
              <w:t xml:space="preserve"> 2019 – JANUARY 2020)</w:t>
            </w:r>
          </w:p>
          <w:p w14:paraId="5EDA7D8B" w14:textId="77777777" w:rsidR="004B506D" w:rsidRPr="001421F2" w:rsidRDefault="004B506D" w:rsidP="004A7ABB">
            <w:pPr>
              <w:rPr>
                <w:b/>
              </w:rPr>
            </w:pPr>
          </w:p>
        </w:tc>
      </w:tr>
      <w:tr w:rsidR="004B506D" w:rsidRPr="00C46C88" w14:paraId="64F85FAF" w14:textId="77777777" w:rsidTr="004A7ABB">
        <w:tc>
          <w:tcPr>
            <w:tcW w:w="2122" w:type="dxa"/>
          </w:tcPr>
          <w:p w14:paraId="041E2BF7" w14:textId="77777777" w:rsidR="004B506D" w:rsidRPr="00C46C88" w:rsidRDefault="004B506D" w:rsidP="004A7ABB">
            <w:r w:rsidRPr="00C46C88">
              <w:t>1 May 2019</w:t>
            </w:r>
          </w:p>
        </w:tc>
        <w:tc>
          <w:tcPr>
            <w:tcW w:w="2829" w:type="dxa"/>
          </w:tcPr>
          <w:p w14:paraId="14895B01" w14:textId="77777777" w:rsidR="004B506D" w:rsidRPr="00C46C88" w:rsidRDefault="004B506D" w:rsidP="004A7ABB">
            <w:r w:rsidRPr="00C46C88">
              <w:t>Audit and Corporate Governance Committee</w:t>
            </w:r>
          </w:p>
        </w:tc>
        <w:tc>
          <w:tcPr>
            <w:tcW w:w="1941" w:type="dxa"/>
          </w:tcPr>
          <w:p w14:paraId="7474F8A5" w14:textId="77777777" w:rsidR="004B506D" w:rsidRPr="00C46C88" w:rsidRDefault="004B506D" w:rsidP="004A7ABB">
            <w:r w:rsidRPr="00C46C88">
              <w:t>Report</w:t>
            </w:r>
          </w:p>
        </w:tc>
        <w:tc>
          <w:tcPr>
            <w:tcW w:w="2124" w:type="dxa"/>
          </w:tcPr>
          <w:p w14:paraId="4673D67D" w14:textId="77777777" w:rsidR="004B506D" w:rsidRPr="00C46C88" w:rsidRDefault="004B506D" w:rsidP="004A7ABB"/>
        </w:tc>
      </w:tr>
      <w:tr w:rsidR="004B506D" w:rsidRPr="00C46C88" w14:paraId="7C3369B8" w14:textId="77777777" w:rsidTr="004A7ABB">
        <w:tc>
          <w:tcPr>
            <w:tcW w:w="2122" w:type="dxa"/>
          </w:tcPr>
          <w:p w14:paraId="277BBA75" w14:textId="77777777" w:rsidR="004B506D" w:rsidRPr="00C46C88" w:rsidRDefault="004B506D" w:rsidP="004A7ABB">
            <w:r>
              <w:t>15 May 2019</w:t>
            </w:r>
          </w:p>
        </w:tc>
        <w:tc>
          <w:tcPr>
            <w:tcW w:w="2829" w:type="dxa"/>
          </w:tcPr>
          <w:p w14:paraId="50ACD3F9" w14:textId="77777777" w:rsidR="004B506D" w:rsidRPr="00C46C88" w:rsidRDefault="004B506D" w:rsidP="004A7ABB">
            <w:r>
              <w:t>Business Executive Team</w:t>
            </w:r>
          </w:p>
        </w:tc>
        <w:tc>
          <w:tcPr>
            <w:tcW w:w="1941" w:type="dxa"/>
          </w:tcPr>
          <w:p w14:paraId="114CDD83" w14:textId="77777777" w:rsidR="004B506D" w:rsidRPr="00C46C88" w:rsidRDefault="004B506D" w:rsidP="004A7ABB">
            <w:r>
              <w:t>Report</w:t>
            </w:r>
          </w:p>
        </w:tc>
        <w:tc>
          <w:tcPr>
            <w:tcW w:w="2124" w:type="dxa"/>
          </w:tcPr>
          <w:p w14:paraId="4CDAAD33" w14:textId="77777777" w:rsidR="004B506D" w:rsidRPr="00C46C88" w:rsidRDefault="004B506D" w:rsidP="004A7ABB">
            <w:r>
              <w:t>End of Phase I Review</w:t>
            </w:r>
          </w:p>
        </w:tc>
      </w:tr>
      <w:tr w:rsidR="004B506D" w:rsidRPr="00C46C88" w14:paraId="1A1B3763" w14:textId="77777777" w:rsidTr="004A7ABB">
        <w:tc>
          <w:tcPr>
            <w:tcW w:w="2122" w:type="dxa"/>
          </w:tcPr>
          <w:p w14:paraId="5B6BC322" w14:textId="77777777" w:rsidR="004B506D" w:rsidRPr="00C46C88" w:rsidRDefault="004B506D" w:rsidP="004A7ABB">
            <w:r>
              <w:t>12 August 2019</w:t>
            </w:r>
          </w:p>
        </w:tc>
        <w:tc>
          <w:tcPr>
            <w:tcW w:w="2829" w:type="dxa"/>
          </w:tcPr>
          <w:p w14:paraId="5029E2F7" w14:textId="77777777" w:rsidR="004B506D" w:rsidRPr="00C46C88" w:rsidRDefault="004B506D" w:rsidP="004A7ABB">
            <w:r>
              <w:t>Business Executive Team</w:t>
            </w:r>
          </w:p>
        </w:tc>
        <w:tc>
          <w:tcPr>
            <w:tcW w:w="1941" w:type="dxa"/>
          </w:tcPr>
          <w:p w14:paraId="71F501FB" w14:textId="77777777" w:rsidR="004B506D" w:rsidRPr="00C46C88" w:rsidRDefault="004B506D" w:rsidP="004A7ABB">
            <w:r>
              <w:t>Report</w:t>
            </w:r>
          </w:p>
        </w:tc>
        <w:tc>
          <w:tcPr>
            <w:tcW w:w="2124" w:type="dxa"/>
          </w:tcPr>
          <w:p w14:paraId="5F59FBBC" w14:textId="77777777" w:rsidR="004B506D" w:rsidRPr="00C46C88" w:rsidRDefault="004B506D" w:rsidP="004A7ABB"/>
        </w:tc>
      </w:tr>
      <w:tr w:rsidR="004B506D" w:rsidRPr="00C46C88" w14:paraId="0057B1AE" w14:textId="77777777" w:rsidTr="004A7ABB">
        <w:tc>
          <w:tcPr>
            <w:tcW w:w="2122" w:type="dxa"/>
          </w:tcPr>
          <w:p w14:paraId="21288D82" w14:textId="77777777" w:rsidR="004B506D" w:rsidRPr="00C46C88" w:rsidRDefault="004B506D" w:rsidP="004A7ABB">
            <w:r w:rsidRPr="00C46C88">
              <w:t>12 September 2019</w:t>
            </w:r>
          </w:p>
        </w:tc>
        <w:tc>
          <w:tcPr>
            <w:tcW w:w="2829" w:type="dxa"/>
          </w:tcPr>
          <w:p w14:paraId="2BC98513" w14:textId="77777777" w:rsidR="004B506D" w:rsidRPr="00C46C88" w:rsidRDefault="004B506D" w:rsidP="004A7ABB">
            <w:r w:rsidRPr="00C46C88">
              <w:t>Board</w:t>
            </w:r>
          </w:p>
        </w:tc>
        <w:tc>
          <w:tcPr>
            <w:tcW w:w="1941" w:type="dxa"/>
          </w:tcPr>
          <w:p w14:paraId="6D03035D" w14:textId="77777777" w:rsidR="004B506D" w:rsidRPr="00C46C88" w:rsidRDefault="004B506D" w:rsidP="004A7ABB">
            <w:r w:rsidRPr="00C46C88">
              <w:t>Presentation</w:t>
            </w:r>
          </w:p>
        </w:tc>
        <w:tc>
          <w:tcPr>
            <w:tcW w:w="2124" w:type="dxa"/>
          </w:tcPr>
          <w:p w14:paraId="27A50258" w14:textId="77777777" w:rsidR="004B506D" w:rsidRPr="00C46C88" w:rsidRDefault="004B506D" w:rsidP="004A7ABB"/>
        </w:tc>
      </w:tr>
      <w:tr w:rsidR="004B506D" w:rsidRPr="00C46C88" w14:paraId="0C3E6B4B" w14:textId="77777777" w:rsidTr="004A7ABB">
        <w:tc>
          <w:tcPr>
            <w:tcW w:w="2122" w:type="dxa"/>
          </w:tcPr>
          <w:p w14:paraId="3F480D2B" w14:textId="77777777" w:rsidR="004B506D" w:rsidRPr="00C46C88" w:rsidRDefault="004B506D" w:rsidP="004A7ABB">
            <w:r w:rsidRPr="00C46C88">
              <w:t>26 September 2019</w:t>
            </w:r>
          </w:p>
        </w:tc>
        <w:tc>
          <w:tcPr>
            <w:tcW w:w="2829" w:type="dxa"/>
          </w:tcPr>
          <w:p w14:paraId="4A2E03DD" w14:textId="77777777" w:rsidR="004B506D" w:rsidRPr="00C46C88" w:rsidRDefault="004B506D" w:rsidP="004A7ABB">
            <w:r w:rsidRPr="00C46C88">
              <w:t>Board</w:t>
            </w:r>
          </w:p>
        </w:tc>
        <w:tc>
          <w:tcPr>
            <w:tcW w:w="1941" w:type="dxa"/>
          </w:tcPr>
          <w:p w14:paraId="625703F5" w14:textId="77777777" w:rsidR="004B506D" w:rsidRPr="00C46C88" w:rsidRDefault="004B506D" w:rsidP="004A7ABB">
            <w:r w:rsidRPr="00C46C88">
              <w:t>Report</w:t>
            </w:r>
          </w:p>
        </w:tc>
        <w:tc>
          <w:tcPr>
            <w:tcW w:w="2124" w:type="dxa"/>
          </w:tcPr>
          <w:p w14:paraId="3F3FC391" w14:textId="77777777" w:rsidR="004B506D" w:rsidRPr="00C46C88" w:rsidRDefault="004B506D" w:rsidP="004A7ABB"/>
        </w:tc>
      </w:tr>
      <w:tr w:rsidR="004B506D" w:rsidRPr="00C46C88" w14:paraId="489FA57D" w14:textId="77777777" w:rsidTr="004A7ABB">
        <w:tc>
          <w:tcPr>
            <w:tcW w:w="2122" w:type="dxa"/>
          </w:tcPr>
          <w:p w14:paraId="51A6D903" w14:textId="77777777" w:rsidR="004B506D" w:rsidRPr="00C46C88" w:rsidRDefault="004B506D" w:rsidP="004A7ABB">
            <w:r>
              <w:t>21 October 2019</w:t>
            </w:r>
          </w:p>
        </w:tc>
        <w:tc>
          <w:tcPr>
            <w:tcW w:w="2829" w:type="dxa"/>
          </w:tcPr>
          <w:p w14:paraId="08E02DD9" w14:textId="77777777" w:rsidR="004B506D" w:rsidRPr="00C46C88" w:rsidRDefault="004B506D" w:rsidP="004A7ABB">
            <w:r>
              <w:t>Business Executive Team</w:t>
            </w:r>
          </w:p>
        </w:tc>
        <w:tc>
          <w:tcPr>
            <w:tcW w:w="1941" w:type="dxa"/>
          </w:tcPr>
          <w:p w14:paraId="1B4B8493" w14:textId="77777777" w:rsidR="004B506D" w:rsidRPr="00C46C88" w:rsidRDefault="004B506D" w:rsidP="004A7ABB">
            <w:r>
              <w:t>Report</w:t>
            </w:r>
          </w:p>
        </w:tc>
        <w:tc>
          <w:tcPr>
            <w:tcW w:w="2124" w:type="dxa"/>
          </w:tcPr>
          <w:p w14:paraId="3B29AB5B" w14:textId="77777777" w:rsidR="004B506D" w:rsidRPr="00C46C88" w:rsidRDefault="004B506D" w:rsidP="004A7ABB"/>
        </w:tc>
      </w:tr>
      <w:tr w:rsidR="004B506D" w:rsidRPr="00C46C88" w14:paraId="5F11A4F5" w14:textId="77777777" w:rsidTr="004A7ABB">
        <w:tc>
          <w:tcPr>
            <w:tcW w:w="2122" w:type="dxa"/>
          </w:tcPr>
          <w:p w14:paraId="2F9C87AD" w14:textId="77777777" w:rsidR="004B506D" w:rsidRPr="00C46C88" w:rsidRDefault="004B506D" w:rsidP="004A7ABB">
            <w:r w:rsidRPr="00C46C88">
              <w:t>29 October 2019</w:t>
            </w:r>
          </w:p>
        </w:tc>
        <w:tc>
          <w:tcPr>
            <w:tcW w:w="2829" w:type="dxa"/>
          </w:tcPr>
          <w:p w14:paraId="230DB477" w14:textId="77777777" w:rsidR="004B506D" w:rsidRPr="00C46C88" w:rsidRDefault="004B506D" w:rsidP="004A7ABB">
            <w:r w:rsidRPr="00C46C88">
              <w:t>Board</w:t>
            </w:r>
          </w:p>
        </w:tc>
        <w:tc>
          <w:tcPr>
            <w:tcW w:w="1941" w:type="dxa"/>
          </w:tcPr>
          <w:p w14:paraId="5FD1110B" w14:textId="77777777" w:rsidR="004B506D" w:rsidRPr="00C46C88" w:rsidRDefault="004B506D" w:rsidP="004A7ABB">
            <w:r w:rsidRPr="00C46C88">
              <w:t>Presentation</w:t>
            </w:r>
          </w:p>
        </w:tc>
        <w:tc>
          <w:tcPr>
            <w:tcW w:w="2124" w:type="dxa"/>
          </w:tcPr>
          <w:p w14:paraId="7287CEB3" w14:textId="77777777" w:rsidR="004B506D" w:rsidRPr="00C46C88" w:rsidRDefault="004B506D" w:rsidP="004A7ABB">
            <w:r w:rsidRPr="00C46C88">
              <w:t>Health Securities’ position</w:t>
            </w:r>
          </w:p>
        </w:tc>
      </w:tr>
      <w:tr w:rsidR="004B506D" w:rsidRPr="00C46C88" w14:paraId="4893BDB2" w14:textId="77777777" w:rsidTr="004A7ABB">
        <w:tc>
          <w:tcPr>
            <w:tcW w:w="2122" w:type="dxa"/>
          </w:tcPr>
          <w:p w14:paraId="42F235A1" w14:textId="77777777" w:rsidR="004B506D" w:rsidRPr="00C46C88" w:rsidRDefault="004B506D" w:rsidP="004A7ABB">
            <w:r>
              <w:t xml:space="preserve">31 </w:t>
            </w:r>
            <w:r w:rsidRPr="00C46C88">
              <w:t>October 2019</w:t>
            </w:r>
          </w:p>
        </w:tc>
        <w:tc>
          <w:tcPr>
            <w:tcW w:w="2829" w:type="dxa"/>
          </w:tcPr>
          <w:p w14:paraId="6100272B" w14:textId="77777777" w:rsidR="004B506D" w:rsidRPr="00C46C88" w:rsidRDefault="004B506D" w:rsidP="004A7ABB">
            <w:r w:rsidRPr="00C46C88">
              <w:t>Board</w:t>
            </w:r>
          </w:p>
        </w:tc>
        <w:tc>
          <w:tcPr>
            <w:tcW w:w="1941" w:type="dxa"/>
          </w:tcPr>
          <w:p w14:paraId="5DEB99FA" w14:textId="77777777" w:rsidR="004B506D" w:rsidRPr="00C46C88" w:rsidRDefault="004B506D" w:rsidP="004A7ABB">
            <w:r w:rsidRPr="00C46C88">
              <w:t>Presentation</w:t>
            </w:r>
          </w:p>
        </w:tc>
        <w:tc>
          <w:tcPr>
            <w:tcW w:w="2124" w:type="dxa"/>
          </w:tcPr>
          <w:p w14:paraId="327EE13D" w14:textId="77777777" w:rsidR="004B506D" w:rsidRPr="00C46C88" w:rsidRDefault="004B506D" w:rsidP="004A7ABB">
            <w:r w:rsidRPr="00C46C88">
              <w:t>Development Session</w:t>
            </w:r>
          </w:p>
        </w:tc>
      </w:tr>
      <w:tr w:rsidR="004B506D" w:rsidRPr="00C46C88" w14:paraId="53D57CA3" w14:textId="77777777" w:rsidTr="004A7ABB">
        <w:tc>
          <w:tcPr>
            <w:tcW w:w="2122" w:type="dxa"/>
          </w:tcPr>
          <w:p w14:paraId="66E13C04" w14:textId="77777777" w:rsidR="004B506D" w:rsidRPr="00C46C88" w:rsidRDefault="004B506D" w:rsidP="004A7ABB">
            <w:r>
              <w:t>9 December 2019</w:t>
            </w:r>
          </w:p>
        </w:tc>
        <w:tc>
          <w:tcPr>
            <w:tcW w:w="2829" w:type="dxa"/>
          </w:tcPr>
          <w:p w14:paraId="69C843EF" w14:textId="77777777" w:rsidR="004B506D" w:rsidRPr="00C46C88" w:rsidRDefault="004B506D" w:rsidP="004A7ABB">
            <w:r>
              <w:t>Business Executive Team</w:t>
            </w:r>
          </w:p>
        </w:tc>
        <w:tc>
          <w:tcPr>
            <w:tcW w:w="1941" w:type="dxa"/>
          </w:tcPr>
          <w:p w14:paraId="42E329E6" w14:textId="77777777" w:rsidR="004B506D" w:rsidRPr="00C46C88" w:rsidRDefault="004B506D" w:rsidP="004A7ABB">
            <w:r>
              <w:t>Report</w:t>
            </w:r>
          </w:p>
        </w:tc>
        <w:tc>
          <w:tcPr>
            <w:tcW w:w="2124" w:type="dxa"/>
          </w:tcPr>
          <w:p w14:paraId="1FCB42FC" w14:textId="77777777" w:rsidR="004B506D" w:rsidRPr="00C46C88" w:rsidRDefault="004B506D" w:rsidP="004A7ABB"/>
        </w:tc>
      </w:tr>
      <w:tr w:rsidR="004B506D" w:rsidRPr="00C46C88" w14:paraId="66F761ED" w14:textId="77777777" w:rsidTr="004A7ABB">
        <w:tc>
          <w:tcPr>
            <w:tcW w:w="2122" w:type="dxa"/>
          </w:tcPr>
          <w:p w14:paraId="401B50CE" w14:textId="77777777" w:rsidR="004B506D" w:rsidRDefault="004B506D" w:rsidP="004A7ABB">
            <w:r>
              <w:t>8 January 2020</w:t>
            </w:r>
          </w:p>
        </w:tc>
        <w:tc>
          <w:tcPr>
            <w:tcW w:w="2829" w:type="dxa"/>
          </w:tcPr>
          <w:p w14:paraId="72F7D5A3" w14:textId="77777777" w:rsidR="004B506D" w:rsidRDefault="004B506D" w:rsidP="004A7ABB">
            <w:r>
              <w:t>Business Executive Team</w:t>
            </w:r>
          </w:p>
        </w:tc>
        <w:tc>
          <w:tcPr>
            <w:tcW w:w="1941" w:type="dxa"/>
          </w:tcPr>
          <w:p w14:paraId="28CBB026" w14:textId="77777777" w:rsidR="004B506D" w:rsidRDefault="004B506D" w:rsidP="004A7ABB">
            <w:r>
              <w:t>Report</w:t>
            </w:r>
          </w:p>
        </w:tc>
        <w:tc>
          <w:tcPr>
            <w:tcW w:w="2124" w:type="dxa"/>
          </w:tcPr>
          <w:p w14:paraId="293164DE" w14:textId="77777777" w:rsidR="004B506D" w:rsidRPr="00C46C88" w:rsidRDefault="004B506D" w:rsidP="004A7ABB"/>
        </w:tc>
      </w:tr>
    </w:tbl>
    <w:p w14:paraId="3B74B3AA" w14:textId="28C2CC51" w:rsidR="004B506D" w:rsidRDefault="004B506D" w:rsidP="004B506D"/>
    <w:p w14:paraId="4CAF2533" w14:textId="77777777" w:rsidR="00B14157" w:rsidRPr="00EC281F" w:rsidRDefault="00B14157" w:rsidP="00B14157">
      <w:pPr>
        <w:jc w:val="both"/>
        <w:rPr>
          <w:b/>
          <w:color w:val="2E74B5" w:themeColor="accent1" w:themeShade="BF"/>
        </w:rPr>
      </w:pPr>
      <w:r w:rsidRPr="00EC281F">
        <w:rPr>
          <w:b/>
          <w:color w:val="2E74B5" w:themeColor="accent1" w:themeShade="BF"/>
        </w:rPr>
        <w:t>PHASE III (September 2020 – March 2021)</w:t>
      </w:r>
    </w:p>
    <w:p w14:paraId="7632FC67" w14:textId="77777777" w:rsidR="000D0B84" w:rsidRDefault="000D0B84" w:rsidP="002826A1"/>
    <w:p w14:paraId="1D09E452" w14:textId="776B6256" w:rsidR="002826A1" w:rsidRDefault="002826A1" w:rsidP="002826A1">
      <w:r>
        <w:t xml:space="preserve">October 2020 – debrief report </w:t>
      </w:r>
      <w:r w:rsidR="000D0B84">
        <w:t xml:space="preserve">from </w:t>
      </w:r>
      <w:r>
        <w:t>SRO Group workshop</w:t>
      </w:r>
      <w:r w:rsidR="000D0B84">
        <w:t xml:space="preserve"> held on 28 October.</w:t>
      </w:r>
    </w:p>
    <w:p w14:paraId="6DA88383" w14:textId="572182BF" w:rsidR="002D0C12" w:rsidRDefault="002D0C12" w:rsidP="002826A1"/>
    <w:p w14:paraId="2500A931" w14:textId="77777777" w:rsidR="002D0C12" w:rsidRDefault="002D0C12" w:rsidP="002D0C12">
      <w:r w:rsidRPr="00A25C45">
        <w:t>November 2020 - staff-facing intranet story published</w:t>
      </w:r>
      <w:r>
        <w:t>.</w:t>
      </w:r>
    </w:p>
    <w:p w14:paraId="2567900C" w14:textId="77777777" w:rsidR="002D0C12" w:rsidRPr="00A25C45" w:rsidRDefault="002D0C12" w:rsidP="002D0C12"/>
    <w:p w14:paraId="110DEEA2" w14:textId="77777777" w:rsidR="002D0C12" w:rsidRPr="00A25C45" w:rsidRDefault="002D0C12" w:rsidP="002D0C12">
      <w:r w:rsidRPr="00A25C45">
        <w:t>November 2020 – Stakeholder assurance email from SRO</w:t>
      </w:r>
      <w:r>
        <w:t>.</w:t>
      </w:r>
    </w:p>
    <w:p w14:paraId="3BA1BB8B" w14:textId="77777777" w:rsidR="002D0C12" w:rsidRDefault="002D0C12" w:rsidP="002826A1"/>
    <w:p w14:paraId="55EBCFBB" w14:textId="002526AB" w:rsidR="002D0C12" w:rsidRDefault="002D0C12" w:rsidP="002D0C12">
      <w:r w:rsidRPr="00A25C45">
        <w:t>November 2020 - public-facing web story</w:t>
      </w:r>
      <w:r>
        <w:t xml:space="preserve"> published to </w:t>
      </w:r>
      <w:r w:rsidR="0040650C">
        <w:t xml:space="preserve">Public Health Wales </w:t>
      </w:r>
      <w:r>
        <w:t>website.</w:t>
      </w:r>
    </w:p>
    <w:p w14:paraId="09683CBA" w14:textId="37BC2215" w:rsidR="002D0C12" w:rsidRDefault="002D0C12" w:rsidP="002D0C12"/>
    <w:p w14:paraId="477445B0" w14:textId="1BA9428D" w:rsidR="002D0C12" w:rsidRDefault="002D0C12" w:rsidP="002D0C12">
      <w:r>
        <w:t xml:space="preserve">November 2020 - </w:t>
      </w:r>
      <w:r w:rsidRPr="00A25C45">
        <w:t>UK Health Protection Non-Legislative Framework</w:t>
      </w:r>
      <w:r>
        <w:t xml:space="preserve"> </w:t>
      </w:r>
      <w:r w:rsidRPr="00A25C45">
        <w:t>Common Framework Outline Agreement (CFOA) of the NLF</w:t>
      </w:r>
      <w:r>
        <w:t>.</w:t>
      </w:r>
    </w:p>
    <w:p w14:paraId="632248D9" w14:textId="1517A20D" w:rsidR="002D0C12" w:rsidRDefault="002D0C12" w:rsidP="002D0C12"/>
    <w:p w14:paraId="509C3502" w14:textId="77777777" w:rsidR="002D0C12" w:rsidRPr="00A25C45" w:rsidRDefault="002D0C12" w:rsidP="002D0C12">
      <w:r w:rsidRPr="00A25C45">
        <w:t xml:space="preserve">December 2020 </w:t>
      </w:r>
      <w:r>
        <w:t>–</w:t>
      </w:r>
      <w:r w:rsidRPr="00A25C45">
        <w:t xml:space="preserve"> </w:t>
      </w:r>
      <w:r>
        <w:t xml:space="preserve">revised </w:t>
      </w:r>
      <w:r w:rsidRPr="00A25C45">
        <w:t>No Deal Communications’ Plan</w:t>
      </w:r>
      <w:r>
        <w:t>.</w:t>
      </w:r>
    </w:p>
    <w:p w14:paraId="46B09720" w14:textId="77777777" w:rsidR="002D0C12" w:rsidRPr="00A25C45" w:rsidRDefault="002D0C12" w:rsidP="002D0C12"/>
    <w:p w14:paraId="4A04F997" w14:textId="6706CBEE" w:rsidR="002D0C12" w:rsidRDefault="002D0C12" w:rsidP="002D0C12">
      <w:pPr>
        <w:jc w:val="both"/>
      </w:pPr>
      <w:r w:rsidRPr="00A25C45">
        <w:t>December</w:t>
      </w:r>
      <w:r>
        <w:t xml:space="preserve"> 2020</w:t>
      </w:r>
      <w:r w:rsidRPr="00A25C45">
        <w:t xml:space="preserve"> – Brexit (D20) Command &amp; Control and Reporting Arrangements </w:t>
      </w:r>
      <w:r>
        <w:t xml:space="preserve">paper </w:t>
      </w:r>
      <w:r w:rsidRPr="00A25C45">
        <w:t xml:space="preserve">drafted by the Public Health Wales Business Continuity and Emergency Planning Team. </w:t>
      </w:r>
    </w:p>
    <w:p w14:paraId="56BA2AFE" w14:textId="77777777" w:rsidR="002D0C12" w:rsidRDefault="002D0C12" w:rsidP="002826A1"/>
    <w:p w14:paraId="0ED1B9AD" w14:textId="17F5A613" w:rsidR="002D0C12" w:rsidRDefault="002D0C12" w:rsidP="002D0C12">
      <w:pPr>
        <w:jc w:val="both"/>
      </w:pPr>
      <w:r>
        <w:t xml:space="preserve">December 2020 - </w:t>
      </w:r>
      <w:r w:rsidRPr="00A25C45">
        <w:t xml:space="preserve">Public Health Wales daily returns in line with </w:t>
      </w:r>
      <w:r>
        <w:t xml:space="preserve">D20 </w:t>
      </w:r>
      <w:r w:rsidRPr="00A25C45">
        <w:t>protocol</w:t>
      </w:r>
      <w:r>
        <w:t>.</w:t>
      </w:r>
    </w:p>
    <w:p w14:paraId="3318293E" w14:textId="77777777" w:rsidR="002D0C12" w:rsidRDefault="002D0C12" w:rsidP="000D0B84">
      <w:pPr>
        <w:jc w:val="both"/>
      </w:pPr>
    </w:p>
    <w:p w14:paraId="77132A1F" w14:textId="0B2751E1" w:rsidR="002D0C12" w:rsidRDefault="002D0C12" w:rsidP="002D0C12">
      <w:r>
        <w:t xml:space="preserve">January 2021 - </w:t>
      </w:r>
      <w:r w:rsidRPr="00A25C45">
        <w:t>A Trade and Cooperation Agreement on Health Security: Protocol on UK National Focal Point</w:t>
      </w:r>
      <w:r>
        <w:t xml:space="preserve"> agreed.</w:t>
      </w:r>
    </w:p>
    <w:p w14:paraId="7E7CCB53" w14:textId="5FF6E3F7" w:rsidR="002D0C12" w:rsidRDefault="002D0C12" w:rsidP="002D0C12"/>
    <w:p w14:paraId="0B6E4030" w14:textId="0ABC6486" w:rsidR="002D0C12" w:rsidRDefault="002D0C12" w:rsidP="002D0C12">
      <w:pPr>
        <w:jc w:val="both"/>
      </w:pPr>
      <w:r>
        <w:t xml:space="preserve">January 2021 onwards - </w:t>
      </w:r>
      <w:r w:rsidRPr="00A25C45">
        <w:t xml:space="preserve">Public Health Wales </w:t>
      </w:r>
      <w:r>
        <w:t xml:space="preserve">weekly </w:t>
      </w:r>
      <w:r w:rsidRPr="00A25C45">
        <w:t xml:space="preserve">returns in line with </w:t>
      </w:r>
      <w:r>
        <w:t xml:space="preserve">D20 </w:t>
      </w:r>
      <w:r w:rsidRPr="00A25C45">
        <w:t>protocol.</w:t>
      </w:r>
    </w:p>
    <w:p w14:paraId="78691CE7" w14:textId="67A55DFE" w:rsidR="002D0C12" w:rsidRDefault="002D0C12" w:rsidP="002D0C12">
      <w:pPr>
        <w:jc w:val="both"/>
      </w:pPr>
    </w:p>
    <w:p w14:paraId="7C23A0C7" w14:textId="77777777" w:rsidR="002D0C12" w:rsidRPr="00A25C45" w:rsidRDefault="002D0C12" w:rsidP="002D0C12">
      <w:pPr>
        <w:jc w:val="both"/>
      </w:pPr>
      <w:r>
        <w:t xml:space="preserve">January 2021 - </w:t>
      </w:r>
      <w:r w:rsidRPr="00A25C45">
        <w:t xml:space="preserve">End Stage Report against the Welsh Government Public Health Resilience Programme in Wales </w:t>
      </w:r>
      <w:r>
        <w:t xml:space="preserve">submitted. </w:t>
      </w:r>
    </w:p>
    <w:p w14:paraId="4E13B67C" w14:textId="77777777" w:rsidR="002D0C12" w:rsidRPr="00A25C45" w:rsidRDefault="002D0C12" w:rsidP="002D0C12">
      <w:pPr>
        <w:jc w:val="both"/>
      </w:pPr>
    </w:p>
    <w:p w14:paraId="6085DBB7" w14:textId="024531C7" w:rsidR="002826A1" w:rsidRDefault="002826A1" w:rsidP="000D0B84">
      <w:pPr>
        <w:jc w:val="both"/>
      </w:pPr>
      <w:r>
        <w:t xml:space="preserve">February 2021 - </w:t>
      </w:r>
      <w:r w:rsidR="0040650C">
        <w:t xml:space="preserve">Public Health Wales </w:t>
      </w:r>
      <w:r w:rsidRPr="00A25C45">
        <w:t>Brexit SRO Group post TCA position statement</w:t>
      </w:r>
      <w:r>
        <w:t>s</w:t>
      </w:r>
      <w:r w:rsidRPr="00A25C45">
        <w:t xml:space="preserve"> from each </w:t>
      </w:r>
      <w:r>
        <w:t>W</w:t>
      </w:r>
      <w:r w:rsidR="000D0B84">
        <w:t>orkstream.</w:t>
      </w:r>
    </w:p>
    <w:p w14:paraId="0A4AEEA6" w14:textId="77777777" w:rsidR="002826A1" w:rsidRDefault="002826A1" w:rsidP="002826A1"/>
    <w:p w14:paraId="05A35AD1" w14:textId="53BDC131" w:rsidR="002826A1" w:rsidRPr="00A25C45" w:rsidRDefault="002826A1" w:rsidP="000D0B84">
      <w:pPr>
        <w:jc w:val="both"/>
      </w:pPr>
      <w:r w:rsidRPr="00A25C45">
        <w:t>February 2021</w:t>
      </w:r>
      <w:r>
        <w:t xml:space="preserve"> - </w:t>
      </w:r>
      <w:r w:rsidRPr="00A25C45">
        <w:t>Value of Participation submitted by Public Health Wales</w:t>
      </w:r>
      <w:r>
        <w:t xml:space="preserve"> to </w:t>
      </w:r>
      <w:r w:rsidRPr="00A25C45">
        <w:t>UK-ECDC MoU Technical Group (previously the UK Surveillance Task and Finish Group)</w:t>
      </w:r>
      <w:r>
        <w:t>.</w:t>
      </w:r>
    </w:p>
    <w:p w14:paraId="66DFAF3B" w14:textId="77777777" w:rsidR="002826A1" w:rsidRPr="00A25C45" w:rsidRDefault="002826A1" w:rsidP="002826A1"/>
    <w:p w14:paraId="00B60ECD" w14:textId="4C486396" w:rsidR="002826A1" w:rsidRDefault="002826A1" w:rsidP="002826A1">
      <w:r>
        <w:t xml:space="preserve">EU Exit Programme </w:t>
      </w:r>
      <w:r w:rsidRPr="00A25C45">
        <w:t>Risk Log</w:t>
      </w:r>
      <w:r>
        <w:t>.</w:t>
      </w:r>
    </w:p>
    <w:p w14:paraId="63626C0F" w14:textId="77777777" w:rsidR="002826A1" w:rsidRDefault="002826A1" w:rsidP="002826A1"/>
    <w:p w14:paraId="51D862BB" w14:textId="77777777" w:rsidR="002826A1" w:rsidRDefault="002826A1" w:rsidP="002826A1">
      <w:r>
        <w:t>EU Exit Actions and Issues Log.</w:t>
      </w:r>
    </w:p>
    <w:p w14:paraId="755071D4" w14:textId="77777777" w:rsidR="002826A1" w:rsidRDefault="002826A1" w:rsidP="002826A1"/>
    <w:p w14:paraId="2A2BC050" w14:textId="77777777" w:rsidR="002826A1" w:rsidRDefault="002826A1" w:rsidP="002826A1">
      <w:pPr>
        <w:spacing w:after="160" w:line="259" w:lineRule="auto"/>
      </w:pPr>
      <w:r w:rsidRPr="00A25C45">
        <w:t xml:space="preserve">Corporate Risk Register </w:t>
      </w:r>
      <w:r>
        <w:t>entry.</w:t>
      </w:r>
    </w:p>
    <w:p w14:paraId="6B7D7EEC" w14:textId="77777777" w:rsidR="002826A1" w:rsidRDefault="002826A1" w:rsidP="002826A1">
      <w:pPr>
        <w:spacing w:after="160" w:line="259" w:lineRule="auto"/>
      </w:pPr>
      <w:r>
        <w:t>March 2021 – Project Closure Report.</w:t>
      </w:r>
    </w:p>
    <w:p w14:paraId="487B16F9" w14:textId="77777777" w:rsidR="002826A1" w:rsidRPr="00A25C45" w:rsidRDefault="002826A1" w:rsidP="002826A1">
      <w:r>
        <w:t xml:space="preserve">March 2021 - </w:t>
      </w:r>
      <w:r w:rsidRPr="00A25C45">
        <w:t>End Stage Action Plan</w:t>
      </w:r>
      <w:r>
        <w:t>.</w:t>
      </w:r>
    </w:p>
    <w:p w14:paraId="352D3662" w14:textId="77777777" w:rsidR="002826A1" w:rsidRPr="00A25C45" w:rsidRDefault="002826A1" w:rsidP="002826A1"/>
    <w:p w14:paraId="53AADB26" w14:textId="77777777" w:rsidR="002D0C12" w:rsidRDefault="002D0C12" w:rsidP="002D0C12">
      <w:pPr>
        <w:jc w:val="both"/>
      </w:pPr>
      <w:r>
        <w:t xml:space="preserve">March 2021 - </w:t>
      </w:r>
      <w:r w:rsidRPr="00A25C45">
        <w:t>Statutory Instrument – the Health Security (EU Exit) Regulations 2021</w:t>
      </w:r>
      <w:r>
        <w:t xml:space="preserve"> to the NLF.</w:t>
      </w:r>
    </w:p>
    <w:p w14:paraId="349ED8ED" w14:textId="146ACA55" w:rsidR="002D0C12" w:rsidRDefault="002D0C12" w:rsidP="002826A1"/>
    <w:p w14:paraId="3CCAD1D2" w14:textId="5206245F" w:rsidR="006279AC" w:rsidRDefault="006279AC" w:rsidP="000D0B84">
      <w:pPr>
        <w:jc w:val="both"/>
      </w:pPr>
      <w:r>
        <w:t>March 2021 – EU Exit related meetings which will continue into 2021, paper prepared for Public Health Services SMT.</w:t>
      </w:r>
    </w:p>
    <w:p w14:paraId="70B2D4B4" w14:textId="77777777" w:rsidR="002826A1" w:rsidRDefault="002826A1" w:rsidP="002826A1"/>
    <w:p w14:paraId="1796ED30" w14:textId="77777777" w:rsidR="002826A1" w:rsidRPr="000D0B84" w:rsidRDefault="002826A1" w:rsidP="002826A1">
      <w:pPr>
        <w:jc w:val="both"/>
        <w:rPr>
          <w:rStyle w:val="Hyperlink"/>
          <w:rFonts w:cs="Calibri"/>
          <w:color w:val="000000" w:themeColor="text1"/>
          <w:u w:val="none"/>
        </w:rPr>
      </w:pPr>
      <w:r w:rsidRPr="000D0B84">
        <w:rPr>
          <w:rStyle w:val="Hyperlink"/>
          <w:rFonts w:cs="Calibri"/>
          <w:color w:val="000000" w:themeColor="text1"/>
          <w:u w:val="none"/>
        </w:rPr>
        <w:t>SRO Programme Group:</w:t>
      </w:r>
    </w:p>
    <w:p w14:paraId="1415FE37" w14:textId="77777777" w:rsidR="002826A1" w:rsidRPr="000D0B84" w:rsidRDefault="002826A1" w:rsidP="002826A1">
      <w:pPr>
        <w:pStyle w:val="ListParagraph"/>
        <w:numPr>
          <w:ilvl w:val="0"/>
          <w:numId w:val="21"/>
        </w:numPr>
        <w:jc w:val="both"/>
        <w:rPr>
          <w:rStyle w:val="Hyperlink"/>
          <w:rFonts w:cs="Calibri"/>
          <w:color w:val="000000" w:themeColor="text1"/>
          <w:u w:val="none"/>
        </w:rPr>
      </w:pPr>
      <w:r w:rsidRPr="000D0B84">
        <w:rPr>
          <w:rStyle w:val="Hyperlink"/>
          <w:rFonts w:cs="Calibri"/>
          <w:color w:val="000000" w:themeColor="text1"/>
          <w:u w:val="none"/>
        </w:rPr>
        <w:t>Revised Terms of Reference (</w:t>
      </w:r>
      <w:r w:rsidR="000D0B84" w:rsidRPr="000D0B84">
        <w:rPr>
          <w:rStyle w:val="Hyperlink"/>
          <w:rFonts w:cs="Calibri"/>
          <w:color w:val="000000" w:themeColor="text1"/>
          <w:u w:val="none"/>
        </w:rPr>
        <w:t>October 2020)</w:t>
      </w:r>
    </w:p>
    <w:p w14:paraId="2AC64B2A" w14:textId="77777777" w:rsidR="002826A1" w:rsidRPr="000D0B84" w:rsidRDefault="002826A1" w:rsidP="002826A1">
      <w:pPr>
        <w:pStyle w:val="ListParagraph"/>
        <w:numPr>
          <w:ilvl w:val="0"/>
          <w:numId w:val="21"/>
        </w:numPr>
        <w:jc w:val="both"/>
        <w:rPr>
          <w:b/>
          <w:color w:val="000000" w:themeColor="text1"/>
        </w:rPr>
      </w:pPr>
      <w:r w:rsidRPr="000D0B84">
        <w:rPr>
          <w:rStyle w:val="Hyperlink"/>
          <w:rFonts w:cs="Calibri"/>
          <w:color w:val="000000" w:themeColor="text1"/>
          <w:u w:val="none"/>
        </w:rPr>
        <w:t>Meeting papers: 28 September 2020; 28 October 2020; 2 November 2020; 23 November 2020; 9 December 2020; 16 December 2020; 22 December 2020; 13 January 2021; 27 January 2021; 10 February 2021, and 29 March 2021.</w:t>
      </w:r>
    </w:p>
    <w:p w14:paraId="143E532B" w14:textId="77777777" w:rsidR="002826A1" w:rsidRPr="000D0B84" w:rsidRDefault="002826A1" w:rsidP="002826A1">
      <w:pPr>
        <w:jc w:val="both"/>
        <w:rPr>
          <w:b/>
          <w:color w:val="000000" w:themeColor="text1"/>
        </w:rPr>
      </w:pPr>
    </w:p>
    <w:p w14:paraId="360941FC" w14:textId="77777777" w:rsidR="002826A1" w:rsidRDefault="002826A1" w:rsidP="002826A1">
      <w:pPr>
        <w:jc w:val="both"/>
        <w:rPr>
          <w:rFonts w:eastAsia="Times New Roman" w:cs="Times New Roman"/>
          <w:bCs/>
          <w:kern w:val="36"/>
          <w:lang w:eastAsia="en-GB"/>
        </w:rPr>
      </w:pPr>
      <w:r>
        <w:rPr>
          <w:rFonts w:eastAsia="Times New Roman" w:cs="Times New Roman"/>
          <w:bCs/>
          <w:kern w:val="36"/>
          <w:lang w:eastAsia="en-GB"/>
        </w:rPr>
        <w:t>Health Protection (including Health Securities) Sub Group of the Welsh Government EUTLG:</w:t>
      </w:r>
    </w:p>
    <w:p w14:paraId="1C351E37" w14:textId="77777777" w:rsidR="002826A1" w:rsidRDefault="002826A1" w:rsidP="002826A1">
      <w:pPr>
        <w:pStyle w:val="ListParagraph"/>
        <w:numPr>
          <w:ilvl w:val="0"/>
          <w:numId w:val="21"/>
        </w:numPr>
        <w:jc w:val="both"/>
      </w:pPr>
      <w:r>
        <w:t>Meeting papers: 14 September 2020; 9 November 2020; 01 December 2020; 15 January 2021; 13 January 2021; 17 February 2021, and 17 March 2021.</w:t>
      </w:r>
    </w:p>
    <w:p w14:paraId="3CD4EA44" w14:textId="77777777" w:rsidR="002826A1" w:rsidRDefault="002826A1" w:rsidP="002826A1">
      <w:pPr>
        <w:pStyle w:val="ListParagraph"/>
        <w:jc w:val="both"/>
      </w:pPr>
    </w:p>
    <w:tbl>
      <w:tblPr>
        <w:tblStyle w:val="TableGrid"/>
        <w:tblW w:w="0" w:type="auto"/>
        <w:tblLook w:val="04A0" w:firstRow="1" w:lastRow="0" w:firstColumn="1" w:lastColumn="0" w:noHBand="0" w:noVBand="1"/>
      </w:tblPr>
      <w:tblGrid>
        <w:gridCol w:w="2122"/>
        <w:gridCol w:w="2829"/>
        <w:gridCol w:w="1941"/>
        <w:gridCol w:w="2124"/>
      </w:tblGrid>
      <w:tr w:rsidR="002826A1" w14:paraId="1BEA7BC8" w14:textId="77777777" w:rsidTr="004A7ABB">
        <w:trPr>
          <w:tblHeader/>
        </w:trPr>
        <w:tc>
          <w:tcPr>
            <w:tcW w:w="9016" w:type="dxa"/>
            <w:gridSpan w:val="4"/>
            <w:shd w:val="clear" w:color="auto" w:fill="C5E0B3" w:themeFill="accent6" w:themeFillTint="66"/>
          </w:tcPr>
          <w:p w14:paraId="4F2BF4B7" w14:textId="77777777" w:rsidR="002826A1" w:rsidRDefault="002826A1" w:rsidP="004A7ABB">
            <w:pPr>
              <w:rPr>
                <w:b/>
              </w:rPr>
            </w:pPr>
            <w:r>
              <w:rPr>
                <w:b/>
              </w:rPr>
              <w:t>Public Health Wales – internal reports / presentations / briefings</w:t>
            </w:r>
          </w:p>
          <w:p w14:paraId="6457EB4B" w14:textId="77777777" w:rsidR="002826A1" w:rsidRDefault="002826A1" w:rsidP="004A7ABB">
            <w:pPr>
              <w:rPr>
                <w:b/>
              </w:rPr>
            </w:pPr>
          </w:p>
        </w:tc>
      </w:tr>
      <w:tr w:rsidR="002826A1" w14:paraId="3B734C43" w14:textId="77777777" w:rsidTr="004A7ABB">
        <w:trPr>
          <w:tblHeader/>
        </w:trPr>
        <w:tc>
          <w:tcPr>
            <w:tcW w:w="2122" w:type="dxa"/>
            <w:shd w:val="clear" w:color="auto" w:fill="C5E0B3" w:themeFill="accent6" w:themeFillTint="66"/>
          </w:tcPr>
          <w:p w14:paraId="0D9B71D7" w14:textId="77777777" w:rsidR="002826A1" w:rsidRPr="008E7D38" w:rsidRDefault="002826A1" w:rsidP="004A7ABB">
            <w:pPr>
              <w:rPr>
                <w:b/>
              </w:rPr>
            </w:pPr>
            <w:r w:rsidRPr="008E7D38">
              <w:rPr>
                <w:b/>
              </w:rPr>
              <w:t>Date</w:t>
            </w:r>
          </w:p>
        </w:tc>
        <w:tc>
          <w:tcPr>
            <w:tcW w:w="2829" w:type="dxa"/>
            <w:shd w:val="clear" w:color="auto" w:fill="C5E0B3" w:themeFill="accent6" w:themeFillTint="66"/>
          </w:tcPr>
          <w:p w14:paraId="1F6AF1D7" w14:textId="77777777" w:rsidR="002826A1" w:rsidRPr="008E7D38" w:rsidRDefault="002826A1" w:rsidP="004A7ABB">
            <w:pPr>
              <w:rPr>
                <w:b/>
              </w:rPr>
            </w:pPr>
            <w:r w:rsidRPr="008E7D38">
              <w:rPr>
                <w:b/>
              </w:rPr>
              <w:t>Meeting</w:t>
            </w:r>
          </w:p>
        </w:tc>
        <w:tc>
          <w:tcPr>
            <w:tcW w:w="1941" w:type="dxa"/>
            <w:shd w:val="clear" w:color="auto" w:fill="C5E0B3" w:themeFill="accent6" w:themeFillTint="66"/>
          </w:tcPr>
          <w:p w14:paraId="64CC8970" w14:textId="77777777" w:rsidR="002826A1" w:rsidRPr="008E7D38" w:rsidRDefault="002826A1" w:rsidP="004A7ABB">
            <w:pPr>
              <w:rPr>
                <w:b/>
              </w:rPr>
            </w:pPr>
            <w:r w:rsidRPr="008E7D38">
              <w:rPr>
                <w:b/>
              </w:rPr>
              <w:t xml:space="preserve">Presentation / </w:t>
            </w:r>
            <w:r>
              <w:rPr>
                <w:b/>
              </w:rPr>
              <w:t>Report</w:t>
            </w:r>
          </w:p>
        </w:tc>
        <w:tc>
          <w:tcPr>
            <w:tcW w:w="2124" w:type="dxa"/>
            <w:shd w:val="clear" w:color="auto" w:fill="C5E0B3" w:themeFill="accent6" w:themeFillTint="66"/>
          </w:tcPr>
          <w:p w14:paraId="15C180B5" w14:textId="77777777" w:rsidR="002826A1" w:rsidRPr="008E7D38" w:rsidRDefault="002826A1" w:rsidP="004A7ABB">
            <w:pPr>
              <w:rPr>
                <w:b/>
              </w:rPr>
            </w:pPr>
            <w:r>
              <w:rPr>
                <w:b/>
              </w:rPr>
              <w:t>To Note</w:t>
            </w:r>
          </w:p>
        </w:tc>
      </w:tr>
      <w:tr w:rsidR="002826A1" w14:paraId="5843FD5D" w14:textId="77777777" w:rsidTr="004A7ABB">
        <w:tc>
          <w:tcPr>
            <w:tcW w:w="9016" w:type="dxa"/>
            <w:gridSpan w:val="4"/>
          </w:tcPr>
          <w:p w14:paraId="51417C22" w14:textId="77777777" w:rsidR="002826A1" w:rsidRPr="00C46C88" w:rsidRDefault="002826A1" w:rsidP="004A7ABB">
            <w:pPr>
              <w:rPr>
                <w:b/>
              </w:rPr>
            </w:pPr>
            <w:r w:rsidRPr="00C46C88">
              <w:rPr>
                <w:b/>
              </w:rPr>
              <w:t>PHASE III (SEPTEMBER 2020 – MARCH 2021)</w:t>
            </w:r>
          </w:p>
        </w:tc>
      </w:tr>
      <w:tr w:rsidR="002826A1" w14:paraId="1CE36466" w14:textId="77777777" w:rsidTr="004A7ABB">
        <w:tc>
          <w:tcPr>
            <w:tcW w:w="2122" w:type="dxa"/>
          </w:tcPr>
          <w:p w14:paraId="435BD0E5" w14:textId="77777777" w:rsidR="002826A1" w:rsidRPr="00C46C88" w:rsidRDefault="002826A1" w:rsidP="004A7ABB">
            <w:r>
              <w:t>29 October 2020</w:t>
            </w:r>
          </w:p>
        </w:tc>
        <w:tc>
          <w:tcPr>
            <w:tcW w:w="2829" w:type="dxa"/>
          </w:tcPr>
          <w:p w14:paraId="3469C18D" w14:textId="77777777" w:rsidR="002826A1" w:rsidRPr="00C46C88" w:rsidRDefault="002826A1" w:rsidP="004A7ABB">
            <w:r>
              <w:t>Business Executive Team</w:t>
            </w:r>
          </w:p>
        </w:tc>
        <w:tc>
          <w:tcPr>
            <w:tcW w:w="1941" w:type="dxa"/>
          </w:tcPr>
          <w:p w14:paraId="58330853" w14:textId="77777777" w:rsidR="002826A1" w:rsidRPr="00C46C88" w:rsidRDefault="002826A1" w:rsidP="004A7ABB">
            <w:r>
              <w:t>Report</w:t>
            </w:r>
          </w:p>
        </w:tc>
        <w:tc>
          <w:tcPr>
            <w:tcW w:w="2124" w:type="dxa"/>
          </w:tcPr>
          <w:p w14:paraId="38D34AA5" w14:textId="77777777" w:rsidR="002826A1" w:rsidRPr="00C46C88" w:rsidRDefault="002826A1" w:rsidP="004A7ABB"/>
        </w:tc>
      </w:tr>
      <w:tr w:rsidR="002826A1" w14:paraId="5FB23CDD" w14:textId="77777777" w:rsidTr="004A7ABB">
        <w:tc>
          <w:tcPr>
            <w:tcW w:w="2122" w:type="dxa"/>
          </w:tcPr>
          <w:p w14:paraId="5A8F6955" w14:textId="77777777" w:rsidR="002826A1" w:rsidRDefault="002826A1" w:rsidP="004A7ABB">
            <w:r>
              <w:t>11 November 2020</w:t>
            </w:r>
          </w:p>
        </w:tc>
        <w:tc>
          <w:tcPr>
            <w:tcW w:w="2829" w:type="dxa"/>
          </w:tcPr>
          <w:p w14:paraId="4AC8B845" w14:textId="77777777" w:rsidR="002826A1" w:rsidRDefault="002826A1" w:rsidP="004A7ABB">
            <w:r>
              <w:t>Tracey Cooper, CE</w:t>
            </w:r>
          </w:p>
        </w:tc>
        <w:tc>
          <w:tcPr>
            <w:tcW w:w="1941" w:type="dxa"/>
          </w:tcPr>
          <w:p w14:paraId="11521978" w14:textId="77777777" w:rsidR="002826A1" w:rsidRDefault="002826A1" w:rsidP="004A7ABB">
            <w:r>
              <w:t>Briefing</w:t>
            </w:r>
          </w:p>
        </w:tc>
        <w:tc>
          <w:tcPr>
            <w:tcW w:w="2124" w:type="dxa"/>
          </w:tcPr>
          <w:p w14:paraId="15A7C160" w14:textId="77777777" w:rsidR="002826A1" w:rsidRPr="00C46C88" w:rsidRDefault="002826A1" w:rsidP="004A7ABB">
            <w:r>
              <w:t>Health Securities’ – latest position</w:t>
            </w:r>
          </w:p>
        </w:tc>
      </w:tr>
      <w:tr w:rsidR="002826A1" w14:paraId="7EF2C870" w14:textId="77777777" w:rsidTr="004A7ABB">
        <w:tc>
          <w:tcPr>
            <w:tcW w:w="2122" w:type="dxa"/>
          </w:tcPr>
          <w:p w14:paraId="53D5E4F1" w14:textId="77777777" w:rsidR="002826A1" w:rsidRPr="00C46C88" w:rsidRDefault="002826A1" w:rsidP="004A7ABB">
            <w:r>
              <w:t>16 November 2020</w:t>
            </w:r>
          </w:p>
        </w:tc>
        <w:tc>
          <w:tcPr>
            <w:tcW w:w="2829" w:type="dxa"/>
          </w:tcPr>
          <w:p w14:paraId="4FBCD8A7" w14:textId="77777777" w:rsidR="002826A1" w:rsidRPr="00C46C88" w:rsidRDefault="002826A1" w:rsidP="004A7ABB">
            <w:r>
              <w:t>Business Executive Team</w:t>
            </w:r>
          </w:p>
        </w:tc>
        <w:tc>
          <w:tcPr>
            <w:tcW w:w="1941" w:type="dxa"/>
          </w:tcPr>
          <w:p w14:paraId="1AD0561D" w14:textId="77777777" w:rsidR="002826A1" w:rsidRPr="00C46C88" w:rsidRDefault="002826A1" w:rsidP="004A7ABB">
            <w:r>
              <w:t>Report</w:t>
            </w:r>
          </w:p>
        </w:tc>
        <w:tc>
          <w:tcPr>
            <w:tcW w:w="2124" w:type="dxa"/>
          </w:tcPr>
          <w:p w14:paraId="45844909" w14:textId="77777777" w:rsidR="002826A1" w:rsidRPr="00C46C88" w:rsidRDefault="002826A1" w:rsidP="004A7ABB"/>
        </w:tc>
      </w:tr>
      <w:tr w:rsidR="002826A1" w14:paraId="0961F089" w14:textId="77777777" w:rsidTr="004A7ABB">
        <w:tc>
          <w:tcPr>
            <w:tcW w:w="2122" w:type="dxa"/>
          </w:tcPr>
          <w:p w14:paraId="43007FA7" w14:textId="77777777" w:rsidR="002826A1" w:rsidRPr="00C46C88" w:rsidRDefault="002826A1" w:rsidP="004A7ABB">
            <w:r>
              <w:t>15 December 2020</w:t>
            </w:r>
          </w:p>
        </w:tc>
        <w:tc>
          <w:tcPr>
            <w:tcW w:w="2829" w:type="dxa"/>
          </w:tcPr>
          <w:p w14:paraId="052DF307" w14:textId="77777777" w:rsidR="002826A1" w:rsidRPr="00C46C88" w:rsidRDefault="002826A1" w:rsidP="004A7ABB">
            <w:r>
              <w:t>Business Executive Team</w:t>
            </w:r>
          </w:p>
        </w:tc>
        <w:tc>
          <w:tcPr>
            <w:tcW w:w="1941" w:type="dxa"/>
          </w:tcPr>
          <w:p w14:paraId="4ED10059" w14:textId="77777777" w:rsidR="002826A1" w:rsidRPr="00C46C88" w:rsidRDefault="002826A1" w:rsidP="004A7ABB">
            <w:r>
              <w:t>Report</w:t>
            </w:r>
          </w:p>
        </w:tc>
        <w:tc>
          <w:tcPr>
            <w:tcW w:w="2124" w:type="dxa"/>
          </w:tcPr>
          <w:p w14:paraId="43074800" w14:textId="77777777" w:rsidR="002826A1" w:rsidRPr="00C46C88" w:rsidRDefault="002826A1" w:rsidP="004A7ABB">
            <w:r>
              <w:t>Non-Legislative Framework</w:t>
            </w:r>
          </w:p>
        </w:tc>
      </w:tr>
      <w:tr w:rsidR="002826A1" w14:paraId="094D2DAA" w14:textId="77777777" w:rsidTr="004A7ABB">
        <w:tc>
          <w:tcPr>
            <w:tcW w:w="2122" w:type="dxa"/>
          </w:tcPr>
          <w:p w14:paraId="0D5564A8" w14:textId="77777777" w:rsidR="002826A1" w:rsidRPr="00C46C88" w:rsidRDefault="002826A1" w:rsidP="004A7ABB">
            <w:r>
              <w:t>15 December 2020</w:t>
            </w:r>
          </w:p>
        </w:tc>
        <w:tc>
          <w:tcPr>
            <w:tcW w:w="2829" w:type="dxa"/>
          </w:tcPr>
          <w:p w14:paraId="20032CF1" w14:textId="77777777" w:rsidR="002826A1" w:rsidRPr="00C46C88" w:rsidRDefault="002826A1" w:rsidP="004A7ABB">
            <w:r>
              <w:t>Business Executive Team</w:t>
            </w:r>
          </w:p>
        </w:tc>
        <w:tc>
          <w:tcPr>
            <w:tcW w:w="1941" w:type="dxa"/>
          </w:tcPr>
          <w:p w14:paraId="34DFDDF6" w14:textId="77777777" w:rsidR="002826A1" w:rsidRPr="00C46C88" w:rsidRDefault="002826A1" w:rsidP="004A7ABB">
            <w:r>
              <w:t>Report</w:t>
            </w:r>
          </w:p>
        </w:tc>
        <w:tc>
          <w:tcPr>
            <w:tcW w:w="2124" w:type="dxa"/>
          </w:tcPr>
          <w:p w14:paraId="0B52F9FE" w14:textId="77777777" w:rsidR="002826A1" w:rsidRPr="00C46C88" w:rsidRDefault="002826A1" w:rsidP="004A7ABB"/>
        </w:tc>
      </w:tr>
      <w:tr w:rsidR="002826A1" w14:paraId="15311A5E" w14:textId="77777777" w:rsidTr="004A7ABB">
        <w:tc>
          <w:tcPr>
            <w:tcW w:w="2122" w:type="dxa"/>
          </w:tcPr>
          <w:p w14:paraId="70DD828F" w14:textId="77777777" w:rsidR="002826A1" w:rsidRPr="00C46C88" w:rsidRDefault="002826A1" w:rsidP="004A7ABB">
            <w:r>
              <w:t>15 December 2020</w:t>
            </w:r>
          </w:p>
        </w:tc>
        <w:tc>
          <w:tcPr>
            <w:tcW w:w="2829" w:type="dxa"/>
          </w:tcPr>
          <w:p w14:paraId="7CE6A3CD" w14:textId="77777777" w:rsidR="002826A1" w:rsidRPr="00C46C88" w:rsidRDefault="002826A1" w:rsidP="004A7ABB">
            <w:r>
              <w:t>Board</w:t>
            </w:r>
          </w:p>
        </w:tc>
        <w:tc>
          <w:tcPr>
            <w:tcW w:w="1941" w:type="dxa"/>
          </w:tcPr>
          <w:p w14:paraId="3726F96B" w14:textId="77777777" w:rsidR="002826A1" w:rsidRPr="00C46C88" w:rsidRDefault="002826A1" w:rsidP="004A7ABB">
            <w:r>
              <w:t>Report</w:t>
            </w:r>
          </w:p>
        </w:tc>
        <w:tc>
          <w:tcPr>
            <w:tcW w:w="2124" w:type="dxa"/>
          </w:tcPr>
          <w:p w14:paraId="6D3B40C8" w14:textId="77777777" w:rsidR="002826A1" w:rsidRPr="00C46C88" w:rsidRDefault="002826A1" w:rsidP="004A7ABB">
            <w:r>
              <w:t>Non-Legislative Framework</w:t>
            </w:r>
          </w:p>
        </w:tc>
      </w:tr>
      <w:tr w:rsidR="002826A1" w14:paraId="08A2C9C2" w14:textId="77777777" w:rsidTr="004A7ABB">
        <w:tc>
          <w:tcPr>
            <w:tcW w:w="2122" w:type="dxa"/>
          </w:tcPr>
          <w:p w14:paraId="17CD363B" w14:textId="77777777" w:rsidR="002826A1" w:rsidRPr="00C46C88" w:rsidRDefault="002826A1" w:rsidP="004A7ABB">
            <w:r>
              <w:t>15 December 2020</w:t>
            </w:r>
          </w:p>
        </w:tc>
        <w:tc>
          <w:tcPr>
            <w:tcW w:w="2829" w:type="dxa"/>
          </w:tcPr>
          <w:p w14:paraId="36A6441C" w14:textId="77777777" w:rsidR="002826A1" w:rsidRPr="00C46C88" w:rsidRDefault="002826A1" w:rsidP="004A7ABB">
            <w:r>
              <w:t>Board</w:t>
            </w:r>
          </w:p>
        </w:tc>
        <w:tc>
          <w:tcPr>
            <w:tcW w:w="1941" w:type="dxa"/>
          </w:tcPr>
          <w:p w14:paraId="238FB560" w14:textId="77777777" w:rsidR="002826A1" w:rsidRPr="00C46C88" w:rsidRDefault="002826A1" w:rsidP="004A7ABB">
            <w:r>
              <w:t>Report</w:t>
            </w:r>
          </w:p>
        </w:tc>
        <w:tc>
          <w:tcPr>
            <w:tcW w:w="2124" w:type="dxa"/>
          </w:tcPr>
          <w:p w14:paraId="5B2DD720" w14:textId="77777777" w:rsidR="002826A1" w:rsidRPr="00C46C88" w:rsidRDefault="002826A1" w:rsidP="004A7ABB"/>
        </w:tc>
      </w:tr>
      <w:tr w:rsidR="002826A1" w14:paraId="7AC9EFA5" w14:textId="77777777" w:rsidTr="004A7ABB">
        <w:tc>
          <w:tcPr>
            <w:tcW w:w="2122" w:type="dxa"/>
          </w:tcPr>
          <w:p w14:paraId="6822D6DD" w14:textId="77777777" w:rsidR="002826A1" w:rsidRDefault="002826A1" w:rsidP="004A7ABB">
            <w:r>
              <w:t>17 December 2020</w:t>
            </w:r>
          </w:p>
        </w:tc>
        <w:tc>
          <w:tcPr>
            <w:tcW w:w="2829" w:type="dxa"/>
          </w:tcPr>
          <w:p w14:paraId="1B99CFC1" w14:textId="77777777" w:rsidR="002826A1" w:rsidRDefault="002826A1" w:rsidP="004A7ABB">
            <w:r>
              <w:t>Gold</w:t>
            </w:r>
          </w:p>
        </w:tc>
        <w:tc>
          <w:tcPr>
            <w:tcW w:w="1941" w:type="dxa"/>
          </w:tcPr>
          <w:p w14:paraId="76C3CF10" w14:textId="77777777" w:rsidR="002826A1" w:rsidRDefault="002826A1" w:rsidP="004A7ABB">
            <w:r>
              <w:t>Report</w:t>
            </w:r>
          </w:p>
        </w:tc>
        <w:tc>
          <w:tcPr>
            <w:tcW w:w="2124" w:type="dxa"/>
          </w:tcPr>
          <w:p w14:paraId="50EBA29B" w14:textId="77777777" w:rsidR="002826A1" w:rsidRPr="00C46C88" w:rsidRDefault="002826A1" w:rsidP="004A7ABB">
            <w:r>
              <w:t>Command and Control Reporting Arrangements</w:t>
            </w:r>
          </w:p>
        </w:tc>
      </w:tr>
      <w:tr w:rsidR="002826A1" w14:paraId="079B30B9" w14:textId="77777777" w:rsidTr="004A7ABB">
        <w:tc>
          <w:tcPr>
            <w:tcW w:w="2122" w:type="dxa"/>
          </w:tcPr>
          <w:p w14:paraId="2FFB76E4" w14:textId="77777777" w:rsidR="002826A1" w:rsidRDefault="002826A1" w:rsidP="004A7ABB">
            <w:r>
              <w:t>10 February 2021</w:t>
            </w:r>
          </w:p>
        </w:tc>
        <w:tc>
          <w:tcPr>
            <w:tcW w:w="2829" w:type="dxa"/>
          </w:tcPr>
          <w:p w14:paraId="5D0CDCAC" w14:textId="77777777" w:rsidR="002826A1" w:rsidRDefault="002826A1" w:rsidP="004A7ABB">
            <w:r>
              <w:t>Tracey Cooper, CE</w:t>
            </w:r>
          </w:p>
        </w:tc>
        <w:tc>
          <w:tcPr>
            <w:tcW w:w="1941" w:type="dxa"/>
          </w:tcPr>
          <w:p w14:paraId="517A9623" w14:textId="77777777" w:rsidR="002826A1" w:rsidRDefault="002826A1" w:rsidP="004A7ABB">
            <w:r>
              <w:t>Briefing</w:t>
            </w:r>
          </w:p>
        </w:tc>
        <w:tc>
          <w:tcPr>
            <w:tcW w:w="2124" w:type="dxa"/>
          </w:tcPr>
          <w:p w14:paraId="66DEACE1" w14:textId="77777777" w:rsidR="002826A1" w:rsidRPr="005212AA" w:rsidRDefault="002826A1" w:rsidP="004A7ABB">
            <w:r w:rsidRPr="005212AA">
              <w:rPr>
                <w:color w:val="000000" w:themeColor="text1"/>
              </w:rPr>
              <w:t>Ministerial Stakeholder Advisory Forum</w:t>
            </w:r>
          </w:p>
        </w:tc>
      </w:tr>
      <w:tr w:rsidR="002826A1" w14:paraId="37D0CA24" w14:textId="77777777" w:rsidTr="004A7ABB">
        <w:tc>
          <w:tcPr>
            <w:tcW w:w="2122" w:type="dxa"/>
          </w:tcPr>
          <w:p w14:paraId="67A8DBC8" w14:textId="77777777" w:rsidR="002826A1" w:rsidRDefault="002826A1" w:rsidP="004A7ABB">
            <w:r>
              <w:t>2 March 2021</w:t>
            </w:r>
          </w:p>
        </w:tc>
        <w:tc>
          <w:tcPr>
            <w:tcW w:w="2829" w:type="dxa"/>
          </w:tcPr>
          <w:p w14:paraId="540478CC" w14:textId="77777777" w:rsidR="002826A1" w:rsidRDefault="002826A1" w:rsidP="004A7ABB">
            <w:r>
              <w:t>Business Executive Team</w:t>
            </w:r>
          </w:p>
        </w:tc>
        <w:tc>
          <w:tcPr>
            <w:tcW w:w="1941" w:type="dxa"/>
          </w:tcPr>
          <w:p w14:paraId="4A9B0E97" w14:textId="77777777" w:rsidR="002826A1" w:rsidRDefault="002826A1" w:rsidP="004A7ABB">
            <w:r>
              <w:t>Report</w:t>
            </w:r>
          </w:p>
        </w:tc>
        <w:tc>
          <w:tcPr>
            <w:tcW w:w="2124" w:type="dxa"/>
          </w:tcPr>
          <w:p w14:paraId="398B8096" w14:textId="77777777" w:rsidR="002826A1" w:rsidRPr="00C46C88" w:rsidRDefault="002826A1" w:rsidP="004A7ABB"/>
        </w:tc>
      </w:tr>
      <w:tr w:rsidR="002826A1" w14:paraId="5611686B" w14:textId="77777777" w:rsidTr="004A7ABB">
        <w:tc>
          <w:tcPr>
            <w:tcW w:w="2122" w:type="dxa"/>
          </w:tcPr>
          <w:p w14:paraId="5FE7A423" w14:textId="77777777" w:rsidR="002826A1" w:rsidRDefault="002826A1" w:rsidP="004A7ABB">
            <w:r>
              <w:t>6 April 2021</w:t>
            </w:r>
          </w:p>
        </w:tc>
        <w:tc>
          <w:tcPr>
            <w:tcW w:w="2829" w:type="dxa"/>
          </w:tcPr>
          <w:p w14:paraId="5490C37B" w14:textId="77777777" w:rsidR="002826A1" w:rsidRDefault="002826A1" w:rsidP="004A7ABB">
            <w:r>
              <w:t>Business Executive Team</w:t>
            </w:r>
          </w:p>
        </w:tc>
        <w:tc>
          <w:tcPr>
            <w:tcW w:w="1941" w:type="dxa"/>
          </w:tcPr>
          <w:p w14:paraId="50A82DAF" w14:textId="77777777" w:rsidR="002826A1" w:rsidRDefault="002826A1" w:rsidP="004A7ABB">
            <w:r>
              <w:t>Report</w:t>
            </w:r>
          </w:p>
        </w:tc>
        <w:tc>
          <w:tcPr>
            <w:tcW w:w="2124" w:type="dxa"/>
          </w:tcPr>
          <w:p w14:paraId="5EED70E8" w14:textId="77777777" w:rsidR="002826A1" w:rsidRPr="00C46C88" w:rsidRDefault="002826A1" w:rsidP="004A7ABB">
            <w:r>
              <w:t>Project Closure Report</w:t>
            </w:r>
          </w:p>
        </w:tc>
      </w:tr>
      <w:tr w:rsidR="002826A1" w14:paraId="7D07C7DC" w14:textId="77777777" w:rsidTr="004A7ABB">
        <w:tc>
          <w:tcPr>
            <w:tcW w:w="2122" w:type="dxa"/>
          </w:tcPr>
          <w:p w14:paraId="74DFBF8A" w14:textId="77777777" w:rsidR="002826A1" w:rsidRDefault="002826A1" w:rsidP="004A7ABB">
            <w:r>
              <w:t>26 April 2021</w:t>
            </w:r>
          </w:p>
        </w:tc>
        <w:tc>
          <w:tcPr>
            <w:tcW w:w="2829" w:type="dxa"/>
          </w:tcPr>
          <w:p w14:paraId="46C3F5D6" w14:textId="77777777" w:rsidR="002826A1" w:rsidRDefault="002826A1" w:rsidP="004A7ABB">
            <w:r>
              <w:t>Board</w:t>
            </w:r>
          </w:p>
        </w:tc>
        <w:tc>
          <w:tcPr>
            <w:tcW w:w="1941" w:type="dxa"/>
          </w:tcPr>
          <w:p w14:paraId="66BAF160" w14:textId="77777777" w:rsidR="002826A1" w:rsidRDefault="002826A1" w:rsidP="004A7ABB">
            <w:r>
              <w:t>Report</w:t>
            </w:r>
          </w:p>
        </w:tc>
        <w:tc>
          <w:tcPr>
            <w:tcW w:w="2124" w:type="dxa"/>
          </w:tcPr>
          <w:p w14:paraId="2CCAD986" w14:textId="77777777" w:rsidR="002826A1" w:rsidRPr="00C46C88" w:rsidRDefault="002826A1" w:rsidP="004A7ABB">
            <w:r>
              <w:t>Project Closure Report</w:t>
            </w:r>
          </w:p>
        </w:tc>
      </w:tr>
    </w:tbl>
    <w:p w14:paraId="2E8B4F7D" w14:textId="77777777" w:rsidR="002826A1" w:rsidRDefault="002826A1" w:rsidP="002826A1">
      <w:pPr>
        <w:jc w:val="both"/>
      </w:pPr>
    </w:p>
    <w:p w14:paraId="31753EF6" w14:textId="77777777" w:rsidR="002826A1" w:rsidRPr="002B234C" w:rsidRDefault="002826A1" w:rsidP="002826A1"/>
    <w:p w14:paraId="79FD20F4" w14:textId="77777777" w:rsidR="00875BB2" w:rsidRDefault="00875BB2" w:rsidP="00B14157">
      <w:pPr>
        <w:jc w:val="both"/>
        <w:rPr>
          <w:rStyle w:val="Hyperlink"/>
          <w:rFonts w:cs="Calibri"/>
        </w:rPr>
      </w:pPr>
    </w:p>
    <w:sectPr w:rsidR="00875BB2" w:rsidSect="007E47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1EFAD" w14:textId="77777777" w:rsidR="00CD3DF6" w:rsidRDefault="00CD3DF6">
      <w:r>
        <w:separator/>
      </w:r>
    </w:p>
  </w:endnote>
  <w:endnote w:type="continuationSeparator" w:id="0">
    <w:p w14:paraId="5620F154" w14:textId="77777777" w:rsidR="00CD3DF6" w:rsidRDefault="00CD3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Ubuntu">
    <w:altName w:val="Ubuntu"/>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006"/>
      <w:gridCol w:w="2992"/>
    </w:tblGrid>
    <w:tr w:rsidR="00B46BB7" w:rsidRPr="00511AFF" w14:paraId="33951906" w14:textId="77777777" w:rsidTr="004A7ABB">
      <w:tc>
        <w:tcPr>
          <w:tcW w:w="3100" w:type="dxa"/>
        </w:tcPr>
        <w:p w14:paraId="7FD440DE" w14:textId="7481ECB5" w:rsidR="00B46BB7" w:rsidRPr="00511AFF" w:rsidRDefault="00B46BB7" w:rsidP="00BF619B">
          <w:pPr>
            <w:pStyle w:val="Footer"/>
            <w:tabs>
              <w:tab w:val="right" w:pos="9090"/>
            </w:tabs>
            <w:rPr>
              <w:b/>
              <w:sz w:val="20"/>
            </w:rPr>
          </w:pPr>
          <w:r w:rsidRPr="00511AFF">
            <w:rPr>
              <w:b/>
              <w:sz w:val="20"/>
            </w:rPr>
            <w:t xml:space="preserve">Date: </w:t>
          </w:r>
          <w:r>
            <w:rPr>
              <w:sz w:val="20"/>
            </w:rPr>
            <w:t xml:space="preserve"> 12/05/2021</w:t>
          </w:r>
        </w:p>
      </w:tc>
      <w:tc>
        <w:tcPr>
          <w:tcW w:w="3100" w:type="dxa"/>
        </w:tcPr>
        <w:p w14:paraId="0CC97246" w14:textId="0A07130D" w:rsidR="00B46BB7" w:rsidRPr="00511AFF" w:rsidRDefault="00B46BB7" w:rsidP="004A7ABB">
          <w:pPr>
            <w:pStyle w:val="Footer"/>
            <w:tabs>
              <w:tab w:val="center" w:pos="1433"/>
              <w:tab w:val="right" w:pos="2866"/>
              <w:tab w:val="right" w:pos="9090"/>
            </w:tabs>
            <w:jc w:val="center"/>
            <w:rPr>
              <w:b/>
              <w:sz w:val="20"/>
            </w:rPr>
          </w:pPr>
          <w:r w:rsidRPr="00511AFF">
            <w:rPr>
              <w:b/>
              <w:sz w:val="20"/>
            </w:rPr>
            <w:t>Version:</w:t>
          </w:r>
          <w:r>
            <w:rPr>
              <w:sz w:val="20"/>
            </w:rPr>
            <w:t xml:space="preserve"> </w:t>
          </w:r>
          <w:r>
            <w:rPr>
              <w:color w:val="000000" w:themeColor="text1"/>
              <w:sz w:val="20"/>
            </w:rPr>
            <w:t>0.</w:t>
          </w:r>
          <w:r w:rsidR="00385398">
            <w:rPr>
              <w:color w:val="000000" w:themeColor="text1"/>
              <w:sz w:val="20"/>
            </w:rPr>
            <w:t>5</w:t>
          </w:r>
        </w:p>
      </w:tc>
      <w:tc>
        <w:tcPr>
          <w:tcW w:w="3101" w:type="dxa"/>
        </w:tcPr>
        <w:p w14:paraId="27319104" w14:textId="1116E121" w:rsidR="00B46BB7" w:rsidRPr="00511AFF" w:rsidRDefault="00B46BB7" w:rsidP="004A7ABB">
          <w:pPr>
            <w:pStyle w:val="Footer"/>
            <w:tabs>
              <w:tab w:val="clear" w:pos="4513"/>
              <w:tab w:val="center" w:pos="4500"/>
              <w:tab w:val="right" w:pos="9090"/>
            </w:tabs>
            <w:jc w:val="right"/>
            <w:rPr>
              <w:b/>
              <w:sz w:val="20"/>
            </w:rPr>
          </w:pPr>
          <w:r w:rsidRPr="00511AFF">
            <w:rPr>
              <w:b/>
              <w:sz w:val="20"/>
            </w:rPr>
            <w:t xml:space="preserve">Page: </w:t>
          </w:r>
          <w:r w:rsidRPr="00511AFF">
            <w:rPr>
              <w:rStyle w:val="PageNumber"/>
              <w:sz w:val="20"/>
            </w:rPr>
            <w:fldChar w:fldCharType="begin"/>
          </w:r>
          <w:r w:rsidRPr="00511AFF">
            <w:rPr>
              <w:rStyle w:val="PageNumber"/>
              <w:sz w:val="20"/>
            </w:rPr>
            <w:instrText xml:space="preserve"> PAGE </w:instrText>
          </w:r>
          <w:r w:rsidRPr="00511AFF">
            <w:rPr>
              <w:rStyle w:val="PageNumber"/>
              <w:sz w:val="20"/>
            </w:rPr>
            <w:fldChar w:fldCharType="separate"/>
          </w:r>
          <w:r w:rsidR="00CD3DF6">
            <w:rPr>
              <w:rStyle w:val="PageNumber"/>
              <w:noProof/>
              <w:sz w:val="20"/>
            </w:rPr>
            <w:t>1</w:t>
          </w:r>
          <w:r w:rsidRPr="00511AFF">
            <w:rPr>
              <w:rStyle w:val="PageNumber"/>
              <w:sz w:val="20"/>
            </w:rPr>
            <w:fldChar w:fldCharType="end"/>
          </w:r>
          <w:r w:rsidRPr="00511AFF">
            <w:rPr>
              <w:rStyle w:val="PageNumber"/>
              <w:sz w:val="20"/>
            </w:rPr>
            <w:t xml:space="preserve"> of </w:t>
          </w:r>
          <w:r w:rsidRPr="00511AFF">
            <w:rPr>
              <w:rStyle w:val="PageNumber"/>
              <w:sz w:val="20"/>
            </w:rPr>
            <w:fldChar w:fldCharType="begin"/>
          </w:r>
          <w:r w:rsidRPr="00511AFF">
            <w:rPr>
              <w:rStyle w:val="PageNumber"/>
              <w:sz w:val="20"/>
            </w:rPr>
            <w:instrText xml:space="preserve"> NUMPAGES </w:instrText>
          </w:r>
          <w:r w:rsidRPr="00511AFF">
            <w:rPr>
              <w:rStyle w:val="PageNumber"/>
              <w:sz w:val="20"/>
            </w:rPr>
            <w:fldChar w:fldCharType="separate"/>
          </w:r>
          <w:r w:rsidR="00CD3DF6">
            <w:rPr>
              <w:rStyle w:val="PageNumber"/>
              <w:noProof/>
              <w:sz w:val="20"/>
            </w:rPr>
            <w:t>1</w:t>
          </w:r>
          <w:r w:rsidRPr="00511AFF">
            <w:rPr>
              <w:rStyle w:val="PageNumber"/>
              <w:sz w:val="20"/>
            </w:rPr>
            <w:fldChar w:fldCharType="end"/>
          </w:r>
        </w:p>
      </w:tc>
    </w:tr>
  </w:tbl>
  <w:p w14:paraId="79EDDB76" w14:textId="77777777" w:rsidR="00B46BB7" w:rsidRDefault="00B46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DED00" w14:textId="77777777" w:rsidR="00CD3DF6" w:rsidRDefault="00CD3DF6">
      <w:r>
        <w:separator/>
      </w:r>
    </w:p>
  </w:footnote>
  <w:footnote w:type="continuationSeparator" w:id="0">
    <w:p w14:paraId="1DD49999" w14:textId="77777777" w:rsidR="00CD3DF6" w:rsidRDefault="00CD3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059"/>
    <w:multiLevelType w:val="hybridMultilevel"/>
    <w:tmpl w:val="BC7A4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643C0"/>
    <w:multiLevelType w:val="hybridMultilevel"/>
    <w:tmpl w:val="436E44F2"/>
    <w:lvl w:ilvl="0" w:tplc="01DA80D8">
      <w:start w:val="4"/>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66FFC"/>
    <w:multiLevelType w:val="hybridMultilevel"/>
    <w:tmpl w:val="CFCAE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A629E"/>
    <w:multiLevelType w:val="hybridMultilevel"/>
    <w:tmpl w:val="E4E4A5C4"/>
    <w:lvl w:ilvl="0" w:tplc="279E4BA2">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5F50A3"/>
    <w:multiLevelType w:val="multilevel"/>
    <w:tmpl w:val="94E22FA0"/>
    <w:lvl w:ilvl="0">
      <w:start w:val="7"/>
      <w:numFmt w:val="decimal"/>
      <w:lvlText w:val="%1"/>
      <w:lvlJc w:val="left"/>
      <w:pPr>
        <w:ind w:left="675" w:hanging="675"/>
      </w:pPr>
      <w:rPr>
        <w:rFonts w:hint="default"/>
        <w:b/>
      </w:rPr>
    </w:lvl>
    <w:lvl w:ilvl="1">
      <w:start w:val="1"/>
      <w:numFmt w:val="decimal"/>
      <w:lvlText w:val="%1.%2"/>
      <w:lvlJc w:val="left"/>
      <w:pPr>
        <w:ind w:left="720" w:hanging="720"/>
      </w:pPr>
      <w:rPr>
        <w:rFonts w:hint="default"/>
        <w:b/>
      </w:rPr>
    </w:lvl>
    <w:lvl w:ilvl="2">
      <w:start w:val="5"/>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5" w15:restartNumberingAfterBreak="0">
    <w:nsid w:val="10C0431B"/>
    <w:multiLevelType w:val="hybridMultilevel"/>
    <w:tmpl w:val="44C6D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F20A05"/>
    <w:multiLevelType w:val="multilevel"/>
    <w:tmpl w:val="3A148DCA"/>
    <w:lvl w:ilvl="0">
      <w:start w:val="6"/>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15:restartNumberingAfterBreak="0">
    <w:nsid w:val="142B59F0"/>
    <w:multiLevelType w:val="hybridMultilevel"/>
    <w:tmpl w:val="3F168CE2"/>
    <w:lvl w:ilvl="0" w:tplc="577A69A0">
      <w:start w:val="1"/>
      <w:numFmt w:val="bullet"/>
      <w:lvlText w:val="•"/>
      <w:lvlJc w:val="left"/>
      <w:pPr>
        <w:tabs>
          <w:tab w:val="num" w:pos="720"/>
        </w:tabs>
        <w:ind w:left="720" w:hanging="360"/>
      </w:pPr>
      <w:rPr>
        <w:rFonts w:ascii="Arial" w:hAnsi="Arial" w:hint="default"/>
      </w:rPr>
    </w:lvl>
    <w:lvl w:ilvl="1" w:tplc="8EE0BD38" w:tentative="1">
      <w:start w:val="1"/>
      <w:numFmt w:val="bullet"/>
      <w:lvlText w:val="•"/>
      <w:lvlJc w:val="left"/>
      <w:pPr>
        <w:tabs>
          <w:tab w:val="num" w:pos="1440"/>
        </w:tabs>
        <w:ind w:left="1440" w:hanging="360"/>
      </w:pPr>
      <w:rPr>
        <w:rFonts w:ascii="Arial" w:hAnsi="Arial" w:hint="default"/>
      </w:rPr>
    </w:lvl>
    <w:lvl w:ilvl="2" w:tplc="8D72B480" w:tentative="1">
      <w:start w:val="1"/>
      <w:numFmt w:val="bullet"/>
      <w:lvlText w:val="•"/>
      <w:lvlJc w:val="left"/>
      <w:pPr>
        <w:tabs>
          <w:tab w:val="num" w:pos="2160"/>
        </w:tabs>
        <w:ind w:left="2160" w:hanging="360"/>
      </w:pPr>
      <w:rPr>
        <w:rFonts w:ascii="Arial" w:hAnsi="Arial" w:hint="default"/>
      </w:rPr>
    </w:lvl>
    <w:lvl w:ilvl="3" w:tplc="2ADA63B0" w:tentative="1">
      <w:start w:val="1"/>
      <w:numFmt w:val="bullet"/>
      <w:lvlText w:val="•"/>
      <w:lvlJc w:val="left"/>
      <w:pPr>
        <w:tabs>
          <w:tab w:val="num" w:pos="2880"/>
        </w:tabs>
        <w:ind w:left="2880" w:hanging="360"/>
      </w:pPr>
      <w:rPr>
        <w:rFonts w:ascii="Arial" w:hAnsi="Arial" w:hint="default"/>
      </w:rPr>
    </w:lvl>
    <w:lvl w:ilvl="4" w:tplc="E6F6FC7E" w:tentative="1">
      <w:start w:val="1"/>
      <w:numFmt w:val="bullet"/>
      <w:lvlText w:val="•"/>
      <w:lvlJc w:val="left"/>
      <w:pPr>
        <w:tabs>
          <w:tab w:val="num" w:pos="3600"/>
        </w:tabs>
        <w:ind w:left="3600" w:hanging="360"/>
      </w:pPr>
      <w:rPr>
        <w:rFonts w:ascii="Arial" w:hAnsi="Arial" w:hint="default"/>
      </w:rPr>
    </w:lvl>
    <w:lvl w:ilvl="5" w:tplc="028C30EC" w:tentative="1">
      <w:start w:val="1"/>
      <w:numFmt w:val="bullet"/>
      <w:lvlText w:val="•"/>
      <w:lvlJc w:val="left"/>
      <w:pPr>
        <w:tabs>
          <w:tab w:val="num" w:pos="4320"/>
        </w:tabs>
        <w:ind w:left="4320" w:hanging="360"/>
      </w:pPr>
      <w:rPr>
        <w:rFonts w:ascii="Arial" w:hAnsi="Arial" w:hint="default"/>
      </w:rPr>
    </w:lvl>
    <w:lvl w:ilvl="6" w:tplc="4B08DF7C" w:tentative="1">
      <w:start w:val="1"/>
      <w:numFmt w:val="bullet"/>
      <w:lvlText w:val="•"/>
      <w:lvlJc w:val="left"/>
      <w:pPr>
        <w:tabs>
          <w:tab w:val="num" w:pos="5040"/>
        </w:tabs>
        <w:ind w:left="5040" w:hanging="360"/>
      </w:pPr>
      <w:rPr>
        <w:rFonts w:ascii="Arial" w:hAnsi="Arial" w:hint="default"/>
      </w:rPr>
    </w:lvl>
    <w:lvl w:ilvl="7" w:tplc="1DE41718" w:tentative="1">
      <w:start w:val="1"/>
      <w:numFmt w:val="bullet"/>
      <w:lvlText w:val="•"/>
      <w:lvlJc w:val="left"/>
      <w:pPr>
        <w:tabs>
          <w:tab w:val="num" w:pos="5760"/>
        </w:tabs>
        <w:ind w:left="5760" w:hanging="360"/>
      </w:pPr>
      <w:rPr>
        <w:rFonts w:ascii="Arial" w:hAnsi="Arial" w:hint="default"/>
      </w:rPr>
    </w:lvl>
    <w:lvl w:ilvl="8" w:tplc="673605A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AEC050D"/>
    <w:multiLevelType w:val="hybridMultilevel"/>
    <w:tmpl w:val="8A22DE32"/>
    <w:lvl w:ilvl="0" w:tplc="D17E5A9A">
      <w:start w:val="1"/>
      <w:numFmt w:val="decimal"/>
      <w:lvlText w:val="%1."/>
      <w:lvlJc w:val="left"/>
      <w:pPr>
        <w:ind w:left="720" w:hanging="360"/>
      </w:pPr>
      <w:rPr>
        <w:rFonts w:ascii="Verdana" w:eastAsiaTheme="minorHAnsi" w:hAnsi="Verdana"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C4B32C2"/>
    <w:multiLevelType w:val="hybridMultilevel"/>
    <w:tmpl w:val="13143918"/>
    <w:lvl w:ilvl="0" w:tplc="B77CC9C6">
      <w:start w:val="1"/>
      <w:numFmt w:val="bullet"/>
      <w:lvlText w:val="•"/>
      <w:lvlJc w:val="left"/>
      <w:pPr>
        <w:tabs>
          <w:tab w:val="num" w:pos="720"/>
        </w:tabs>
        <w:ind w:left="720" w:hanging="360"/>
      </w:pPr>
      <w:rPr>
        <w:rFonts w:ascii="Arial" w:hAnsi="Arial" w:hint="default"/>
      </w:rPr>
    </w:lvl>
    <w:lvl w:ilvl="1" w:tplc="3544E3EE" w:tentative="1">
      <w:start w:val="1"/>
      <w:numFmt w:val="bullet"/>
      <w:lvlText w:val="•"/>
      <w:lvlJc w:val="left"/>
      <w:pPr>
        <w:tabs>
          <w:tab w:val="num" w:pos="1440"/>
        </w:tabs>
        <w:ind w:left="1440" w:hanging="360"/>
      </w:pPr>
      <w:rPr>
        <w:rFonts w:ascii="Arial" w:hAnsi="Arial" w:hint="default"/>
      </w:rPr>
    </w:lvl>
    <w:lvl w:ilvl="2" w:tplc="B8D8D914" w:tentative="1">
      <w:start w:val="1"/>
      <w:numFmt w:val="bullet"/>
      <w:lvlText w:val="•"/>
      <w:lvlJc w:val="left"/>
      <w:pPr>
        <w:tabs>
          <w:tab w:val="num" w:pos="2160"/>
        </w:tabs>
        <w:ind w:left="2160" w:hanging="360"/>
      </w:pPr>
      <w:rPr>
        <w:rFonts w:ascii="Arial" w:hAnsi="Arial" w:hint="default"/>
      </w:rPr>
    </w:lvl>
    <w:lvl w:ilvl="3" w:tplc="537E6E5A" w:tentative="1">
      <w:start w:val="1"/>
      <w:numFmt w:val="bullet"/>
      <w:lvlText w:val="•"/>
      <w:lvlJc w:val="left"/>
      <w:pPr>
        <w:tabs>
          <w:tab w:val="num" w:pos="2880"/>
        </w:tabs>
        <w:ind w:left="2880" w:hanging="360"/>
      </w:pPr>
      <w:rPr>
        <w:rFonts w:ascii="Arial" w:hAnsi="Arial" w:hint="default"/>
      </w:rPr>
    </w:lvl>
    <w:lvl w:ilvl="4" w:tplc="EA520950" w:tentative="1">
      <w:start w:val="1"/>
      <w:numFmt w:val="bullet"/>
      <w:lvlText w:val="•"/>
      <w:lvlJc w:val="left"/>
      <w:pPr>
        <w:tabs>
          <w:tab w:val="num" w:pos="3600"/>
        </w:tabs>
        <w:ind w:left="3600" w:hanging="360"/>
      </w:pPr>
      <w:rPr>
        <w:rFonts w:ascii="Arial" w:hAnsi="Arial" w:hint="default"/>
      </w:rPr>
    </w:lvl>
    <w:lvl w:ilvl="5" w:tplc="B322AC6C" w:tentative="1">
      <w:start w:val="1"/>
      <w:numFmt w:val="bullet"/>
      <w:lvlText w:val="•"/>
      <w:lvlJc w:val="left"/>
      <w:pPr>
        <w:tabs>
          <w:tab w:val="num" w:pos="4320"/>
        </w:tabs>
        <w:ind w:left="4320" w:hanging="360"/>
      </w:pPr>
      <w:rPr>
        <w:rFonts w:ascii="Arial" w:hAnsi="Arial" w:hint="default"/>
      </w:rPr>
    </w:lvl>
    <w:lvl w:ilvl="6" w:tplc="5B9A7C26" w:tentative="1">
      <w:start w:val="1"/>
      <w:numFmt w:val="bullet"/>
      <w:lvlText w:val="•"/>
      <w:lvlJc w:val="left"/>
      <w:pPr>
        <w:tabs>
          <w:tab w:val="num" w:pos="5040"/>
        </w:tabs>
        <w:ind w:left="5040" w:hanging="360"/>
      </w:pPr>
      <w:rPr>
        <w:rFonts w:ascii="Arial" w:hAnsi="Arial" w:hint="default"/>
      </w:rPr>
    </w:lvl>
    <w:lvl w:ilvl="7" w:tplc="19FEA6DE" w:tentative="1">
      <w:start w:val="1"/>
      <w:numFmt w:val="bullet"/>
      <w:lvlText w:val="•"/>
      <w:lvlJc w:val="left"/>
      <w:pPr>
        <w:tabs>
          <w:tab w:val="num" w:pos="5760"/>
        </w:tabs>
        <w:ind w:left="5760" w:hanging="360"/>
      </w:pPr>
      <w:rPr>
        <w:rFonts w:ascii="Arial" w:hAnsi="Arial" w:hint="default"/>
      </w:rPr>
    </w:lvl>
    <w:lvl w:ilvl="8" w:tplc="10AAAC2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F204A0C"/>
    <w:multiLevelType w:val="hybridMultilevel"/>
    <w:tmpl w:val="950A0864"/>
    <w:lvl w:ilvl="0" w:tplc="C8064BE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3E394E"/>
    <w:multiLevelType w:val="hybridMultilevel"/>
    <w:tmpl w:val="6852AA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3B92D5A"/>
    <w:multiLevelType w:val="hybridMultilevel"/>
    <w:tmpl w:val="C074B816"/>
    <w:lvl w:ilvl="0" w:tplc="DC240874">
      <w:start w:val="1"/>
      <w:numFmt w:val="decimal"/>
      <w:pStyle w:val="Heading1"/>
      <w:lvlText w:val="%1."/>
      <w:lvlJc w:val="left"/>
      <w:pPr>
        <w:ind w:left="720" w:hanging="360"/>
      </w:pPr>
      <w:rPr>
        <w:rFonts w:hint="default"/>
        <w:color w:val="000000" w:themeColor="text1"/>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423D21"/>
    <w:multiLevelType w:val="multilevel"/>
    <w:tmpl w:val="6332D368"/>
    <w:lvl w:ilvl="0">
      <w:start w:val="1"/>
      <w:numFmt w:val="decimal"/>
      <w:lvlText w:val="%1."/>
      <w:lvlJc w:val="left"/>
      <w:pPr>
        <w:ind w:left="360" w:hanging="360"/>
      </w:pPr>
      <w:rPr>
        <w:rFonts w:hint="default"/>
      </w:rPr>
    </w:lvl>
    <w:lvl w:ilvl="1">
      <w:start w:val="1"/>
      <w:numFmt w:val="decimal"/>
      <w:lvlText w:val="%1.%2."/>
      <w:lvlJc w:val="left"/>
      <w:pPr>
        <w:ind w:left="114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322D48"/>
    <w:multiLevelType w:val="hybridMultilevel"/>
    <w:tmpl w:val="C58C4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E31CED"/>
    <w:multiLevelType w:val="hybridMultilevel"/>
    <w:tmpl w:val="CEC84E30"/>
    <w:lvl w:ilvl="0" w:tplc="61D23D5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FE3A49"/>
    <w:multiLevelType w:val="multilevel"/>
    <w:tmpl w:val="44409CD0"/>
    <w:lvl w:ilvl="0">
      <w:start w:val="4"/>
      <w:numFmt w:val="decimal"/>
      <w:lvlText w:val="%1"/>
      <w:lvlJc w:val="left"/>
      <w:pPr>
        <w:ind w:left="420" w:hanging="4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15:restartNumberingAfterBreak="0">
    <w:nsid w:val="38721A71"/>
    <w:multiLevelType w:val="multilevel"/>
    <w:tmpl w:val="922ADABA"/>
    <w:lvl w:ilvl="0">
      <w:start w:val="7"/>
      <w:numFmt w:val="decimal"/>
      <w:lvlText w:val="%1"/>
      <w:lvlJc w:val="left"/>
      <w:pPr>
        <w:ind w:left="420" w:hanging="42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18" w15:restartNumberingAfterBreak="0">
    <w:nsid w:val="3E841579"/>
    <w:multiLevelType w:val="hybridMultilevel"/>
    <w:tmpl w:val="F5C8BC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3540E3"/>
    <w:multiLevelType w:val="hybridMultilevel"/>
    <w:tmpl w:val="24CE4DEA"/>
    <w:lvl w:ilvl="0" w:tplc="222C6232">
      <w:start w:val="1"/>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550115"/>
    <w:multiLevelType w:val="multilevel"/>
    <w:tmpl w:val="5B52E6DC"/>
    <w:lvl w:ilvl="0">
      <w:start w:val="6"/>
      <w:numFmt w:val="decimal"/>
      <w:lvlText w:val="%1"/>
      <w:lvlJc w:val="left"/>
      <w:pPr>
        <w:ind w:left="420" w:hanging="420"/>
      </w:pPr>
      <w:rPr>
        <w:rFonts w:hint="default"/>
        <w:b/>
      </w:rPr>
    </w:lvl>
    <w:lvl w:ilvl="1">
      <w:start w:val="9"/>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21" w15:restartNumberingAfterBreak="0">
    <w:nsid w:val="4AB0037D"/>
    <w:multiLevelType w:val="hybridMultilevel"/>
    <w:tmpl w:val="F716A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EC05F1"/>
    <w:multiLevelType w:val="hybridMultilevel"/>
    <w:tmpl w:val="30A80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473E75"/>
    <w:multiLevelType w:val="hybridMultilevel"/>
    <w:tmpl w:val="BBCAC1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619582D"/>
    <w:multiLevelType w:val="hybridMultilevel"/>
    <w:tmpl w:val="FCC6B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0D5598"/>
    <w:multiLevelType w:val="hybridMultilevel"/>
    <w:tmpl w:val="4D029782"/>
    <w:lvl w:ilvl="0" w:tplc="3CFCF6D8">
      <w:start w:val="23"/>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C826C4"/>
    <w:multiLevelType w:val="hybridMultilevel"/>
    <w:tmpl w:val="AAA2BB86"/>
    <w:lvl w:ilvl="0" w:tplc="B9A0C04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9F6105"/>
    <w:multiLevelType w:val="hybridMultilevel"/>
    <w:tmpl w:val="2F4A7B10"/>
    <w:lvl w:ilvl="0" w:tplc="06F64688">
      <w:start w:val="4"/>
      <w:numFmt w:val="bullet"/>
      <w:lvlText w:val="-"/>
      <w:lvlJc w:val="left"/>
      <w:pPr>
        <w:ind w:left="1069" w:hanging="360"/>
      </w:pPr>
      <w:rPr>
        <w:rFonts w:ascii="Verdana" w:eastAsiaTheme="minorHAnsi" w:hAnsi="Verdana"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8" w15:restartNumberingAfterBreak="0">
    <w:nsid w:val="61BC2D48"/>
    <w:multiLevelType w:val="hybridMultilevel"/>
    <w:tmpl w:val="9BD6F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A17522"/>
    <w:multiLevelType w:val="multilevel"/>
    <w:tmpl w:val="9A869068"/>
    <w:lvl w:ilvl="0">
      <w:start w:val="1"/>
      <w:numFmt w:val="decimal"/>
      <w:lvlText w:val="%1."/>
      <w:lvlJc w:val="left"/>
      <w:pPr>
        <w:ind w:left="720" w:hanging="360"/>
      </w:pPr>
      <w:rPr>
        <w:rFonts w:eastAsiaTheme="minorHAnsi" w:cstheme="minorBidi" w:hint="default"/>
        <w:b/>
        <w:color w:val="auto"/>
        <w:sz w:val="24"/>
      </w:rPr>
    </w:lvl>
    <w:lvl w:ilvl="1">
      <w:start w:val="4"/>
      <w:numFmt w:val="decimal"/>
      <w:isLgl/>
      <w:lvlText w:val="%1.%2"/>
      <w:lvlJc w:val="left"/>
      <w:pPr>
        <w:ind w:left="1080"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30" w15:restartNumberingAfterBreak="0">
    <w:nsid w:val="6C55518C"/>
    <w:multiLevelType w:val="hybridMultilevel"/>
    <w:tmpl w:val="6B68D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30644B"/>
    <w:multiLevelType w:val="hybridMultilevel"/>
    <w:tmpl w:val="5434B9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B32940"/>
    <w:multiLevelType w:val="multilevel"/>
    <w:tmpl w:val="72DCCA14"/>
    <w:lvl w:ilvl="0">
      <w:start w:val="7"/>
      <w:numFmt w:val="decimal"/>
      <w:lvlText w:val="%1."/>
      <w:lvlJc w:val="left"/>
      <w:pPr>
        <w:ind w:left="480" w:hanging="480"/>
      </w:pPr>
      <w:rPr>
        <w:rFonts w:cstheme="minorBidi" w:hint="default"/>
      </w:rPr>
    </w:lvl>
    <w:lvl w:ilvl="1">
      <w:start w:val="5"/>
      <w:numFmt w:val="decimal"/>
      <w:lvlText w:val="%1.%2."/>
      <w:lvlJc w:val="left"/>
      <w:pPr>
        <w:ind w:left="720" w:hanging="720"/>
      </w:pPr>
      <w:rPr>
        <w:rFonts w:cstheme="minorBidi" w:hint="default"/>
      </w:rPr>
    </w:lvl>
    <w:lvl w:ilvl="2">
      <w:start w:val="1"/>
      <w:numFmt w:val="decimal"/>
      <w:lvlText w:val="%1.%2.%3."/>
      <w:lvlJc w:val="left"/>
      <w:pPr>
        <w:ind w:left="1080" w:hanging="1080"/>
      </w:pPr>
      <w:rPr>
        <w:rFonts w:cstheme="minorBidi" w:hint="default"/>
      </w:rPr>
    </w:lvl>
    <w:lvl w:ilvl="3">
      <w:start w:val="1"/>
      <w:numFmt w:val="decimal"/>
      <w:lvlText w:val="%1.%2.%3.%4."/>
      <w:lvlJc w:val="left"/>
      <w:pPr>
        <w:ind w:left="1440" w:hanging="1440"/>
      </w:pPr>
      <w:rPr>
        <w:rFonts w:cstheme="minorBidi" w:hint="default"/>
      </w:rPr>
    </w:lvl>
    <w:lvl w:ilvl="4">
      <w:start w:val="1"/>
      <w:numFmt w:val="decimal"/>
      <w:lvlText w:val="%1.%2.%3.%4.%5."/>
      <w:lvlJc w:val="left"/>
      <w:pPr>
        <w:ind w:left="1440" w:hanging="1440"/>
      </w:pPr>
      <w:rPr>
        <w:rFonts w:cstheme="minorBidi" w:hint="default"/>
      </w:rPr>
    </w:lvl>
    <w:lvl w:ilvl="5">
      <w:start w:val="1"/>
      <w:numFmt w:val="decimal"/>
      <w:lvlText w:val="%1.%2.%3.%4.%5.%6."/>
      <w:lvlJc w:val="left"/>
      <w:pPr>
        <w:ind w:left="1800" w:hanging="1800"/>
      </w:pPr>
      <w:rPr>
        <w:rFonts w:cstheme="minorBidi" w:hint="default"/>
      </w:rPr>
    </w:lvl>
    <w:lvl w:ilvl="6">
      <w:start w:val="1"/>
      <w:numFmt w:val="decimal"/>
      <w:lvlText w:val="%1.%2.%3.%4.%5.%6.%7."/>
      <w:lvlJc w:val="left"/>
      <w:pPr>
        <w:ind w:left="2160" w:hanging="2160"/>
      </w:pPr>
      <w:rPr>
        <w:rFonts w:cstheme="minorBidi" w:hint="default"/>
      </w:rPr>
    </w:lvl>
    <w:lvl w:ilvl="7">
      <w:start w:val="1"/>
      <w:numFmt w:val="decimal"/>
      <w:lvlText w:val="%1.%2.%3.%4.%5.%6.%7.%8."/>
      <w:lvlJc w:val="left"/>
      <w:pPr>
        <w:ind w:left="2520" w:hanging="2520"/>
      </w:pPr>
      <w:rPr>
        <w:rFonts w:cstheme="minorBidi" w:hint="default"/>
      </w:rPr>
    </w:lvl>
    <w:lvl w:ilvl="8">
      <w:start w:val="1"/>
      <w:numFmt w:val="decimal"/>
      <w:lvlText w:val="%1.%2.%3.%4.%5.%6.%7.%8.%9."/>
      <w:lvlJc w:val="left"/>
      <w:pPr>
        <w:ind w:left="2880" w:hanging="2880"/>
      </w:pPr>
      <w:rPr>
        <w:rFonts w:cstheme="minorBidi" w:hint="default"/>
      </w:rPr>
    </w:lvl>
  </w:abstractNum>
  <w:abstractNum w:abstractNumId="33" w15:restartNumberingAfterBreak="0">
    <w:nsid w:val="73F30193"/>
    <w:multiLevelType w:val="multilevel"/>
    <w:tmpl w:val="4C548CEC"/>
    <w:lvl w:ilvl="0">
      <w:start w:val="8"/>
      <w:numFmt w:val="decimal"/>
      <w:lvlText w:val="%1"/>
      <w:lvlJc w:val="left"/>
      <w:pPr>
        <w:ind w:left="420" w:hanging="42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34" w15:restartNumberingAfterBreak="0">
    <w:nsid w:val="77F54BB9"/>
    <w:multiLevelType w:val="hybridMultilevel"/>
    <w:tmpl w:val="95FEA7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EE3A71"/>
    <w:multiLevelType w:val="hybridMultilevel"/>
    <w:tmpl w:val="96CA2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28"/>
  </w:num>
  <w:num w:numId="4">
    <w:abstractNumId w:val="22"/>
  </w:num>
  <w:num w:numId="5">
    <w:abstractNumId w:val="26"/>
  </w:num>
  <w:num w:numId="6">
    <w:abstractNumId w:val="30"/>
  </w:num>
  <w:num w:numId="7">
    <w:abstractNumId w:val="24"/>
  </w:num>
  <w:num w:numId="8">
    <w:abstractNumId w:val="18"/>
  </w:num>
  <w:num w:numId="9">
    <w:abstractNumId w:val="31"/>
  </w:num>
  <w:num w:numId="10">
    <w:abstractNumId w:val="5"/>
  </w:num>
  <w:num w:numId="11">
    <w:abstractNumId w:val="14"/>
  </w:num>
  <w:num w:numId="12">
    <w:abstractNumId w:val="34"/>
  </w:num>
  <w:num w:numId="13">
    <w:abstractNumId w:val="2"/>
  </w:num>
  <w:num w:numId="14">
    <w:abstractNumId w:val="23"/>
  </w:num>
  <w:num w:numId="15">
    <w:abstractNumId w:val="35"/>
  </w:num>
  <w:num w:numId="16">
    <w:abstractNumId w:val="12"/>
  </w:num>
  <w:num w:numId="17">
    <w:abstractNumId w:val="29"/>
  </w:num>
  <w:num w:numId="18">
    <w:abstractNumId w:val="27"/>
  </w:num>
  <w:num w:numId="19">
    <w:abstractNumId w:val="25"/>
  </w:num>
  <w:num w:numId="20">
    <w:abstractNumId w:val="8"/>
  </w:num>
  <w:num w:numId="21">
    <w:abstractNumId w:val="1"/>
  </w:num>
  <w:num w:numId="22">
    <w:abstractNumId w:val="16"/>
  </w:num>
  <w:num w:numId="23">
    <w:abstractNumId w:val="13"/>
  </w:num>
  <w:num w:numId="24">
    <w:abstractNumId w:val="15"/>
  </w:num>
  <w:num w:numId="25">
    <w:abstractNumId w:val="20"/>
  </w:num>
  <w:num w:numId="26">
    <w:abstractNumId w:val="10"/>
  </w:num>
  <w:num w:numId="27">
    <w:abstractNumId w:val="19"/>
  </w:num>
  <w:num w:numId="28">
    <w:abstractNumId w:val="21"/>
  </w:num>
  <w:num w:numId="29">
    <w:abstractNumId w:val="7"/>
  </w:num>
  <w:num w:numId="30">
    <w:abstractNumId w:val="9"/>
  </w:num>
  <w:num w:numId="31">
    <w:abstractNumId w:val="4"/>
  </w:num>
  <w:num w:numId="32">
    <w:abstractNumId w:val="17"/>
  </w:num>
  <w:num w:numId="33">
    <w:abstractNumId w:val="11"/>
  </w:num>
  <w:num w:numId="34">
    <w:abstractNumId w:val="32"/>
  </w:num>
  <w:num w:numId="35">
    <w:abstractNumId w:val="0"/>
  </w:num>
  <w:num w:numId="36">
    <w:abstractNumId w:val="6"/>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157"/>
    <w:rsid w:val="000175F0"/>
    <w:rsid w:val="000B223B"/>
    <w:rsid w:val="000D0B84"/>
    <w:rsid w:val="001550BE"/>
    <w:rsid w:val="00180BBA"/>
    <w:rsid w:val="0019116D"/>
    <w:rsid w:val="001A3F29"/>
    <w:rsid w:val="001B4B5F"/>
    <w:rsid w:val="001D7978"/>
    <w:rsid w:val="00203128"/>
    <w:rsid w:val="00204ED0"/>
    <w:rsid w:val="00266477"/>
    <w:rsid w:val="002826A1"/>
    <w:rsid w:val="002B234C"/>
    <w:rsid w:val="002C7026"/>
    <w:rsid w:val="002D0C12"/>
    <w:rsid w:val="002E06A8"/>
    <w:rsid w:val="00335443"/>
    <w:rsid w:val="00385398"/>
    <w:rsid w:val="00396A69"/>
    <w:rsid w:val="0040650C"/>
    <w:rsid w:val="00423910"/>
    <w:rsid w:val="00435A5E"/>
    <w:rsid w:val="00472855"/>
    <w:rsid w:val="004A7ABB"/>
    <w:rsid w:val="004B506D"/>
    <w:rsid w:val="004F1974"/>
    <w:rsid w:val="0053333A"/>
    <w:rsid w:val="005430C2"/>
    <w:rsid w:val="00571F25"/>
    <w:rsid w:val="005B0C4A"/>
    <w:rsid w:val="005C5A55"/>
    <w:rsid w:val="006279AC"/>
    <w:rsid w:val="00635137"/>
    <w:rsid w:val="00647784"/>
    <w:rsid w:val="0069485A"/>
    <w:rsid w:val="006D1E88"/>
    <w:rsid w:val="006E2AD1"/>
    <w:rsid w:val="0071042E"/>
    <w:rsid w:val="007A072F"/>
    <w:rsid w:val="007E4744"/>
    <w:rsid w:val="008064C3"/>
    <w:rsid w:val="0082327B"/>
    <w:rsid w:val="00875BB2"/>
    <w:rsid w:val="008809B1"/>
    <w:rsid w:val="00894A96"/>
    <w:rsid w:val="008D37A5"/>
    <w:rsid w:val="009107CA"/>
    <w:rsid w:val="009819EF"/>
    <w:rsid w:val="00992D51"/>
    <w:rsid w:val="009C7F70"/>
    <w:rsid w:val="009E7FAA"/>
    <w:rsid w:val="00A24E22"/>
    <w:rsid w:val="00A44D73"/>
    <w:rsid w:val="00A61581"/>
    <w:rsid w:val="00A82947"/>
    <w:rsid w:val="00AD1ADD"/>
    <w:rsid w:val="00B14157"/>
    <w:rsid w:val="00B17DDE"/>
    <w:rsid w:val="00B3679B"/>
    <w:rsid w:val="00B40989"/>
    <w:rsid w:val="00B46BB7"/>
    <w:rsid w:val="00B718AD"/>
    <w:rsid w:val="00B8014F"/>
    <w:rsid w:val="00B8128E"/>
    <w:rsid w:val="00BA7433"/>
    <w:rsid w:val="00BB0192"/>
    <w:rsid w:val="00BB0323"/>
    <w:rsid w:val="00BC00F7"/>
    <w:rsid w:val="00BD1CF7"/>
    <w:rsid w:val="00BD646A"/>
    <w:rsid w:val="00BF619B"/>
    <w:rsid w:val="00C24AFD"/>
    <w:rsid w:val="00C86170"/>
    <w:rsid w:val="00CD3DF6"/>
    <w:rsid w:val="00CE2F80"/>
    <w:rsid w:val="00D423DB"/>
    <w:rsid w:val="00D606C9"/>
    <w:rsid w:val="00E16C2F"/>
    <w:rsid w:val="00E46761"/>
    <w:rsid w:val="00E47C55"/>
    <w:rsid w:val="00E941C3"/>
    <w:rsid w:val="00EC7415"/>
    <w:rsid w:val="00EE7846"/>
    <w:rsid w:val="00F1145E"/>
    <w:rsid w:val="00F44D24"/>
    <w:rsid w:val="00F653B6"/>
    <w:rsid w:val="00F71DD7"/>
    <w:rsid w:val="00FB5880"/>
    <w:rsid w:val="00FE4D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C9484"/>
  <w15:chartTrackingRefBased/>
  <w15:docId w15:val="{3DBDBB53-AEB4-42B1-9D1E-145C30587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F29"/>
    <w:pPr>
      <w:spacing w:after="0" w:line="240" w:lineRule="auto"/>
    </w:pPr>
    <w:rPr>
      <w:rFonts w:ascii="Verdana" w:hAnsi="Verdana"/>
    </w:rPr>
  </w:style>
  <w:style w:type="paragraph" w:styleId="Heading1">
    <w:name w:val="heading 1"/>
    <w:basedOn w:val="Normal"/>
    <w:next w:val="Normal"/>
    <w:link w:val="Heading1Char"/>
    <w:uiPriority w:val="9"/>
    <w:qFormat/>
    <w:rsid w:val="00B14157"/>
    <w:pPr>
      <w:keepNext/>
      <w:keepLines/>
      <w:numPr>
        <w:numId w:val="16"/>
      </w:numPr>
      <w:spacing w:before="24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B1415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list,Dot pt,No Spacing1,List Paragraph Char Char Char,Indicator Text,Numbered Para 1,List Paragraph1,Bullet Points,MAIN CONTENT,Bullet 1,List Paragraph11,List Paragraph12,F5 List Paragraph,Colorful List - Accent 11,Bullet Style"/>
    <w:basedOn w:val="Normal"/>
    <w:link w:val="ListParagraphChar"/>
    <w:uiPriority w:val="34"/>
    <w:qFormat/>
    <w:rsid w:val="001A3F29"/>
    <w:pPr>
      <w:ind w:left="720"/>
      <w:contextualSpacing/>
    </w:pPr>
  </w:style>
  <w:style w:type="character" w:customStyle="1" w:styleId="Heading1Char">
    <w:name w:val="Heading 1 Char"/>
    <w:basedOn w:val="DefaultParagraphFont"/>
    <w:link w:val="Heading1"/>
    <w:uiPriority w:val="9"/>
    <w:rsid w:val="00B14157"/>
    <w:rPr>
      <w:rFonts w:ascii="Verdana" w:eastAsiaTheme="majorEastAsia" w:hAnsi="Verdana" w:cstheme="majorBidi"/>
      <w:b/>
      <w:color w:val="000000" w:themeColor="text1"/>
      <w:sz w:val="28"/>
      <w:szCs w:val="32"/>
    </w:rPr>
  </w:style>
  <w:style w:type="character" w:customStyle="1" w:styleId="Heading2Char">
    <w:name w:val="Heading 2 Char"/>
    <w:basedOn w:val="DefaultParagraphFont"/>
    <w:link w:val="Heading2"/>
    <w:uiPriority w:val="9"/>
    <w:rsid w:val="00B14157"/>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B14157"/>
    <w:rPr>
      <w:color w:val="0563C1" w:themeColor="hyperlink"/>
      <w:u w:val="single"/>
    </w:rPr>
  </w:style>
  <w:style w:type="character" w:customStyle="1" w:styleId="ListParagraphChar">
    <w:name w:val="List Paragraph Char"/>
    <w:aliases w:val="Bulleted list Char,Dot pt Char,No Spacing1 Char,List Paragraph Char Char Char Char,Indicator Text Char,Numbered Para 1 Char,List Paragraph1 Char,Bullet Points Char,MAIN CONTENT Char,Bullet 1 Char,List Paragraph11 Char"/>
    <w:basedOn w:val="DefaultParagraphFont"/>
    <w:link w:val="ListParagraph"/>
    <w:uiPriority w:val="34"/>
    <w:locked/>
    <w:rsid w:val="00B14157"/>
    <w:rPr>
      <w:rFonts w:ascii="Verdana" w:hAnsi="Verdana"/>
    </w:rPr>
  </w:style>
  <w:style w:type="character" w:styleId="Strong">
    <w:name w:val="Strong"/>
    <w:basedOn w:val="DefaultParagraphFont"/>
    <w:uiPriority w:val="22"/>
    <w:qFormat/>
    <w:rsid w:val="00B14157"/>
    <w:rPr>
      <w:b/>
      <w:bCs/>
    </w:rPr>
  </w:style>
  <w:style w:type="character" w:styleId="FollowedHyperlink">
    <w:name w:val="FollowedHyperlink"/>
    <w:basedOn w:val="DefaultParagraphFont"/>
    <w:uiPriority w:val="99"/>
    <w:semiHidden/>
    <w:unhideWhenUsed/>
    <w:rsid w:val="00B14157"/>
    <w:rPr>
      <w:color w:val="954F72" w:themeColor="followedHyperlink"/>
      <w:u w:val="single"/>
    </w:rPr>
  </w:style>
  <w:style w:type="table" w:styleId="TableGrid">
    <w:name w:val="Table Grid"/>
    <w:basedOn w:val="TableNormal"/>
    <w:uiPriority w:val="39"/>
    <w:rsid w:val="00B14157"/>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
    <w:name w:val="Dropdown"/>
    <w:basedOn w:val="DefaultParagraphFont"/>
    <w:uiPriority w:val="1"/>
    <w:rsid w:val="00B14157"/>
    <w:rPr>
      <w:rFonts w:ascii="Verdana" w:hAnsi="Verdana"/>
      <w:color w:val="auto"/>
      <w:sz w:val="24"/>
    </w:rPr>
  </w:style>
  <w:style w:type="character" w:styleId="PlaceholderText">
    <w:name w:val="Placeholder Text"/>
    <w:basedOn w:val="DefaultParagraphFont"/>
    <w:uiPriority w:val="99"/>
    <w:semiHidden/>
    <w:rsid w:val="00B14157"/>
    <w:rPr>
      <w:color w:val="808080"/>
    </w:rPr>
  </w:style>
  <w:style w:type="paragraph" w:styleId="Header">
    <w:name w:val="header"/>
    <w:basedOn w:val="Normal"/>
    <w:link w:val="HeaderChar"/>
    <w:uiPriority w:val="99"/>
    <w:unhideWhenUsed/>
    <w:rsid w:val="00B14157"/>
    <w:pPr>
      <w:tabs>
        <w:tab w:val="center" w:pos="4513"/>
        <w:tab w:val="right" w:pos="9026"/>
      </w:tabs>
    </w:pPr>
  </w:style>
  <w:style w:type="character" w:customStyle="1" w:styleId="HeaderChar">
    <w:name w:val="Header Char"/>
    <w:basedOn w:val="DefaultParagraphFont"/>
    <w:link w:val="Header"/>
    <w:uiPriority w:val="99"/>
    <w:rsid w:val="00B14157"/>
    <w:rPr>
      <w:rFonts w:ascii="Verdana" w:hAnsi="Verdana"/>
    </w:rPr>
  </w:style>
  <w:style w:type="paragraph" w:styleId="Footer">
    <w:name w:val="footer"/>
    <w:basedOn w:val="Normal"/>
    <w:link w:val="FooterChar"/>
    <w:uiPriority w:val="99"/>
    <w:unhideWhenUsed/>
    <w:rsid w:val="00B14157"/>
    <w:pPr>
      <w:tabs>
        <w:tab w:val="center" w:pos="4513"/>
        <w:tab w:val="right" w:pos="9026"/>
      </w:tabs>
    </w:pPr>
  </w:style>
  <w:style w:type="character" w:customStyle="1" w:styleId="FooterChar">
    <w:name w:val="Footer Char"/>
    <w:basedOn w:val="DefaultParagraphFont"/>
    <w:link w:val="Footer"/>
    <w:uiPriority w:val="99"/>
    <w:rsid w:val="00B14157"/>
    <w:rPr>
      <w:rFonts w:ascii="Verdana" w:hAnsi="Verdana"/>
    </w:rPr>
  </w:style>
  <w:style w:type="character" w:styleId="PageNumber">
    <w:name w:val="page number"/>
    <w:basedOn w:val="DefaultParagraphFont"/>
    <w:rsid w:val="00B14157"/>
  </w:style>
  <w:style w:type="paragraph" w:customStyle="1" w:styleId="Default">
    <w:name w:val="Default"/>
    <w:rsid w:val="00B14157"/>
    <w:pPr>
      <w:autoSpaceDE w:val="0"/>
      <w:autoSpaceDN w:val="0"/>
      <w:adjustRightInd w:val="0"/>
      <w:spacing w:after="0" w:line="240" w:lineRule="auto"/>
    </w:pPr>
    <w:rPr>
      <w:rFonts w:cs="Arial"/>
      <w:color w:val="000000"/>
    </w:rPr>
  </w:style>
  <w:style w:type="paragraph" w:customStyle="1" w:styleId="CoverSheet">
    <w:name w:val="Cover Sheet"/>
    <w:basedOn w:val="Normal"/>
    <w:rsid w:val="00B14157"/>
    <w:pPr>
      <w:spacing w:before="120"/>
    </w:pPr>
    <w:rPr>
      <w:rFonts w:ascii="Arial" w:eastAsia="Times New Roman" w:hAnsi="Arial" w:cs="Arial"/>
      <w:szCs w:val="20"/>
    </w:rPr>
  </w:style>
  <w:style w:type="paragraph" w:customStyle="1" w:styleId="Pa1">
    <w:name w:val="Pa1"/>
    <w:basedOn w:val="Default"/>
    <w:next w:val="Default"/>
    <w:uiPriority w:val="99"/>
    <w:rsid w:val="00B14157"/>
    <w:pPr>
      <w:spacing w:line="231" w:lineRule="atLeast"/>
    </w:pPr>
    <w:rPr>
      <w:rFonts w:ascii="Ubuntu" w:eastAsia="Calibri" w:hAnsi="Ubuntu" w:cs="Times New Roman"/>
      <w:color w:val="auto"/>
      <w:lang w:eastAsia="en-GB"/>
    </w:rPr>
  </w:style>
  <w:style w:type="character" w:customStyle="1" w:styleId="A1">
    <w:name w:val="A1"/>
    <w:uiPriority w:val="99"/>
    <w:rsid w:val="00B14157"/>
    <w:rPr>
      <w:rFonts w:cs="Ubuntu"/>
      <w:color w:val="000000"/>
      <w:sz w:val="56"/>
      <w:szCs w:val="56"/>
    </w:rPr>
  </w:style>
  <w:style w:type="character" w:customStyle="1" w:styleId="e24kjd">
    <w:name w:val="e24kjd"/>
    <w:basedOn w:val="DefaultParagraphFont"/>
    <w:rsid w:val="00B14157"/>
  </w:style>
  <w:style w:type="character" w:styleId="CommentReference">
    <w:name w:val="annotation reference"/>
    <w:basedOn w:val="DefaultParagraphFont"/>
    <w:uiPriority w:val="99"/>
    <w:semiHidden/>
    <w:unhideWhenUsed/>
    <w:rsid w:val="002E06A8"/>
    <w:rPr>
      <w:sz w:val="16"/>
      <w:szCs w:val="16"/>
    </w:rPr>
  </w:style>
  <w:style w:type="paragraph" w:styleId="CommentText">
    <w:name w:val="annotation text"/>
    <w:basedOn w:val="Normal"/>
    <w:link w:val="CommentTextChar"/>
    <w:uiPriority w:val="99"/>
    <w:semiHidden/>
    <w:unhideWhenUsed/>
    <w:rsid w:val="002E06A8"/>
    <w:rPr>
      <w:sz w:val="20"/>
      <w:szCs w:val="20"/>
    </w:rPr>
  </w:style>
  <w:style w:type="character" w:customStyle="1" w:styleId="CommentTextChar">
    <w:name w:val="Comment Text Char"/>
    <w:basedOn w:val="DefaultParagraphFont"/>
    <w:link w:val="CommentText"/>
    <w:uiPriority w:val="99"/>
    <w:semiHidden/>
    <w:rsid w:val="002E06A8"/>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2E06A8"/>
    <w:rPr>
      <w:b/>
      <w:bCs/>
    </w:rPr>
  </w:style>
  <w:style w:type="character" w:customStyle="1" w:styleId="CommentSubjectChar">
    <w:name w:val="Comment Subject Char"/>
    <w:basedOn w:val="CommentTextChar"/>
    <w:link w:val="CommentSubject"/>
    <w:uiPriority w:val="99"/>
    <w:semiHidden/>
    <w:rsid w:val="002E06A8"/>
    <w:rPr>
      <w:rFonts w:ascii="Verdana" w:hAnsi="Verdana"/>
      <w:b/>
      <w:bCs/>
      <w:sz w:val="20"/>
      <w:szCs w:val="20"/>
    </w:rPr>
  </w:style>
  <w:style w:type="paragraph" w:styleId="BalloonText">
    <w:name w:val="Balloon Text"/>
    <w:basedOn w:val="Normal"/>
    <w:link w:val="BalloonTextChar"/>
    <w:uiPriority w:val="99"/>
    <w:semiHidden/>
    <w:unhideWhenUsed/>
    <w:rsid w:val="002E06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6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187858">
      <w:bodyDiv w:val="1"/>
      <w:marLeft w:val="0"/>
      <w:marRight w:val="0"/>
      <w:marTop w:val="0"/>
      <w:marBottom w:val="0"/>
      <w:divBdr>
        <w:top w:val="none" w:sz="0" w:space="0" w:color="auto"/>
        <w:left w:val="none" w:sz="0" w:space="0" w:color="auto"/>
        <w:bottom w:val="none" w:sz="0" w:space="0" w:color="auto"/>
        <w:right w:val="none" w:sz="0" w:space="0" w:color="auto"/>
      </w:divBdr>
    </w:div>
    <w:div w:id="119716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hwwhocc.co.uk/wp-content/uploads/2020/07/Brexit_young_people_report_English_final_Feb_2020-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hwwhocc.co.uk/wp-content/uploads/2020/07/Brexit_young_people_report_English_final_Feb_2020-1.pdf" TargetMode="External"/><Relationship Id="rId5" Type="http://schemas.openxmlformats.org/officeDocument/2006/relationships/footnotes" Target="footnotes.xml"/><Relationship Id="rId10" Type="http://schemas.openxmlformats.org/officeDocument/2006/relationships/hyperlink" Target="http://howis.wales.nhs.uk/sitesplus/888/news/61400" TargetMode="External"/><Relationship Id="rId4" Type="http://schemas.openxmlformats.org/officeDocument/2006/relationships/webSettings" Target="webSettings.xml"/><Relationship Id="rId9" Type="http://schemas.openxmlformats.org/officeDocument/2006/relationships/hyperlink" Target="https://www.gov.uk/government/publications/ukeu-and-eaec-trade-and-cooperation-agreement-ts-no8202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5575</Words>
  <Characters>31780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Public Health Wales NHS Trust</Company>
  <LinksUpToDate>false</LinksUpToDate>
  <CharactersWithSpaces>37281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Murray  (Public Health Wales - No. 2 Capital Quarter)</dc:creator>
  <cp:keywords/>
  <dc:description/>
  <cp:lastModifiedBy>Tracey Cooper (Public Health Wales - No. 2 Capital Quarter)</cp:lastModifiedBy>
  <cp:revision>3</cp:revision>
  <dcterms:created xsi:type="dcterms:W3CDTF">2021-05-21T07:14:00Z</dcterms:created>
  <dcterms:modified xsi:type="dcterms:W3CDTF">2021-05-21T07:14:00Z</dcterms:modified>
</cp:coreProperties>
</file>