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34"/>
        <w:gridCol w:w="1662"/>
        <w:gridCol w:w="1818"/>
      </w:tblGrid>
      <w:tr w:rsidR="0013075E" w:rsidRPr="008F1F7E" w14:paraId="5F74B8E9" w14:textId="77777777" w:rsidTr="0013075E">
        <w:tc>
          <w:tcPr>
            <w:tcW w:w="5202" w:type="dxa"/>
            <w:gridSpan w:val="4"/>
            <w:vMerge w:val="restart"/>
          </w:tcPr>
          <w:p w14:paraId="5F74B8E6" w14:textId="77777777" w:rsidR="0013075E" w:rsidRPr="008F1F7E" w:rsidRDefault="0013075E" w:rsidP="00CF7674">
            <w:r w:rsidRPr="008F1F7E">
              <w:rPr>
                <w:b/>
                <w:noProof/>
                <w:lang w:eastAsia="en-GB"/>
              </w:rPr>
              <w:drawing>
                <wp:inline distT="0" distB="0" distL="0" distR="0" wp14:anchorId="5F74B989" wp14:editId="5F74B98A">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5F74B8E7"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5F74B8E8" w14:textId="05FC18A1" w:rsidR="0013075E" w:rsidRPr="00EE7097" w:rsidRDefault="008A28EB" w:rsidP="00EE7097">
                <w:pPr>
                  <w:jc w:val="right"/>
                  <w:rPr>
                    <w:b/>
                    <w:szCs w:val="24"/>
                  </w:rPr>
                </w:pPr>
                <w:r>
                  <w:rPr>
                    <w:rStyle w:val="Dropdown"/>
                  </w:rPr>
                  <w:t>Business Executive Team Meeting</w:t>
                </w:r>
              </w:p>
            </w:sdtContent>
          </w:sdt>
        </w:tc>
      </w:tr>
      <w:tr w:rsidR="0013075E" w:rsidRPr="008F1F7E" w14:paraId="5F74B8ED" w14:textId="77777777" w:rsidTr="0013075E">
        <w:tc>
          <w:tcPr>
            <w:tcW w:w="5202" w:type="dxa"/>
            <w:gridSpan w:val="4"/>
            <w:vMerge/>
          </w:tcPr>
          <w:p w14:paraId="5F74B8EA" w14:textId="77777777" w:rsidR="0013075E" w:rsidRPr="008F1F7E" w:rsidRDefault="0013075E" w:rsidP="00CF7674">
            <w:pPr>
              <w:rPr>
                <w:b/>
                <w:noProof/>
                <w:lang w:eastAsia="en-GB"/>
              </w:rPr>
            </w:pPr>
          </w:p>
        </w:tc>
        <w:tc>
          <w:tcPr>
            <w:tcW w:w="4040" w:type="dxa"/>
            <w:gridSpan w:val="3"/>
            <w:tcBorders>
              <w:top w:val="nil"/>
              <w:bottom w:val="nil"/>
            </w:tcBorders>
          </w:tcPr>
          <w:p w14:paraId="5F74B8EB" w14:textId="77777777" w:rsidR="00D34F08" w:rsidRPr="00D34F08" w:rsidRDefault="00D34F08" w:rsidP="00EE7097">
            <w:pPr>
              <w:jc w:val="right"/>
              <w:rPr>
                <w:b/>
              </w:rPr>
            </w:pPr>
            <w:r w:rsidRPr="00D34F08">
              <w:rPr>
                <w:b/>
              </w:rPr>
              <w:t>Date of Meeting</w:t>
            </w:r>
          </w:p>
          <w:p w14:paraId="5F74B8EC" w14:textId="38668540" w:rsidR="0013075E" w:rsidRPr="00D34F08" w:rsidRDefault="008A28EB" w:rsidP="008A28EB">
            <w:pPr>
              <w:jc w:val="right"/>
              <w:rPr>
                <w:color w:val="FF0000"/>
              </w:rPr>
            </w:pPr>
            <w:r w:rsidRPr="008A28EB">
              <w:rPr>
                <w:color w:val="000000" w:themeColor="text1"/>
              </w:rPr>
              <w:t>16 November 2020</w:t>
            </w:r>
          </w:p>
        </w:tc>
      </w:tr>
      <w:tr w:rsidR="0013075E" w:rsidRPr="008F1F7E" w14:paraId="5F74B8F1" w14:textId="77777777" w:rsidTr="0013075E">
        <w:tc>
          <w:tcPr>
            <w:tcW w:w="5202" w:type="dxa"/>
            <w:gridSpan w:val="4"/>
            <w:vMerge/>
            <w:tcBorders>
              <w:bottom w:val="single" w:sz="4" w:space="0" w:color="auto"/>
            </w:tcBorders>
          </w:tcPr>
          <w:p w14:paraId="5F74B8EE"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5F74B8EF" w14:textId="77777777" w:rsidR="0013075E" w:rsidRPr="008F1F7E" w:rsidRDefault="0013075E" w:rsidP="00EE7097">
            <w:pPr>
              <w:jc w:val="right"/>
              <w:rPr>
                <w:b/>
              </w:rPr>
            </w:pPr>
            <w:r w:rsidRPr="008F1F7E">
              <w:rPr>
                <w:b/>
              </w:rPr>
              <w:t>Agenda item:</w:t>
            </w:r>
          </w:p>
          <w:p w14:paraId="5F74B8F0" w14:textId="041DA02E" w:rsidR="0013075E" w:rsidRPr="00B528AC" w:rsidRDefault="00B528AC" w:rsidP="00EE7097">
            <w:pPr>
              <w:jc w:val="right"/>
              <w:rPr>
                <w:color w:val="FF0000"/>
              </w:rPr>
            </w:pPr>
            <w:r w:rsidRPr="00B528AC">
              <w:t>4.1 261120</w:t>
            </w:r>
          </w:p>
        </w:tc>
      </w:tr>
      <w:tr w:rsidR="00EE7097" w:rsidRPr="008F1F7E" w14:paraId="5F74B8F5" w14:textId="77777777" w:rsidTr="00407604">
        <w:tc>
          <w:tcPr>
            <w:tcW w:w="9242" w:type="dxa"/>
            <w:gridSpan w:val="7"/>
            <w:tcBorders>
              <w:left w:val="nil"/>
              <w:right w:val="nil"/>
            </w:tcBorders>
            <w:vAlign w:val="center"/>
          </w:tcPr>
          <w:p w14:paraId="5F74B8F2" w14:textId="77777777" w:rsidR="003B7B09" w:rsidRDefault="003B7B09" w:rsidP="00D34F08">
            <w:pPr>
              <w:rPr>
                <w:b/>
                <w:sz w:val="28"/>
              </w:rPr>
            </w:pPr>
          </w:p>
          <w:p w14:paraId="5F74B8F4" w14:textId="77777777" w:rsidR="00D34F08" w:rsidRPr="00912C7B" w:rsidRDefault="00D34F08" w:rsidP="00D34F08">
            <w:pPr>
              <w:rPr>
                <w:b/>
                <w:sz w:val="28"/>
              </w:rPr>
            </w:pPr>
          </w:p>
        </w:tc>
      </w:tr>
      <w:tr w:rsidR="00EE7097" w:rsidRPr="008F1F7E" w14:paraId="5F74B8F7" w14:textId="77777777" w:rsidTr="00544C9E">
        <w:tc>
          <w:tcPr>
            <w:tcW w:w="9242" w:type="dxa"/>
            <w:gridSpan w:val="7"/>
            <w:vAlign w:val="center"/>
          </w:tcPr>
          <w:p w14:paraId="5F74B8F6" w14:textId="3D42C535" w:rsidR="00EE7097" w:rsidRPr="00D34F08" w:rsidRDefault="008A28EB" w:rsidP="00D34F08">
            <w:pPr>
              <w:jc w:val="center"/>
              <w:rPr>
                <w:b/>
                <w:sz w:val="36"/>
                <w:szCs w:val="36"/>
              </w:rPr>
            </w:pPr>
            <w:r>
              <w:rPr>
                <w:b/>
                <w:sz w:val="36"/>
                <w:szCs w:val="36"/>
              </w:rPr>
              <w:t>Public Health Wales’ EU Transition Preparedness Update</w:t>
            </w:r>
          </w:p>
        </w:tc>
      </w:tr>
      <w:tr w:rsidR="00EE7097" w:rsidRPr="001C60B5" w14:paraId="5F74B8FA" w14:textId="77777777" w:rsidTr="0013075E">
        <w:tc>
          <w:tcPr>
            <w:tcW w:w="2802" w:type="dxa"/>
            <w:gridSpan w:val="2"/>
          </w:tcPr>
          <w:p w14:paraId="5F74B8F8" w14:textId="77777777" w:rsidR="00EE7097" w:rsidRPr="001C60B5" w:rsidRDefault="00EE7097">
            <w:pPr>
              <w:rPr>
                <w:b/>
                <w:szCs w:val="24"/>
              </w:rPr>
            </w:pPr>
            <w:r w:rsidRPr="001C60B5">
              <w:rPr>
                <w:b/>
                <w:szCs w:val="24"/>
              </w:rPr>
              <w:t>Executive lead:</w:t>
            </w:r>
          </w:p>
        </w:tc>
        <w:tc>
          <w:tcPr>
            <w:tcW w:w="6440" w:type="dxa"/>
            <w:gridSpan w:val="5"/>
          </w:tcPr>
          <w:p w14:paraId="5F74B8F9" w14:textId="17357AD9" w:rsidR="00EE7097" w:rsidRPr="00D34F08" w:rsidRDefault="008A28EB">
            <w:pPr>
              <w:rPr>
                <w:color w:val="FF0000"/>
                <w:szCs w:val="24"/>
              </w:rPr>
            </w:pPr>
            <w:r w:rsidRPr="008A28EB">
              <w:rPr>
                <w:color w:val="000000" w:themeColor="text1"/>
                <w:szCs w:val="24"/>
              </w:rPr>
              <w:t>Dr Quentin Sandifer, Executive Director of Public Health Services</w:t>
            </w:r>
          </w:p>
        </w:tc>
      </w:tr>
      <w:tr w:rsidR="00EE7097" w:rsidRPr="001C60B5" w14:paraId="5F74B8FD" w14:textId="77777777" w:rsidTr="0013075E">
        <w:tc>
          <w:tcPr>
            <w:tcW w:w="2802" w:type="dxa"/>
            <w:gridSpan w:val="2"/>
          </w:tcPr>
          <w:p w14:paraId="5F74B8FB" w14:textId="77777777" w:rsidR="00EE7097" w:rsidRPr="001C60B5" w:rsidRDefault="00EE7097">
            <w:pPr>
              <w:rPr>
                <w:b/>
                <w:szCs w:val="24"/>
              </w:rPr>
            </w:pPr>
            <w:r w:rsidRPr="001C60B5">
              <w:rPr>
                <w:b/>
                <w:szCs w:val="24"/>
              </w:rPr>
              <w:t>Author:</w:t>
            </w:r>
          </w:p>
        </w:tc>
        <w:tc>
          <w:tcPr>
            <w:tcW w:w="6440" w:type="dxa"/>
            <w:gridSpan w:val="5"/>
          </w:tcPr>
          <w:p w14:paraId="5F74B8FC" w14:textId="3A89F855" w:rsidR="00EE7097" w:rsidRPr="001C60B5" w:rsidRDefault="008A28EB" w:rsidP="00051E74">
            <w:pPr>
              <w:rPr>
                <w:color w:val="FF0000"/>
                <w:szCs w:val="24"/>
              </w:rPr>
            </w:pPr>
            <w:r w:rsidRPr="008A28EB">
              <w:rPr>
                <w:color w:val="000000" w:themeColor="text1"/>
                <w:szCs w:val="24"/>
              </w:rPr>
              <w:t>Deborah Murray, Senior Project Manager</w:t>
            </w:r>
          </w:p>
        </w:tc>
      </w:tr>
      <w:tr w:rsidR="00EE7097" w:rsidRPr="001C60B5" w14:paraId="5F74B900" w14:textId="77777777" w:rsidTr="005B4E75">
        <w:trPr>
          <w:trHeight w:val="149"/>
        </w:trPr>
        <w:tc>
          <w:tcPr>
            <w:tcW w:w="2802" w:type="dxa"/>
            <w:gridSpan w:val="2"/>
            <w:tcBorders>
              <w:left w:val="nil"/>
              <w:right w:val="nil"/>
            </w:tcBorders>
          </w:tcPr>
          <w:p w14:paraId="5F74B8FE" w14:textId="77777777" w:rsidR="00EE7097" w:rsidRPr="005B4E75" w:rsidRDefault="00EE7097">
            <w:pPr>
              <w:rPr>
                <w:b/>
                <w:sz w:val="12"/>
                <w:szCs w:val="12"/>
              </w:rPr>
            </w:pPr>
          </w:p>
        </w:tc>
        <w:tc>
          <w:tcPr>
            <w:tcW w:w="6440" w:type="dxa"/>
            <w:gridSpan w:val="5"/>
            <w:tcBorders>
              <w:left w:val="nil"/>
              <w:right w:val="nil"/>
            </w:tcBorders>
          </w:tcPr>
          <w:p w14:paraId="5F74B8FF" w14:textId="77777777" w:rsidR="00EE7097" w:rsidRPr="005B4E75" w:rsidRDefault="00EE7097">
            <w:pPr>
              <w:rPr>
                <w:sz w:val="12"/>
                <w:szCs w:val="12"/>
              </w:rPr>
            </w:pPr>
          </w:p>
        </w:tc>
      </w:tr>
      <w:tr w:rsidR="00EE7097" w:rsidRPr="001C60B5" w14:paraId="5F74B903" w14:textId="77777777" w:rsidTr="0013075E">
        <w:tc>
          <w:tcPr>
            <w:tcW w:w="2802" w:type="dxa"/>
            <w:gridSpan w:val="2"/>
          </w:tcPr>
          <w:p w14:paraId="5F74B901" w14:textId="77777777" w:rsidR="00EE7097" w:rsidRPr="001C60B5" w:rsidRDefault="00EE7097">
            <w:pPr>
              <w:rPr>
                <w:b/>
                <w:szCs w:val="24"/>
              </w:rPr>
            </w:pPr>
            <w:r w:rsidRPr="001C60B5">
              <w:rPr>
                <w:b/>
                <w:szCs w:val="24"/>
              </w:rPr>
              <w:t>Approval/Scrutiny route:</w:t>
            </w:r>
          </w:p>
        </w:tc>
        <w:tc>
          <w:tcPr>
            <w:tcW w:w="6440" w:type="dxa"/>
            <w:gridSpan w:val="5"/>
          </w:tcPr>
          <w:p w14:paraId="5F3AB2AD" w14:textId="53B6BD84" w:rsidR="00EE7097" w:rsidRDefault="00B528AC" w:rsidP="00CA5841">
            <w:pPr>
              <w:rPr>
                <w:color w:val="000000" w:themeColor="text1"/>
                <w:szCs w:val="24"/>
              </w:rPr>
            </w:pPr>
            <w:r w:rsidRPr="008A28EB">
              <w:rPr>
                <w:color w:val="000000" w:themeColor="text1"/>
                <w:szCs w:val="24"/>
              </w:rPr>
              <w:t xml:space="preserve">Dr Quentin Sandifer, </w:t>
            </w:r>
            <w:r w:rsidR="008A28EB" w:rsidRPr="008A28EB">
              <w:rPr>
                <w:color w:val="000000" w:themeColor="text1"/>
                <w:szCs w:val="24"/>
              </w:rPr>
              <w:t xml:space="preserve">Executive Director of Public Health Services </w:t>
            </w:r>
            <w:r>
              <w:rPr>
                <w:color w:val="000000" w:themeColor="text1"/>
                <w:szCs w:val="24"/>
              </w:rPr>
              <w:t>and Medical Director</w:t>
            </w:r>
          </w:p>
          <w:p w14:paraId="18308B6E" w14:textId="77777777" w:rsidR="00B528AC" w:rsidRDefault="00B528AC" w:rsidP="00CA5841">
            <w:pPr>
              <w:rPr>
                <w:color w:val="000000" w:themeColor="text1"/>
                <w:szCs w:val="24"/>
              </w:rPr>
            </w:pPr>
          </w:p>
          <w:p w14:paraId="5F74B902" w14:textId="6056731E" w:rsidR="00B528AC" w:rsidRPr="00D34F08" w:rsidRDefault="00B528AC" w:rsidP="00CA5841">
            <w:pPr>
              <w:rPr>
                <w:color w:val="FF0000"/>
                <w:szCs w:val="24"/>
              </w:rPr>
            </w:pPr>
            <w:r>
              <w:rPr>
                <w:color w:val="000000" w:themeColor="text1"/>
                <w:szCs w:val="24"/>
              </w:rPr>
              <w:t xml:space="preserve">Business Executive Team – 16 November 2020 </w:t>
            </w:r>
          </w:p>
        </w:tc>
      </w:tr>
      <w:tr w:rsidR="006C4A51" w:rsidRPr="001C60B5" w14:paraId="5F74B905" w14:textId="77777777" w:rsidTr="005B4E75">
        <w:tc>
          <w:tcPr>
            <w:tcW w:w="9242" w:type="dxa"/>
            <w:gridSpan w:val="7"/>
            <w:tcBorders>
              <w:left w:val="nil"/>
              <w:bottom w:val="single" w:sz="4" w:space="0" w:color="auto"/>
              <w:right w:val="nil"/>
            </w:tcBorders>
          </w:tcPr>
          <w:p w14:paraId="5F74B904" w14:textId="77777777" w:rsidR="006C4A51" w:rsidRPr="005B4E75" w:rsidRDefault="006C4A51">
            <w:pPr>
              <w:rPr>
                <w:b/>
                <w:sz w:val="12"/>
                <w:szCs w:val="12"/>
              </w:rPr>
            </w:pPr>
          </w:p>
        </w:tc>
      </w:tr>
      <w:tr w:rsidR="005B4E75" w:rsidRPr="001C60B5" w14:paraId="5F74B907" w14:textId="77777777" w:rsidTr="005B4E75">
        <w:tc>
          <w:tcPr>
            <w:tcW w:w="9242" w:type="dxa"/>
            <w:gridSpan w:val="7"/>
            <w:tcBorders>
              <w:left w:val="single" w:sz="4" w:space="0" w:color="auto"/>
              <w:right w:val="single" w:sz="4" w:space="0" w:color="auto"/>
            </w:tcBorders>
          </w:tcPr>
          <w:p w14:paraId="5F74B906" w14:textId="77777777" w:rsidR="005B4E75" w:rsidRPr="001C60B5" w:rsidRDefault="005B4E75">
            <w:pPr>
              <w:rPr>
                <w:b/>
                <w:szCs w:val="24"/>
              </w:rPr>
            </w:pPr>
            <w:r>
              <w:rPr>
                <w:b/>
                <w:szCs w:val="24"/>
              </w:rPr>
              <w:t>Purpose</w:t>
            </w:r>
          </w:p>
        </w:tc>
      </w:tr>
      <w:tr w:rsidR="005B4E75" w:rsidRPr="001C60B5" w14:paraId="5F74B90A" w14:textId="77777777" w:rsidTr="005B4E75">
        <w:tc>
          <w:tcPr>
            <w:tcW w:w="9242" w:type="dxa"/>
            <w:gridSpan w:val="7"/>
            <w:tcBorders>
              <w:left w:val="single" w:sz="4" w:space="0" w:color="auto"/>
              <w:right w:val="single" w:sz="4" w:space="0" w:color="auto"/>
            </w:tcBorders>
          </w:tcPr>
          <w:p w14:paraId="5F74B909" w14:textId="32DB2C20" w:rsidR="001E5B78" w:rsidRPr="005B4E75" w:rsidRDefault="008A28EB" w:rsidP="00950307">
            <w:pPr>
              <w:spacing w:after="200"/>
              <w:jc w:val="both"/>
              <w:rPr>
                <w:color w:val="FF0000"/>
                <w:szCs w:val="24"/>
              </w:rPr>
            </w:pPr>
            <w:r w:rsidRPr="0048422A">
              <w:t xml:space="preserve">The purpose of this paper </w:t>
            </w:r>
            <w:r>
              <w:t xml:space="preserve">is to provide the Executive Team </w:t>
            </w:r>
            <w:r w:rsidRPr="0048422A">
              <w:t xml:space="preserve">with an update in relation to the work Public Health Wales is undertaking as part of our </w:t>
            </w:r>
            <w:proofErr w:type="spellStart"/>
            <w:r w:rsidRPr="0048422A">
              <w:t>Brexit</w:t>
            </w:r>
            <w:proofErr w:type="spellEnd"/>
            <w:r w:rsidRPr="0048422A">
              <w:t xml:space="preserve"> preparedness. </w:t>
            </w:r>
            <w:r>
              <w:t xml:space="preserve"> </w:t>
            </w:r>
            <w:r w:rsidRPr="0048422A">
              <w:t xml:space="preserve">The paper provides an update against the </w:t>
            </w:r>
            <w:r>
              <w:t>work that we have been doing on behalf of the wider system, along with our internal preparedness.  Th</w:t>
            </w:r>
            <w:r w:rsidR="00950307">
              <w:t xml:space="preserve">is paper </w:t>
            </w:r>
            <w:proofErr w:type="gramStart"/>
            <w:r w:rsidR="00950307">
              <w:t>will also be provided</w:t>
            </w:r>
            <w:proofErr w:type="gramEnd"/>
            <w:r w:rsidR="00950307">
              <w:t xml:space="preserve"> to the Public Health Wales Board at its </w:t>
            </w:r>
            <w:r>
              <w:t>meeting on 26 November 2020.</w:t>
            </w:r>
          </w:p>
        </w:tc>
      </w:tr>
      <w:tr w:rsidR="005B4E75" w:rsidRPr="001C60B5" w14:paraId="5F74B90C" w14:textId="77777777" w:rsidTr="0000561A">
        <w:tc>
          <w:tcPr>
            <w:tcW w:w="9242" w:type="dxa"/>
            <w:gridSpan w:val="7"/>
            <w:tcBorders>
              <w:left w:val="nil"/>
              <w:right w:val="nil"/>
            </w:tcBorders>
          </w:tcPr>
          <w:p w14:paraId="5F74B90B" w14:textId="77777777" w:rsidR="005B4E75" w:rsidRPr="005B4E75" w:rsidRDefault="005B4E75">
            <w:pPr>
              <w:rPr>
                <w:b/>
                <w:sz w:val="12"/>
                <w:szCs w:val="12"/>
              </w:rPr>
            </w:pPr>
          </w:p>
        </w:tc>
      </w:tr>
      <w:tr w:rsidR="00EE7097" w:rsidRPr="001C60B5" w14:paraId="5F74B90E" w14:textId="77777777" w:rsidTr="00051E74">
        <w:tc>
          <w:tcPr>
            <w:tcW w:w="9242" w:type="dxa"/>
            <w:gridSpan w:val="7"/>
          </w:tcPr>
          <w:p w14:paraId="5F74B90D" w14:textId="1F66ECF9" w:rsidR="00EE7097" w:rsidRPr="0013075E" w:rsidRDefault="0013075E" w:rsidP="008A28EB">
            <w:pPr>
              <w:rPr>
                <w:b/>
                <w:szCs w:val="24"/>
              </w:rPr>
            </w:pPr>
            <w:r>
              <w:rPr>
                <w:b/>
                <w:szCs w:val="24"/>
              </w:rPr>
              <w:t>Recommendation:</w:t>
            </w:r>
          </w:p>
        </w:tc>
      </w:tr>
      <w:tr w:rsidR="005B4E75" w:rsidRPr="001C60B5" w14:paraId="5F74B919" w14:textId="77777777" w:rsidTr="00D34F08">
        <w:tc>
          <w:tcPr>
            <w:tcW w:w="1848" w:type="dxa"/>
            <w:tcBorders>
              <w:bottom w:val="single" w:sz="4" w:space="0" w:color="auto"/>
            </w:tcBorders>
          </w:tcPr>
          <w:p w14:paraId="5F74B90F" w14:textId="77777777" w:rsidR="005B4E75" w:rsidRPr="007A47F5" w:rsidRDefault="005B4E75" w:rsidP="00D34F08">
            <w:pPr>
              <w:jc w:val="center"/>
              <w:rPr>
                <w:szCs w:val="24"/>
              </w:rPr>
            </w:pPr>
            <w:r w:rsidRPr="007A47F5">
              <w:rPr>
                <w:szCs w:val="24"/>
              </w:rPr>
              <w:t>APPROVE</w:t>
            </w:r>
          </w:p>
          <w:p w14:paraId="5F74B910" w14:textId="77777777" w:rsidR="005B4E75" w:rsidRPr="007A47F5" w:rsidRDefault="007F7EA7"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0" w:name="Check1"/>
            <w:r w:rsidR="005B4E75">
              <w:rPr>
                <w:rFonts w:ascii="Wingdings" w:hAnsi="Wingdings"/>
                <w:szCs w:val="24"/>
              </w:rPr>
              <w:instrText xml:space="preserve"> FORMCHECKBOX </w:instrText>
            </w:r>
            <w:r w:rsidR="00C4504F">
              <w:rPr>
                <w:rFonts w:ascii="Wingdings" w:hAnsi="Wingdings"/>
                <w:szCs w:val="24"/>
              </w:rPr>
            </w:r>
            <w:r w:rsidR="00C4504F">
              <w:rPr>
                <w:rFonts w:ascii="Wingdings" w:hAnsi="Wingdings"/>
                <w:szCs w:val="24"/>
              </w:rPr>
              <w:fldChar w:fldCharType="separate"/>
            </w:r>
            <w:r>
              <w:rPr>
                <w:rFonts w:ascii="Wingdings" w:hAnsi="Wingdings"/>
                <w:szCs w:val="24"/>
              </w:rPr>
              <w:fldChar w:fldCharType="end"/>
            </w:r>
            <w:bookmarkEnd w:id="0"/>
          </w:p>
        </w:tc>
        <w:tc>
          <w:tcPr>
            <w:tcW w:w="1848" w:type="dxa"/>
            <w:gridSpan w:val="2"/>
            <w:tcBorders>
              <w:bottom w:val="single" w:sz="4" w:space="0" w:color="auto"/>
            </w:tcBorders>
          </w:tcPr>
          <w:p w14:paraId="5F74B911" w14:textId="77777777" w:rsidR="005B4E75" w:rsidRDefault="005B4E75" w:rsidP="00D34F08">
            <w:pPr>
              <w:jc w:val="center"/>
              <w:rPr>
                <w:szCs w:val="24"/>
              </w:rPr>
            </w:pPr>
            <w:r w:rsidRPr="007A47F5">
              <w:rPr>
                <w:szCs w:val="24"/>
              </w:rPr>
              <w:t>CONSIDER</w:t>
            </w:r>
          </w:p>
          <w:p w14:paraId="5F74B912" w14:textId="19219714" w:rsidR="005B4E75" w:rsidRPr="007A47F5" w:rsidRDefault="00950307" w:rsidP="00D34F08">
            <w:pPr>
              <w:jc w:val="center"/>
              <w:rPr>
                <w:szCs w:val="24"/>
              </w:rPr>
            </w:pPr>
            <w:r>
              <w:rPr>
                <w:szCs w:val="24"/>
              </w:rPr>
              <w:fldChar w:fldCharType="begin">
                <w:ffData>
                  <w:name w:val="Check2"/>
                  <w:enabled/>
                  <w:calcOnExit w:val="0"/>
                  <w:checkBox>
                    <w:sizeAuto/>
                    <w:default w:val="0"/>
                  </w:checkBox>
                </w:ffData>
              </w:fldChar>
            </w:r>
            <w:bookmarkStart w:id="1" w:name="Check2"/>
            <w:r>
              <w:rPr>
                <w:szCs w:val="24"/>
              </w:rPr>
              <w:instrText xml:space="preserve"> FORMCHECKBOX </w:instrText>
            </w:r>
            <w:r w:rsidR="00C4504F">
              <w:rPr>
                <w:szCs w:val="24"/>
              </w:rPr>
            </w:r>
            <w:r w:rsidR="00C4504F">
              <w:rPr>
                <w:szCs w:val="24"/>
              </w:rPr>
              <w:fldChar w:fldCharType="separate"/>
            </w:r>
            <w:r>
              <w:rPr>
                <w:szCs w:val="24"/>
              </w:rPr>
              <w:fldChar w:fldCharType="end"/>
            </w:r>
            <w:bookmarkEnd w:id="1"/>
          </w:p>
        </w:tc>
        <w:tc>
          <w:tcPr>
            <w:tcW w:w="1849" w:type="dxa"/>
            <w:gridSpan w:val="2"/>
            <w:tcBorders>
              <w:bottom w:val="single" w:sz="4" w:space="0" w:color="auto"/>
            </w:tcBorders>
          </w:tcPr>
          <w:p w14:paraId="5F74B913" w14:textId="77777777" w:rsidR="005B4E75" w:rsidRDefault="005B4E75" w:rsidP="00D34F08">
            <w:pPr>
              <w:jc w:val="center"/>
              <w:rPr>
                <w:szCs w:val="24"/>
              </w:rPr>
            </w:pPr>
            <w:r w:rsidRPr="007A47F5">
              <w:rPr>
                <w:szCs w:val="24"/>
              </w:rPr>
              <w:t>RECOMMEND</w:t>
            </w:r>
          </w:p>
          <w:p w14:paraId="5F74B914"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2" w:name="Check3"/>
            <w:r w:rsidR="005B4E75">
              <w:rPr>
                <w:szCs w:val="24"/>
              </w:rPr>
              <w:instrText xml:space="preserve"> FORMCHECKBOX </w:instrText>
            </w:r>
            <w:r w:rsidR="00C4504F">
              <w:rPr>
                <w:szCs w:val="24"/>
              </w:rPr>
            </w:r>
            <w:r w:rsidR="00C4504F">
              <w:rPr>
                <w:szCs w:val="24"/>
              </w:rPr>
              <w:fldChar w:fldCharType="separate"/>
            </w:r>
            <w:r>
              <w:rPr>
                <w:szCs w:val="24"/>
              </w:rPr>
              <w:fldChar w:fldCharType="end"/>
            </w:r>
            <w:bookmarkEnd w:id="2"/>
          </w:p>
        </w:tc>
        <w:tc>
          <w:tcPr>
            <w:tcW w:w="1848" w:type="dxa"/>
            <w:tcBorders>
              <w:bottom w:val="single" w:sz="4" w:space="0" w:color="auto"/>
            </w:tcBorders>
          </w:tcPr>
          <w:p w14:paraId="5F74B915" w14:textId="77777777" w:rsidR="005B4E75" w:rsidRDefault="005B4E75" w:rsidP="00D34F08">
            <w:pPr>
              <w:jc w:val="center"/>
              <w:rPr>
                <w:szCs w:val="24"/>
              </w:rPr>
            </w:pPr>
            <w:r w:rsidRPr="007A47F5">
              <w:rPr>
                <w:szCs w:val="24"/>
              </w:rPr>
              <w:t>ADOPT</w:t>
            </w:r>
          </w:p>
          <w:p w14:paraId="5F74B916"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C4504F">
              <w:rPr>
                <w:szCs w:val="24"/>
              </w:rPr>
            </w:r>
            <w:r w:rsidR="00C4504F">
              <w:rPr>
                <w:szCs w:val="24"/>
              </w:rPr>
              <w:fldChar w:fldCharType="separate"/>
            </w:r>
            <w:r>
              <w:rPr>
                <w:szCs w:val="24"/>
              </w:rPr>
              <w:fldChar w:fldCharType="end"/>
            </w:r>
            <w:bookmarkEnd w:id="3"/>
          </w:p>
        </w:tc>
        <w:tc>
          <w:tcPr>
            <w:tcW w:w="1849" w:type="dxa"/>
            <w:tcBorders>
              <w:bottom w:val="single" w:sz="4" w:space="0" w:color="auto"/>
            </w:tcBorders>
          </w:tcPr>
          <w:p w14:paraId="5F74B917" w14:textId="77777777" w:rsidR="005B4E75" w:rsidRDefault="00141FC5" w:rsidP="00D34F08">
            <w:pPr>
              <w:jc w:val="center"/>
              <w:rPr>
                <w:szCs w:val="24"/>
              </w:rPr>
            </w:pPr>
            <w:r>
              <w:rPr>
                <w:szCs w:val="24"/>
              </w:rPr>
              <w:t>ASSURANCE</w:t>
            </w:r>
          </w:p>
          <w:p w14:paraId="5F74B918" w14:textId="05659F83" w:rsidR="005B4E75" w:rsidRPr="007A47F5" w:rsidRDefault="008A28EB" w:rsidP="00D34F08">
            <w:pPr>
              <w:jc w:val="center"/>
              <w:rPr>
                <w:szCs w:val="24"/>
              </w:rPr>
            </w:pPr>
            <w:r>
              <w:rPr>
                <w:szCs w:val="24"/>
              </w:rPr>
              <w:fldChar w:fldCharType="begin">
                <w:ffData>
                  <w:name w:val="Check5"/>
                  <w:enabled/>
                  <w:calcOnExit w:val="0"/>
                  <w:checkBox>
                    <w:sizeAuto/>
                    <w:default w:val="1"/>
                  </w:checkBox>
                </w:ffData>
              </w:fldChar>
            </w:r>
            <w:bookmarkStart w:id="4" w:name="Check5"/>
            <w:r>
              <w:rPr>
                <w:szCs w:val="24"/>
              </w:rPr>
              <w:instrText xml:space="preserve"> FORMCHECKBOX </w:instrText>
            </w:r>
            <w:r w:rsidR="00C4504F">
              <w:rPr>
                <w:szCs w:val="24"/>
              </w:rPr>
            </w:r>
            <w:r w:rsidR="00C4504F">
              <w:rPr>
                <w:szCs w:val="24"/>
              </w:rPr>
              <w:fldChar w:fldCharType="separate"/>
            </w:r>
            <w:r>
              <w:rPr>
                <w:szCs w:val="24"/>
              </w:rPr>
              <w:fldChar w:fldCharType="end"/>
            </w:r>
            <w:bookmarkEnd w:id="4"/>
          </w:p>
        </w:tc>
      </w:tr>
      <w:tr w:rsidR="00EE7097" w:rsidRPr="001C60B5" w14:paraId="5F74B920" w14:textId="77777777" w:rsidTr="00051E74">
        <w:tc>
          <w:tcPr>
            <w:tcW w:w="9242" w:type="dxa"/>
            <w:gridSpan w:val="7"/>
            <w:tcBorders>
              <w:bottom w:val="single" w:sz="4" w:space="0" w:color="auto"/>
            </w:tcBorders>
          </w:tcPr>
          <w:p w14:paraId="2F086B3D" w14:textId="76D2BB87" w:rsidR="008A28EB" w:rsidRPr="00B528AC" w:rsidRDefault="008A28EB" w:rsidP="008A28EB">
            <w:pPr>
              <w:rPr>
                <w:szCs w:val="24"/>
              </w:rPr>
            </w:pPr>
            <w:r w:rsidRPr="00B528AC">
              <w:rPr>
                <w:szCs w:val="24"/>
              </w:rPr>
              <w:t xml:space="preserve">The Public Health Wales </w:t>
            </w:r>
            <w:r w:rsidR="00B528AC" w:rsidRPr="00B528AC">
              <w:rPr>
                <w:szCs w:val="24"/>
              </w:rPr>
              <w:t>Board</w:t>
            </w:r>
            <w:r w:rsidR="00417A6D" w:rsidRPr="00B528AC">
              <w:rPr>
                <w:szCs w:val="24"/>
              </w:rPr>
              <w:t xml:space="preserve"> </w:t>
            </w:r>
            <w:r w:rsidRPr="00B528AC">
              <w:rPr>
                <w:szCs w:val="24"/>
              </w:rPr>
              <w:t>is asked to:</w:t>
            </w:r>
          </w:p>
          <w:p w14:paraId="5F74B91F" w14:textId="17DBC62F" w:rsidR="00916053" w:rsidRPr="00B528AC" w:rsidRDefault="00B528AC" w:rsidP="00B528AC">
            <w:pPr>
              <w:pStyle w:val="ListParagraph"/>
              <w:numPr>
                <w:ilvl w:val="0"/>
                <w:numId w:val="21"/>
              </w:numPr>
              <w:spacing w:before="240"/>
              <w:jc w:val="both"/>
              <w:rPr>
                <w:szCs w:val="24"/>
              </w:rPr>
            </w:pPr>
            <w:r>
              <w:rPr>
                <w:b/>
                <w:szCs w:val="24"/>
              </w:rPr>
              <w:t>N</w:t>
            </w:r>
            <w:r w:rsidRPr="00B528AC">
              <w:rPr>
                <w:b/>
                <w:szCs w:val="24"/>
              </w:rPr>
              <w:t>ote</w:t>
            </w:r>
            <w:r w:rsidRPr="00B528AC">
              <w:rPr>
                <w:szCs w:val="24"/>
              </w:rPr>
              <w:t xml:space="preserve"> the significant progress made in relation to Public Health Wales </w:t>
            </w:r>
            <w:proofErr w:type="spellStart"/>
            <w:r w:rsidRPr="00B528AC">
              <w:rPr>
                <w:szCs w:val="24"/>
              </w:rPr>
              <w:t>Brexit</w:t>
            </w:r>
            <w:proofErr w:type="spellEnd"/>
            <w:r w:rsidRPr="00B528AC">
              <w:rPr>
                <w:szCs w:val="24"/>
              </w:rPr>
              <w:t xml:space="preserve"> preparedness, as set out in section 3 of this report, and receive </w:t>
            </w:r>
            <w:r w:rsidRPr="00B528AC">
              <w:rPr>
                <w:b/>
                <w:szCs w:val="24"/>
              </w:rPr>
              <w:t>assurance</w:t>
            </w:r>
            <w:r w:rsidRPr="00B528AC">
              <w:rPr>
                <w:szCs w:val="24"/>
              </w:rPr>
              <w:t xml:space="preserve"> on the arrangements </w:t>
            </w:r>
            <w:proofErr w:type="gramStart"/>
            <w:r w:rsidRPr="00B528AC">
              <w:rPr>
                <w:szCs w:val="24"/>
              </w:rPr>
              <w:t>being put</w:t>
            </w:r>
            <w:proofErr w:type="gramEnd"/>
            <w:r w:rsidRPr="00B528AC">
              <w:rPr>
                <w:szCs w:val="24"/>
              </w:rPr>
              <w:t xml:space="preserve"> in place in advance of 31 December 2020. </w:t>
            </w:r>
          </w:p>
        </w:tc>
      </w:tr>
    </w:tbl>
    <w:p w14:paraId="5F74B921"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5F74B923" w14:textId="77777777" w:rsidTr="00480353">
        <w:tc>
          <w:tcPr>
            <w:tcW w:w="9026" w:type="dxa"/>
            <w:gridSpan w:val="2"/>
            <w:tcBorders>
              <w:left w:val="nil"/>
              <w:right w:val="nil"/>
            </w:tcBorders>
            <w:shd w:val="clear" w:color="auto" w:fill="auto"/>
          </w:tcPr>
          <w:p w14:paraId="5F74B922" w14:textId="77777777" w:rsidR="00D713DC" w:rsidRPr="005B4E75" w:rsidRDefault="00D713DC">
            <w:pPr>
              <w:rPr>
                <w:b/>
                <w:sz w:val="12"/>
                <w:szCs w:val="12"/>
              </w:rPr>
            </w:pPr>
          </w:p>
        </w:tc>
      </w:tr>
      <w:tr w:rsidR="00EE7097" w:rsidRPr="001C60B5" w14:paraId="5F74B929" w14:textId="77777777" w:rsidTr="00480353">
        <w:tc>
          <w:tcPr>
            <w:tcW w:w="9026" w:type="dxa"/>
            <w:gridSpan w:val="2"/>
            <w:shd w:val="clear" w:color="auto" w:fill="F2F2F2" w:themeFill="background1" w:themeFillShade="F2"/>
          </w:tcPr>
          <w:p w14:paraId="5F74B924" w14:textId="77777777"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14:paraId="5F74B925" w14:textId="77777777" w:rsidR="00EE7097" w:rsidRPr="001C60B5" w:rsidRDefault="00EE7097" w:rsidP="00680248">
            <w:pPr>
              <w:rPr>
                <w:szCs w:val="24"/>
              </w:rPr>
            </w:pPr>
          </w:p>
          <w:p w14:paraId="5F74B926" w14:textId="77777777" w:rsidR="0013075E" w:rsidRDefault="00B52B29" w:rsidP="00A177D9">
            <w:pPr>
              <w:jc w:val="both"/>
              <w:rPr>
                <w:szCs w:val="24"/>
              </w:rPr>
            </w:pPr>
            <w:r w:rsidRPr="001C60B5">
              <w:rPr>
                <w:szCs w:val="24"/>
              </w:rPr>
              <w:t>Public Health Wales has an agreed strategic plan</w:t>
            </w:r>
            <w:r>
              <w:rPr>
                <w:szCs w:val="24"/>
              </w:rPr>
              <w:t xml:space="preserve">, which has identified seven strategic priorities and well-being objectives.  </w:t>
            </w:r>
          </w:p>
          <w:p w14:paraId="5F74B927" w14:textId="77777777" w:rsidR="00B52B29" w:rsidRDefault="00B52B29" w:rsidP="00EE7097">
            <w:pPr>
              <w:rPr>
                <w:bCs/>
                <w:szCs w:val="24"/>
              </w:rPr>
            </w:pPr>
          </w:p>
          <w:p w14:paraId="5F74B928" w14:textId="77777777" w:rsidR="00EE7097" w:rsidRPr="001C60B5" w:rsidRDefault="00EE7097" w:rsidP="00EE7097">
            <w:pPr>
              <w:rPr>
                <w:szCs w:val="24"/>
              </w:rPr>
            </w:pPr>
            <w:r w:rsidRPr="001C60B5">
              <w:rPr>
                <w:szCs w:val="24"/>
              </w:rPr>
              <w:t>This report contributes to the following:</w:t>
            </w:r>
          </w:p>
        </w:tc>
      </w:tr>
      <w:tr w:rsidR="00EE7097" w:rsidRPr="001C60B5" w14:paraId="5F74B92C" w14:textId="77777777" w:rsidTr="00480353">
        <w:tc>
          <w:tcPr>
            <w:tcW w:w="3192" w:type="dxa"/>
            <w:shd w:val="clear" w:color="auto" w:fill="auto"/>
          </w:tcPr>
          <w:p w14:paraId="5F74B92A"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shd w:val="clear" w:color="auto" w:fill="auto"/>
          </w:tcPr>
          <w:p w14:paraId="5F74B92B" w14:textId="46635B3B" w:rsidR="00EE7097" w:rsidRPr="0013075E" w:rsidRDefault="00C4504F"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0B7AFA">
                  <w:rPr>
                    <w:rStyle w:val="Dropdown"/>
                  </w:rPr>
                  <w:t>All Strategic Priorities/Well-being Objectives</w:t>
                </w:r>
              </w:sdtContent>
            </w:sdt>
          </w:p>
        </w:tc>
      </w:tr>
      <w:tr w:rsidR="00EE7097" w:rsidRPr="001C60B5" w14:paraId="5F74B934" w14:textId="77777777" w:rsidTr="00480353">
        <w:tc>
          <w:tcPr>
            <w:tcW w:w="9026" w:type="dxa"/>
            <w:gridSpan w:val="2"/>
            <w:tcBorders>
              <w:left w:val="nil"/>
              <w:right w:val="nil"/>
            </w:tcBorders>
            <w:shd w:val="clear" w:color="auto" w:fill="auto"/>
          </w:tcPr>
          <w:p w14:paraId="5F74B933" w14:textId="77777777" w:rsidR="00EE7097" w:rsidRPr="005B4E75" w:rsidRDefault="00EE7097" w:rsidP="00211B9D">
            <w:pPr>
              <w:rPr>
                <w:b/>
                <w:sz w:val="12"/>
                <w:szCs w:val="12"/>
              </w:rPr>
            </w:pPr>
          </w:p>
        </w:tc>
      </w:tr>
      <w:tr w:rsidR="00EE7097" w:rsidRPr="001C60B5" w14:paraId="5F74B937" w14:textId="77777777" w:rsidTr="00480353">
        <w:tc>
          <w:tcPr>
            <w:tcW w:w="9026" w:type="dxa"/>
            <w:gridSpan w:val="2"/>
            <w:shd w:val="clear" w:color="auto" w:fill="F2F2F2" w:themeFill="background1" w:themeFillShade="F2"/>
          </w:tcPr>
          <w:p w14:paraId="5F74B935"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5F74B936" w14:textId="77777777" w:rsidR="00EE7097" w:rsidRPr="001C60B5" w:rsidRDefault="00EE7097" w:rsidP="00CA5841">
            <w:pPr>
              <w:rPr>
                <w:color w:val="FF0000"/>
                <w:szCs w:val="24"/>
              </w:rPr>
            </w:pPr>
          </w:p>
        </w:tc>
      </w:tr>
      <w:tr w:rsidR="00EE7097" w:rsidRPr="001C60B5" w14:paraId="5F74B93E" w14:textId="77777777" w:rsidTr="00480353">
        <w:tc>
          <w:tcPr>
            <w:tcW w:w="3192" w:type="dxa"/>
          </w:tcPr>
          <w:p w14:paraId="5F74B938" w14:textId="77777777" w:rsidR="00EE7097" w:rsidRPr="001C60B5" w:rsidRDefault="00EE7097" w:rsidP="00097ACD">
            <w:pPr>
              <w:rPr>
                <w:b/>
                <w:szCs w:val="24"/>
              </w:rPr>
            </w:pPr>
            <w:r w:rsidRPr="001C60B5">
              <w:rPr>
                <w:b/>
                <w:szCs w:val="24"/>
              </w:rPr>
              <w:t>Equality and Health Impact Assessment</w:t>
            </w:r>
          </w:p>
        </w:tc>
        <w:tc>
          <w:tcPr>
            <w:tcW w:w="5834" w:type="dxa"/>
          </w:tcPr>
          <w:p w14:paraId="5F74B93D" w14:textId="672CDD2A" w:rsidR="00EE7097" w:rsidRPr="00126327" w:rsidRDefault="000B7AFA" w:rsidP="005D5FC4">
            <w:pPr>
              <w:rPr>
                <w:i/>
                <w:color w:val="FF0000"/>
                <w:szCs w:val="24"/>
              </w:rPr>
            </w:pPr>
            <w:r w:rsidRPr="000B7AFA">
              <w:rPr>
                <w:color w:val="000000" w:themeColor="text1"/>
                <w:szCs w:val="24"/>
              </w:rPr>
              <w:t>N/A</w:t>
            </w:r>
          </w:p>
        </w:tc>
      </w:tr>
      <w:tr w:rsidR="003A3414" w:rsidRPr="001C60B5" w14:paraId="5F74B941" w14:textId="77777777" w:rsidTr="00480353">
        <w:tc>
          <w:tcPr>
            <w:tcW w:w="3192" w:type="dxa"/>
          </w:tcPr>
          <w:p w14:paraId="5F74B93F"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5F74B940" w14:textId="7E429C46" w:rsidR="003A3414" w:rsidRPr="003A3414" w:rsidRDefault="000B7AFA" w:rsidP="003A3414">
            <w:pPr>
              <w:rPr>
                <w:color w:val="FF0000"/>
                <w:szCs w:val="24"/>
              </w:rPr>
            </w:pPr>
            <w:r w:rsidRPr="000B7AFA">
              <w:rPr>
                <w:color w:val="000000" w:themeColor="text1"/>
                <w:szCs w:val="24"/>
              </w:rPr>
              <w:t xml:space="preserve">Risk identified on the Corporate Risk Register. </w:t>
            </w:r>
          </w:p>
        </w:tc>
      </w:tr>
      <w:tr w:rsidR="00EE7097" w:rsidRPr="001C60B5" w14:paraId="5F74B944" w14:textId="77777777" w:rsidTr="00480353">
        <w:trPr>
          <w:trHeight w:val="1030"/>
        </w:trPr>
        <w:tc>
          <w:tcPr>
            <w:tcW w:w="3192" w:type="dxa"/>
            <w:vMerge w:val="restart"/>
          </w:tcPr>
          <w:p w14:paraId="5F74B942"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5F74B943" w14:textId="77777777" w:rsidR="00EE7097" w:rsidRPr="001C60B5" w:rsidRDefault="00EE7097" w:rsidP="00A177D9">
            <w:pPr>
              <w:jc w:val="both"/>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5F74B947" w14:textId="77777777" w:rsidTr="00480353">
        <w:trPr>
          <w:trHeight w:val="281"/>
        </w:trPr>
        <w:tc>
          <w:tcPr>
            <w:tcW w:w="3192" w:type="dxa"/>
            <w:vMerge/>
          </w:tcPr>
          <w:p w14:paraId="5F74B945"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5F74B946" w14:textId="4CCE7128" w:rsidR="00E263D4" w:rsidRPr="001C60B5" w:rsidRDefault="000B7AFA" w:rsidP="00E263D4">
                <w:pPr>
                  <w:ind w:left="436"/>
                  <w:rPr>
                    <w:szCs w:val="24"/>
                  </w:rPr>
                </w:pPr>
                <w:r>
                  <w:rPr>
                    <w:rStyle w:val="Dropdown"/>
                  </w:rPr>
                  <w:t>All themes</w:t>
                </w:r>
              </w:p>
            </w:sdtContent>
          </w:sdt>
        </w:tc>
      </w:tr>
      <w:tr w:rsidR="00EE7097" w:rsidRPr="001C60B5" w14:paraId="5F74B94A" w14:textId="77777777" w:rsidTr="00480353">
        <w:trPr>
          <w:trHeight w:val="277"/>
        </w:trPr>
        <w:tc>
          <w:tcPr>
            <w:tcW w:w="3192" w:type="dxa"/>
            <w:vMerge/>
          </w:tcPr>
          <w:p w14:paraId="5F74B948" w14:textId="77777777" w:rsidR="00EE7097" w:rsidRPr="001C60B5" w:rsidRDefault="00EE7097">
            <w:pPr>
              <w:rPr>
                <w:b/>
                <w:szCs w:val="24"/>
              </w:rPr>
            </w:pPr>
          </w:p>
        </w:tc>
        <w:tc>
          <w:tcPr>
            <w:tcW w:w="5834" w:type="dxa"/>
            <w:tcBorders>
              <w:top w:val="nil"/>
              <w:bottom w:val="nil"/>
            </w:tcBorders>
          </w:tcPr>
          <w:p w14:paraId="5F74B949" w14:textId="2542462C" w:rsidR="00EE7097" w:rsidRPr="001C60B5" w:rsidRDefault="00EE7097" w:rsidP="00BA3E2A">
            <w:pPr>
              <w:ind w:left="436"/>
              <w:rPr>
                <w:szCs w:val="24"/>
              </w:rPr>
            </w:pPr>
          </w:p>
        </w:tc>
      </w:tr>
      <w:tr w:rsidR="00EE7097" w:rsidRPr="001C60B5" w14:paraId="5F74B94D" w14:textId="77777777" w:rsidTr="00480353">
        <w:trPr>
          <w:trHeight w:val="353"/>
        </w:trPr>
        <w:tc>
          <w:tcPr>
            <w:tcW w:w="3192" w:type="dxa"/>
            <w:vMerge/>
          </w:tcPr>
          <w:p w14:paraId="5F74B94B" w14:textId="77777777" w:rsidR="00EE7097" w:rsidRPr="001C60B5" w:rsidRDefault="00EE7097">
            <w:pPr>
              <w:rPr>
                <w:b/>
                <w:szCs w:val="24"/>
              </w:rPr>
            </w:pPr>
          </w:p>
        </w:tc>
        <w:tc>
          <w:tcPr>
            <w:tcW w:w="5834" w:type="dxa"/>
            <w:tcBorders>
              <w:top w:val="nil"/>
            </w:tcBorders>
          </w:tcPr>
          <w:p w14:paraId="5F74B94C" w14:textId="15E94378" w:rsidR="00EE7097" w:rsidRPr="001C60B5" w:rsidRDefault="00EE7097" w:rsidP="000B7AFA">
            <w:pPr>
              <w:rPr>
                <w:szCs w:val="24"/>
              </w:rPr>
            </w:pPr>
          </w:p>
        </w:tc>
      </w:tr>
      <w:tr w:rsidR="00EE7097" w:rsidRPr="001C60B5" w14:paraId="5F74B950" w14:textId="77777777" w:rsidTr="00480353">
        <w:tc>
          <w:tcPr>
            <w:tcW w:w="3192" w:type="dxa"/>
          </w:tcPr>
          <w:p w14:paraId="5F74B94E" w14:textId="77777777" w:rsidR="00EE7097" w:rsidRPr="001C60B5" w:rsidRDefault="00EE7097">
            <w:pPr>
              <w:rPr>
                <w:b/>
                <w:szCs w:val="24"/>
              </w:rPr>
            </w:pPr>
            <w:r w:rsidRPr="001C60B5">
              <w:rPr>
                <w:b/>
                <w:szCs w:val="24"/>
              </w:rPr>
              <w:t>Financial implications</w:t>
            </w:r>
          </w:p>
        </w:tc>
        <w:tc>
          <w:tcPr>
            <w:tcW w:w="5834" w:type="dxa"/>
          </w:tcPr>
          <w:p w14:paraId="5F74B94F" w14:textId="29D8F5CB" w:rsidR="00EE7097" w:rsidRPr="00126327" w:rsidRDefault="000B7AFA" w:rsidP="00A177D9">
            <w:pPr>
              <w:jc w:val="both"/>
              <w:rPr>
                <w:szCs w:val="24"/>
              </w:rPr>
            </w:pPr>
            <w:r w:rsidRPr="000B7AFA">
              <w:rPr>
                <w:color w:val="000000" w:themeColor="text1"/>
                <w:szCs w:val="24"/>
              </w:rPr>
              <w:t xml:space="preserve">Financial implications </w:t>
            </w:r>
            <w:proofErr w:type="gramStart"/>
            <w:r w:rsidRPr="000B7AFA">
              <w:rPr>
                <w:color w:val="000000" w:themeColor="text1"/>
                <w:szCs w:val="24"/>
              </w:rPr>
              <w:t>are being actively managed</w:t>
            </w:r>
            <w:proofErr w:type="gramEnd"/>
            <w:r w:rsidRPr="000B7AFA">
              <w:rPr>
                <w:color w:val="000000" w:themeColor="text1"/>
                <w:szCs w:val="24"/>
              </w:rPr>
              <w:t xml:space="preserve"> through the programme management arrangements. </w:t>
            </w:r>
          </w:p>
        </w:tc>
      </w:tr>
      <w:tr w:rsidR="00EE7097" w:rsidRPr="001C60B5" w14:paraId="5F74B953" w14:textId="77777777" w:rsidTr="00480353">
        <w:tc>
          <w:tcPr>
            <w:tcW w:w="3192" w:type="dxa"/>
          </w:tcPr>
          <w:p w14:paraId="5F74B951"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5F74B952" w14:textId="049FF19C" w:rsidR="00EE7097" w:rsidRPr="00126327" w:rsidRDefault="000B7AFA" w:rsidP="00A177D9">
            <w:pPr>
              <w:jc w:val="both"/>
              <w:rPr>
                <w:color w:val="FF0000"/>
                <w:szCs w:val="24"/>
              </w:rPr>
            </w:pPr>
            <w:r w:rsidRPr="000B7AFA">
              <w:rPr>
                <w:color w:val="000000" w:themeColor="text1"/>
                <w:szCs w:val="24"/>
              </w:rPr>
              <w:t xml:space="preserve">A key element of the </w:t>
            </w:r>
            <w:proofErr w:type="spellStart"/>
            <w:r w:rsidRPr="000B7AFA">
              <w:rPr>
                <w:color w:val="000000" w:themeColor="text1"/>
                <w:szCs w:val="24"/>
              </w:rPr>
              <w:t>Brexit</w:t>
            </w:r>
            <w:proofErr w:type="spellEnd"/>
            <w:r w:rsidRPr="000B7AFA">
              <w:rPr>
                <w:color w:val="000000" w:themeColor="text1"/>
                <w:szCs w:val="24"/>
              </w:rPr>
              <w:t xml:space="preserve"> Programme has been to ensure staff </w:t>
            </w:r>
            <w:proofErr w:type="gramStart"/>
            <w:r w:rsidRPr="000B7AFA">
              <w:rPr>
                <w:color w:val="000000" w:themeColor="text1"/>
                <w:szCs w:val="24"/>
              </w:rPr>
              <w:t>have been provided with relevant information and supported as required</w:t>
            </w:r>
            <w:proofErr w:type="gramEnd"/>
            <w:r w:rsidRPr="000B7AFA">
              <w:rPr>
                <w:color w:val="000000" w:themeColor="text1"/>
                <w:szCs w:val="24"/>
              </w:rPr>
              <w:t xml:space="preserve">. </w:t>
            </w:r>
          </w:p>
        </w:tc>
      </w:tr>
    </w:tbl>
    <w:p w14:paraId="5F74B954" w14:textId="77777777"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14:paraId="5F74B955" w14:textId="77777777" w:rsidR="0087331D" w:rsidRPr="001C60B5" w:rsidRDefault="0087331D" w:rsidP="002B712E">
      <w:pPr>
        <w:pStyle w:val="Heading1"/>
        <w:numPr>
          <w:ilvl w:val="0"/>
          <w:numId w:val="2"/>
        </w:numPr>
        <w:ind w:left="567" w:hanging="567"/>
        <w:rPr>
          <w:szCs w:val="24"/>
        </w:rPr>
      </w:pPr>
      <w:r w:rsidRPr="001C60B5">
        <w:rPr>
          <w:szCs w:val="24"/>
        </w:rPr>
        <w:lastRenderedPageBreak/>
        <w:t>Purpose</w:t>
      </w:r>
      <w:r w:rsidR="00051E74" w:rsidRPr="001C60B5">
        <w:rPr>
          <w:szCs w:val="24"/>
        </w:rPr>
        <w:t xml:space="preserve"> / situation</w:t>
      </w:r>
    </w:p>
    <w:p w14:paraId="5F74B956" w14:textId="77777777" w:rsidR="0087331D" w:rsidRPr="001C60B5" w:rsidRDefault="0087331D" w:rsidP="0087331D">
      <w:pPr>
        <w:pStyle w:val="ListParagraph"/>
        <w:rPr>
          <w:szCs w:val="24"/>
        </w:rPr>
      </w:pPr>
    </w:p>
    <w:p w14:paraId="345D63F6" w14:textId="40A67A4A" w:rsidR="000B7AFA" w:rsidRDefault="00B21489" w:rsidP="00B21489">
      <w:pPr>
        <w:pStyle w:val="ListParagraph"/>
        <w:ind w:hanging="720"/>
        <w:jc w:val="both"/>
        <w:rPr>
          <w:color w:val="FF0000"/>
          <w:szCs w:val="24"/>
        </w:rPr>
      </w:pPr>
      <w:r>
        <w:t>1.1</w:t>
      </w:r>
      <w:r>
        <w:tab/>
      </w:r>
      <w:r w:rsidR="000B7AFA" w:rsidRPr="0048422A">
        <w:t xml:space="preserve">The purpose of this paper </w:t>
      </w:r>
      <w:r w:rsidR="000B7AFA">
        <w:t xml:space="preserve">is to provide the </w:t>
      </w:r>
      <w:r w:rsidR="00C00704">
        <w:t xml:space="preserve">Business </w:t>
      </w:r>
      <w:r w:rsidR="000B7AFA">
        <w:t xml:space="preserve">Executive Team </w:t>
      </w:r>
      <w:r w:rsidR="000B7AFA" w:rsidRPr="0048422A">
        <w:t xml:space="preserve">with an update in relation to the work Public Health Wales is undertaking as part of our </w:t>
      </w:r>
      <w:proofErr w:type="spellStart"/>
      <w:r w:rsidR="000B7AFA" w:rsidRPr="0048422A">
        <w:t>Brexit</w:t>
      </w:r>
      <w:proofErr w:type="spellEnd"/>
      <w:r w:rsidR="000B7AFA" w:rsidRPr="0048422A">
        <w:t xml:space="preserve"> preparedness. </w:t>
      </w:r>
      <w:r w:rsidR="000B7AFA">
        <w:t xml:space="preserve"> </w:t>
      </w:r>
      <w:r w:rsidR="000B7AFA" w:rsidRPr="0048422A">
        <w:t xml:space="preserve">The paper provides an update against the </w:t>
      </w:r>
      <w:r w:rsidR="000B7AFA">
        <w:t>work that we have been doing on behalf of the wider system, along with our internal preparedness.  Th</w:t>
      </w:r>
      <w:r w:rsidR="00950307">
        <w:t xml:space="preserve">is paper </w:t>
      </w:r>
      <w:proofErr w:type="gramStart"/>
      <w:r w:rsidR="00950307">
        <w:t>will also be provided</w:t>
      </w:r>
      <w:proofErr w:type="gramEnd"/>
      <w:r w:rsidR="00950307">
        <w:t xml:space="preserve"> to the Public Health Wales Board at </w:t>
      </w:r>
      <w:r w:rsidR="000B7AFA">
        <w:t>its meeting on 26 November 2020.</w:t>
      </w:r>
    </w:p>
    <w:p w14:paraId="5F74B958" w14:textId="77777777" w:rsidR="0087331D" w:rsidRPr="001C60B5" w:rsidRDefault="0087331D" w:rsidP="002B712E">
      <w:pPr>
        <w:pStyle w:val="Heading1"/>
        <w:numPr>
          <w:ilvl w:val="0"/>
          <w:numId w:val="2"/>
        </w:numPr>
        <w:ind w:left="567" w:hanging="567"/>
        <w:rPr>
          <w:szCs w:val="24"/>
        </w:rPr>
      </w:pPr>
      <w:r w:rsidRPr="001C60B5">
        <w:rPr>
          <w:szCs w:val="24"/>
        </w:rPr>
        <w:t>Background</w:t>
      </w:r>
    </w:p>
    <w:p w14:paraId="3B09CCDD" w14:textId="28FD5C7E" w:rsidR="00A177D9" w:rsidRDefault="00B22FB2" w:rsidP="00FD633B">
      <w:pPr>
        <w:spacing w:before="240"/>
        <w:ind w:left="720" w:hanging="720"/>
        <w:jc w:val="both"/>
      </w:pPr>
      <w:r>
        <w:t>2.1</w:t>
      </w:r>
      <w:r w:rsidR="00B21489">
        <w:tab/>
      </w:r>
      <w:r w:rsidR="00A177D9">
        <w:t xml:space="preserve">Public Health Wales established a formal programme to manage its </w:t>
      </w:r>
      <w:proofErr w:type="spellStart"/>
      <w:r w:rsidR="00A177D9">
        <w:t>Brexit</w:t>
      </w:r>
      <w:proofErr w:type="spellEnd"/>
      <w:r w:rsidR="00A177D9">
        <w:t xml:space="preserve"> preparedness in October 2018.  The Programme is responsible for the full range of activity </w:t>
      </w:r>
      <w:proofErr w:type="gramStart"/>
      <w:r w:rsidR="00A177D9">
        <w:t>being undertaken</w:t>
      </w:r>
      <w:proofErr w:type="gramEnd"/>
      <w:r w:rsidR="00A177D9">
        <w:t xml:space="preserve"> by Public Health Wales and in support of the wider </w:t>
      </w:r>
      <w:r w:rsidR="00FD633B">
        <w:t>health and social care system.</w:t>
      </w:r>
    </w:p>
    <w:p w14:paraId="15069304" w14:textId="49CA4560" w:rsidR="00A40598" w:rsidRDefault="00B21489" w:rsidP="00B21489">
      <w:pPr>
        <w:spacing w:before="240"/>
        <w:ind w:left="720" w:hanging="720"/>
        <w:jc w:val="both"/>
      </w:pPr>
      <w:r>
        <w:t>2</w:t>
      </w:r>
      <w:r w:rsidR="00B22FB2">
        <w:t>.2</w:t>
      </w:r>
      <w:r>
        <w:tab/>
      </w:r>
      <w:r w:rsidR="00A40598">
        <w:t xml:space="preserve">Following the UK Exit from the European Union on 31 January 2020, the UK then entered a transition </w:t>
      </w:r>
      <w:proofErr w:type="gramStart"/>
      <w:r w:rsidR="00A40598">
        <w:t>period which</w:t>
      </w:r>
      <w:proofErr w:type="gramEnd"/>
      <w:r w:rsidR="00A40598">
        <w:t xml:space="preserve"> will end on 31 December 2020.  At this stage, it is still unknown whether the UK will leave the EU with a trade deal.</w:t>
      </w:r>
      <w:r w:rsidR="007C419D">
        <w:t xml:space="preserve">  In preparing for January 2021, Public </w:t>
      </w:r>
      <w:r w:rsidR="00A40598">
        <w:t xml:space="preserve">Health Wales has </w:t>
      </w:r>
      <w:r w:rsidR="007C419D">
        <w:t xml:space="preserve">therefore </w:t>
      </w:r>
      <w:r w:rsidR="00A40598">
        <w:t xml:space="preserve">focused on </w:t>
      </w:r>
      <w:r w:rsidR="007C419D">
        <w:t xml:space="preserve">a </w:t>
      </w:r>
      <w:proofErr w:type="spellStart"/>
      <w:r w:rsidR="00A40598">
        <w:t>worse case</w:t>
      </w:r>
      <w:proofErr w:type="spellEnd"/>
      <w:r w:rsidR="00A40598">
        <w:t xml:space="preserve"> scenario of ‘no deal’.</w:t>
      </w:r>
    </w:p>
    <w:p w14:paraId="0204FE53" w14:textId="6814A901" w:rsidR="00A177D9" w:rsidRDefault="00B22FB2" w:rsidP="00B21489">
      <w:pPr>
        <w:spacing w:before="240"/>
        <w:ind w:left="720" w:hanging="720"/>
        <w:jc w:val="both"/>
      </w:pPr>
      <w:r>
        <w:t>2.3</w:t>
      </w:r>
      <w:r w:rsidR="00B21489">
        <w:tab/>
      </w:r>
      <w:r w:rsidR="00A177D9">
        <w:t xml:space="preserve">Significant preparatory work was undertaken in the run up to </w:t>
      </w:r>
      <w:r w:rsidR="00B6059D">
        <w:t xml:space="preserve">January </w:t>
      </w:r>
      <w:proofErr w:type="gramStart"/>
      <w:r w:rsidR="00B6059D">
        <w:t xml:space="preserve">2020 </w:t>
      </w:r>
      <w:r w:rsidR="00A177D9">
        <w:t>which</w:t>
      </w:r>
      <w:proofErr w:type="gramEnd"/>
      <w:r w:rsidR="00A177D9">
        <w:t xml:space="preserve"> </w:t>
      </w:r>
      <w:r w:rsidR="007D2CCD">
        <w:t xml:space="preserve">has </w:t>
      </w:r>
      <w:r w:rsidR="00A177D9">
        <w:t xml:space="preserve">previously reported to </w:t>
      </w:r>
      <w:r w:rsidR="007D2CCD">
        <w:t xml:space="preserve">both the </w:t>
      </w:r>
      <w:r w:rsidR="00B6059D">
        <w:t xml:space="preserve">Business Executive Team and </w:t>
      </w:r>
      <w:r w:rsidR="00A177D9">
        <w:t>Board</w:t>
      </w:r>
      <w:r w:rsidR="00B6059D">
        <w:t xml:space="preserve"> </w:t>
      </w:r>
      <w:r w:rsidR="00A177D9">
        <w:t>via regular updates</w:t>
      </w:r>
      <w:r w:rsidR="00B6059D">
        <w:t>.</w:t>
      </w:r>
      <w:r w:rsidR="007D2CCD">
        <w:t xml:space="preserve">  </w:t>
      </w:r>
      <w:r w:rsidR="008A50DE">
        <w:t xml:space="preserve">Public Health Wales suspended its </w:t>
      </w:r>
      <w:proofErr w:type="spellStart"/>
      <w:r w:rsidR="008A50DE">
        <w:t>Brexit</w:t>
      </w:r>
      <w:proofErr w:type="spellEnd"/>
      <w:r w:rsidR="008A50DE">
        <w:t xml:space="preserve"> Programme in January due to COVID-19; the Programme resumed in September 2020.</w:t>
      </w:r>
    </w:p>
    <w:p w14:paraId="5F74B95A" w14:textId="599E50B7" w:rsidR="0087331D" w:rsidRPr="001C60B5" w:rsidRDefault="00B22FB2" w:rsidP="00B21489">
      <w:pPr>
        <w:spacing w:before="240"/>
        <w:ind w:left="720" w:hanging="720"/>
        <w:jc w:val="both"/>
        <w:rPr>
          <w:color w:val="FF0000"/>
          <w:szCs w:val="24"/>
        </w:rPr>
      </w:pPr>
      <w:r>
        <w:t>2.4</w:t>
      </w:r>
      <w:r w:rsidR="00B21489">
        <w:tab/>
      </w:r>
      <w:r w:rsidR="008A50DE">
        <w:t xml:space="preserve">In resuming the Programme, </w:t>
      </w:r>
      <w:r w:rsidR="007D2CCD">
        <w:t xml:space="preserve">we </w:t>
      </w:r>
      <w:r w:rsidR="00A177D9">
        <w:t xml:space="preserve">reviewed the work undertaken to date and our </w:t>
      </w:r>
      <w:r w:rsidR="008A50DE">
        <w:t xml:space="preserve">internal </w:t>
      </w:r>
      <w:r w:rsidR="00A177D9">
        <w:t>programme arrangements to ensure they were robust</w:t>
      </w:r>
      <w:r w:rsidR="008A50DE">
        <w:t xml:space="preserve"> and</w:t>
      </w:r>
      <w:r w:rsidR="007D2CCD">
        <w:t xml:space="preserve"> fit for purpose. </w:t>
      </w:r>
    </w:p>
    <w:p w14:paraId="5F74B95C" w14:textId="7F35620E" w:rsidR="0087331D" w:rsidRDefault="00933AB1" w:rsidP="00F9487B">
      <w:pPr>
        <w:pStyle w:val="Heading1"/>
        <w:numPr>
          <w:ilvl w:val="0"/>
          <w:numId w:val="2"/>
        </w:numPr>
        <w:ind w:left="567" w:hanging="567"/>
        <w:rPr>
          <w:szCs w:val="24"/>
        </w:rPr>
      </w:pPr>
      <w:r w:rsidRPr="00933AB1">
        <w:rPr>
          <w:szCs w:val="24"/>
        </w:rPr>
        <w:t>Programme Update</w:t>
      </w:r>
    </w:p>
    <w:p w14:paraId="3DFF9F48" w14:textId="77777777" w:rsidR="007D2CCD" w:rsidRPr="007D2CCD" w:rsidRDefault="007D2CCD" w:rsidP="007D2CCD"/>
    <w:p w14:paraId="06AF5D88" w14:textId="63F6728D" w:rsidR="00933AB1" w:rsidRDefault="00933AB1" w:rsidP="00B21489">
      <w:pPr>
        <w:pStyle w:val="Heading2"/>
        <w:numPr>
          <w:ilvl w:val="1"/>
          <w:numId w:val="25"/>
        </w:numPr>
      </w:pPr>
      <w:r>
        <w:t>Business Continuity</w:t>
      </w:r>
    </w:p>
    <w:p w14:paraId="192C1627" w14:textId="77777777" w:rsidR="00B21489" w:rsidRDefault="00B21489" w:rsidP="00B21489">
      <w:pPr>
        <w:jc w:val="both"/>
      </w:pPr>
    </w:p>
    <w:p w14:paraId="569C38F3" w14:textId="28DAFB29" w:rsidR="00284D3E" w:rsidRDefault="00230755" w:rsidP="00B21489">
      <w:pPr>
        <w:jc w:val="both"/>
      </w:pPr>
      <w:r>
        <w:t xml:space="preserve">As part of our preparedness in advance of </w:t>
      </w:r>
      <w:proofErr w:type="spellStart"/>
      <w:r>
        <w:t>Brexit</w:t>
      </w:r>
      <w:proofErr w:type="spellEnd"/>
      <w:r>
        <w:t xml:space="preserve"> (D20), a</w:t>
      </w:r>
      <w:r w:rsidR="00131730">
        <w:t xml:space="preserve"> re</w:t>
      </w:r>
      <w:r>
        <w:t xml:space="preserve">assessment of our </w:t>
      </w:r>
      <w:r w:rsidR="00131730">
        <w:t xml:space="preserve">previously identified </w:t>
      </w:r>
      <w:r>
        <w:t xml:space="preserve">critical </w:t>
      </w:r>
      <w:r w:rsidR="00131730">
        <w:t xml:space="preserve">services </w:t>
      </w:r>
      <w:r w:rsidR="0050500B">
        <w:t xml:space="preserve">(Screening, Health Protection, Microbiology, Communications, </w:t>
      </w:r>
      <w:proofErr w:type="gramStart"/>
      <w:r w:rsidR="0050500B">
        <w:t>Informatics</w:t>
      </w:r>
      <w:proofErr w:type="gramEnd"/>
      <w:r w:rsidR="0050500B">
        <w:t xml:space="preserve">) </w:t>
      </w:r>
      <w:r w:rsidR="00131730">
        <w:t xml:space="preserve">and assessment of </w:t>
      </w:r>
      <w:r w:rsidR="0050500B">
        <w:t xml:space="preserve">new </w:t>
      </w:r>
      <w:r>
        <w:t xml:space="preserve">COVID-19 services </w:t>
      </w:r>
      <w:r w:rsidR="00284D3E">
        <w:t>is currently being undertaken.  Undertaking the impact assessment exercise again in November 2020 has given us the opportunity to consider any additional services we are now delivering as part of our ongoing COVID-19 response.</w:t>
      </w:r>
    </w:p>
    <w:p w14:paraId="419CD095" w14:textId="0380E11C" w:rsidR="00230755" w:rsidRPr="00B21489" w:rsidRDefault="00230755" w:rsidP="00B21489">
      <w:pPr>
        <w:jc w:val="both"/>
        <w:rPr>
          <w:szCs w:val="24"/>
        </w:rPr>
      </w:pPr>
      <w:r>
        <w:lastRenderedPageBreak/>
        <w:t xml:space="preserve">Business critical services </w:t>
      </w:r>
      <w:proofErr w:type="gramStart"/>
      <w:r w:rsidR="001178D9">
        <w:t xml:space="preserve">are being </w:t>
      </w:r>
      <w:r>
        <w:t>review</w:t>
      </w:r>
      <w:r w:rsidR="003A5B4E">
        <w:t>ed</w:t>
      </w:r>
      <w:proofErr w:type="gramEnd"/>
      <w:r w:rsidR="003A5B4E">
        <w:t xml:space="preserve"> </w:t>
      </w:r>
      <w:r>
        <w:t xml:space="preserve">using the Reasonable Worst Case Scenario (RWCS) set of assumptions published by the Cabinet Office to determine impact on staff, premises, resources, and suppliers.  The assessment will further detail the potential impacts of </w:t>
      </w:r>
      <w:proofErr w:type="spellStart"/>
      <w:r>
        <w:t>Brexit</w:t>
      </w:r>
      <w:proofErr w:type="spellEnd"/>
      <w:r>
        <w:t xml:space="preserve"> on service delivery and maintaining statutory obligations.</w:t>
      </w:r>
    </w:p>
    <w:p w14:paraId="37FAC1DD" w14:textId="77777777" w:rsidR="00230755" w:rsidRDefault="00230755" w:rsidP="00230755">
      <w:pPr>
        <w:rPr>
          <w:rFonts w:ascii="Calibri" w:hAnsi="Calibri"/>
          <w:sz w:val="22"/>
        </w:rPr>
      </w:pPr>
    </w:p>
    <w:p w14:paraId="29EC1E0B" w14:textId="0B1F143E" w:rsidR="00230755" w:rsidRDefault="00230755" w:rsidP="00230755">
      <w:pPr>
        <w:jc w:val="both"/>
      </w:pPr>
      <w:r>
        <w:t xml:space="preserve">A </w:t>
      </w:r>
      <w:r w:rsidR="009B5C8B">
        <w:t xml:space="preserve">prioritised </w:t>
      </w:r>
      <w:r>
        <w:t xml:space="preserve">order of </w:t>
      </w:r>
      <w:r w:rsidR="003A5B4E">
        <w:t xml:space="preserve">the </w:t>
      </w:r>
      <w:r w:rsidR="00284D3E">
        <w:t xml:space="preserve">services </w:t>
      </w:r>
      <w:r w:rsidR="003A5B4E">
        <w:t>Public Health Wales consider</w:t>
      </w:r>
      <w:r w:rsidR="00284D3E">
        <w:t xml:space="preserve"> </w:t>
      </w:r>
      <w:r>
        <w:t xml:space="preserve">most vulnerable to disruption </w:t>
      </w:r>
      <w:r w:rsidR="003A5B4E">
        <w:t xml:space="preserve">by </w:t>
      </w:r>
      <w:proofErr w:type="spellStart"/>
      <w:r>
        <w:t>Brexit</w:t>
      </w:r>
      <w:proofErr w:type="spellEnd"/>
      <w:r>
        <w:t xml:space="preserve"> </w:t>
      </w:r>
      <w:proofErr w:type="gramStart"/>
      <w:r>
        <w:t>will be produced</w:t>
      </w:r>
      <w:proofErr w:type="gramEnd"/>
      <w:r>
        <w:t xml:space="preserve"> by</w:t>
      </w:r>
      <w:r w:rsidR="00026747">
        <w:t xml:space="preserve"> 20 November.  </w:t>
      </w:r>
      <w:r>
        <w:t>This will help provide a corporate overview that can inform work on risk treatment strategies.</w:t>
      </w:r>
    </w:p>
    <w:p w14:paraId="62494EE8" w14:textId="77777777" w:rsidR="00230755" w:rsidRDefault="00230755" w:rsidP="00230755"/>
    <w:p w14:paraId="3164FBFD" w14:textId="33187DA3" w:rsidR="00230755" w:rsidRDefault="00230755" w:rsidP="00230755">
      <w:pPr>
        <w:jc w:val="both"/>
      </w:pPr>
      <w:r>
        <w:t xml:space="preserve">The impact assessment </w:t>
      </w:r>
      <w:proofErr w:type="gramStart"/>
      <w:r>
        <w:t>will be completed</w:t>
      </w:r>
      <w:proofErr w:type="gramEnd"/>
      <w:r>
        <w:t xml:space="preserve"> by 20 November 2020.   Mitigation strategies identified as part of the assessment are to </w:t>
      </w:r>
      <w:proofErr w:type="gramStart"/>
      <w:r>
        <w:t>be reported</w:t>
      </w:r>
      <w:proofErr w:type="gramEnd"/>
      <w:r>
        <w:t xml:space="preserve"> to the Public Health Wales SRO Group on 23 November for consideration and subsequent implementation by 31 December 2020.</w:t>
      </w:r>
    </w:p>
    <w:p w14:paraId="5F74B966" w14:textId="23009D71" w:rsidR="00680CAE" w:rsidRPr="00230755" w:rsidRDefault="00680CAE" w:rsidP="00230755">
      <w:pPr>
        <w:rPr>
          <w:color w:val="FF0000"/>
          <w:szCs w:val="24"/>
        </w:rPr>
      </w:pPr>
    </w:p>
    <w:p w14:paraId="5F74B967" w14:textId="69231EB4" w:rsidR="00680CAE" w:rsidRDefault="00933AB1" w:rsidP="00933AB1">
      <w:pPr>
        <w:pStyle w:val="Heading2"/>
      </w:pPr>
      <w:r>
        <w:t>3.2</w:t>
      </w:r>
      <w:r>
        <w:tab/>
        <w:t>Health Securities</w:t>
      </w:r>
    </w:p>
    <w:p w14:paraId="035DC8AB" w14:textId="728B9B5A" w:rsidR="009F69B2" w:rsidRDefault="009F69B2" w:rsidP="009F69B2"/>
    <w:p w14:paraId="5D5B4BB8" w14:textId="39F43C4D" w:rsidR="009F69B2" w:rsidRDefault="009F69B2" w:rsidP="009F69B2">
      <w:pPr>
        <w:jc w:val="both"/>
      </w:pPr>
      <w:r>
        <w:t xml:space="preserve">Public Health Wales has led on the Health Securities agenda in Wales </w:t>
      </w:r>
      <w:r w:rsidR="00A578A4">
        <w:t xml:space="preserve">on behalf </w:t>
      </w:r>
      <w:r w:rsidR="00FA2258">
        <w:t>of W</w:t>
      </w:r>
      <w:r w:rsidR="00A578A4">
        <w:t xml:space="preserve">elsh Government </w:t>
      </w:r>
      <w:r w:rsidR="00FA2258">
        <w:t>and the EU tr</w:t>
      </w:r>
      <w:r w:rsidR="00A578A4">
        <w:t xml:space="preserve">ansition </w:t>
      </w:r>
      <w:r w:rsidR="00FA2258">
        <w:t xml:space="preserve">programme </w:t>
      </w:r>
      <w:r w:rsidR="00FB4987">
        <w:t>since November 2018</w:t>
      </w:r>
      <w:r>
        <w:t xml:space="preserve">.  A review of the previous work undertaken </w:t>
      </w:r>
      <w:proofErr w:type="gramStart"/>
      <w:r>
        <w:t>was carried out</w:t>
      </w:r>
      <w:proofErr w:type="gramEnd"/>
      <w:r>
        <w:t xml:space="preserve"> in October 2020 to ensure appropriate assurance is in place for the key health protection (health securities) risks relating to a potential ‘no-deal’, and taking into account the changing world in respect of COVID-19.  The review did not identify any new risks in relation to Health Securities</w:t>
      </w:r>
      <w:r w:rsidR="00FB4987">
        <w:t xml:space="preserve"> and PHE have advised there has been no change to the risks identified</w:t>
      </w:r>
      <w:r w:rsidR="00A917A1">
        <w:t xml:space="preserve">.  Mitigation and additional actions </w:t>
      </w:r>
      <w:proofErr w:type="gramStart"/>
      <w:r w:rsidR="00A917A1">
        <w:t xml:space="preserve">were </w:t>
      </w:r>
      <w:r>
        <w:t>captured</w:t>
      </w:r>
      <w:proofErr w:type="gramEnd"/>
      <w:r w:rsidR="00A917A1">
        <w:t xml:space="preserve"> in a formal report issued in November 2020.  </w:t>
      </w:r>
      <w:r>
        <w:t xml:space="preserve">Risk leads are working to ensure any previous mitigations remain valid.  A summary of the Health Security risks and mitigations </w:t>
      </w:r>
      <w:proofErr w:type="gramStart"/>
      <w:r>
        <w:t>is provided</w:t>
      </w:r>
      <w:proofErr w:type="gramEnd"/>
      <w:r>
        <w:t xml:space="preserve"> at </w:t>
      </w:r>
      <w:r w:rsidRPr="009F69B2">
        <w:rPr>
          <w:b/>
        </w:rPr>
        <w:t>Appendix 1</w:t>
      </w:r>
      <w:r>
        <w:t xml:space="preserve"> to this report.</w:t>
      </w:r>
      <w:r w:rsidR="00F3400C">
        <w:t xml:space="preserve">  </w:t>
      </w:r>
    </w:p>
    <w:p w14:paraId="52330641" w14:textId="4257A1B3" w:rsidR="009F69B2" w:rsidRDefault="009F69B2" w:rsidP="009F69B2">
      <w:pPr>
        <w:jc w:val="both"/>
      </w:pPr>
    </w:p>
    <w:p w14:paraId="36E3206D" w14:textId="225D056C" w:rsidR="009F69B2" w:rsidRDefault="009F69B2" w:rsidP="009F69B2">
      <w:pPr>
        <w:jc w:val="both"/>
      </w:pPr>
      <w:r>
        <w:t>Public Health Wales continues to host the Health Securities (including Health Protection) Sub Group of the Welsh Assembly EU Tra</w:t>
      </w:r>
      <w:r w:rsidR="00A917A1">
        <w:t>nsition Leadership Group</w:t>
      </w:r>
      <w:r w:rsidR="004C0309">
        <w:t>.</w:t>
      </w:r>
    </w:p>
    <w:p w14:paraId="65A5BEF3" w14:textId="12E81F9F" w:rsidR="00F3400C" w:rsidRDefault="00F3400C" w:rsidP="009F69B2">
      <w:pPr>
        <w:jc w:val="both"/>
      </w:pPr>
    </w:p>
    <w:p w14:paraId="2449AD04" w14:textId="645C4F50" w:rsidR="00F3400C" w:rsidRDefault="00F3400C" w:rsidP="00F3400C">
      <w:pPr>
        <w:pStyle w:val="Heading2"/>
      </w:pPr>
      <w:r>
        <w:t>3.3</w:t>
      </w:r>
      <w:r>
        <w:tab/>
        <w:t>Non-Legislative Framework</w:t>
      </w:r>
    </w:p>
    <w:p w14:paraId="5EE1A17E" w14:textId="672165D3" w:rsidR="00F3400C" w:rsidRDefault="00F3400C" w:rsidP="00F3400C">
      <w:pPr>
        <w:spacing w:before="120"/>
        <w:jc w:val="both"/>
        <w:rPr>
          <w:rFonts w:eastAsia="Calibri" w:cs="Arial"/>
          <w:color w:val="000000" w:themeColor="text1"/>
          <w:kern w:val="24"/>
          <w:szCs w:val="24"/>
        </w:rPr>
      </w:pPr>
      <w:r w:rsidRPr="00AC10C0">
        <w:rPr>
          <w:szCs w:val="24"/>
        </w:rPr>
        <w:t xml:space="preserve">Public Health Wales has been working in partnership with Welsh Government and all other UK nations’ public health agencies and governments to </w:t>
      </w:r>
      <w:r>
        <w:rPr>
          <w:szCs w:val="24"/>
        </w:rPr>
        <w:t xml:space="preserve">draft </w:t>
      </w:r>
      <w:r w:rsidRPr="00AC10C0">
        <w:rPr>
          <w:szCs w:val="24"/>
        </w:rPr>
        <w:t xml:space="preserve">a Non-Legislative Framework (NLF) for Health Protection.  The framework will focus </w:t>
      </w:r>
      <w:r w:rsidRPr="00AC10C0">
        <w:rPr>
          <w:rFonts w:eastAsia="Calibri" w:cs="Arial"/>
          <w:color w:val="000000" w:themeColor="text1"/>
          <w:kern w:val="24"/>
          <w:szCs w:val="24"/>
        </w:rPr>
        <w:t>on strengthening co-operation in strategic areas of shared interest between all the parties, particularly in relation to Health Protection and Health Security.</w:t>
      </w:r>
    </w:p>
    <w:p w14:paraId="074C39E8" w14:textId="77777777" w:rsidR="00A00C2D" w:rsidRDefault="00A00C2D" w:rsidP="00F3400C">
      <w:pPr>
        <w:spacing w:before="120"/>
        <w:jc w:val="both"/>
        <w:rPr>
          <w:rFonts w:eastAsia="Calibri" w:cs="Arial"/>
          <w:color w:val="000000" w:themeColor="text1"/>
          <w:kern w:val="24"/>
          <w:szCs w:val="24"/>
        </w:rPr>
      </w:pPr>
    </w:p>
    <w:p w14:paraId="6E11CDFB" w14:textId="6F1F4134" w:rsidR="00F3400C" w:rsidRDefault="00F3400C" w:rsidP="00F3400C">
      <w:pPr>
        <w:jc w:val="both"/>
        <w:rPr>
          <w:color w:val="000000" w:themeColor="text1"/>
        </w:rPr>
      </w:pPr>
      <w:r>
        <w:rPr>
          <w:rFonts w:eastAsia="Calibri" w:cs="Arial"/>
          <w:color w:val="000000" w:themeColor="text1"/>
          <w:kern w:val="24"/>
          <w:szCs w:val="24"/>
        </w:rPr>
        <w:t xml:space="preserve">The draft </w:t>
      </w:r>
      <w:r w:rsidRPr="00AC10C0">
        <w:rPr>
          <w:szCs w:val="24"/>
        </w:rPr>
        <w:t xml:space="preserve">Common Framework Outline Agreement (CFOA) for </w:t>
      </w:r>
      <w:r>
        <w:rPr>
          <w:szCs w:val="24"/>
        </w:rPr>
        <w:t xml:space="preserve">the NLF </w:t>
      </w:r>
      <w:proofErr w:type="gramStart"/>
      <w:r>
        <w:rPr>
          <w:szCs w:val="24"/>
        </w:rPr>
        <w:t>was considered</w:t>
      </w:r>
      <w:proofErr w:type="gramEnd"/>
      <w:r>
        <w:rPr>
          <w:szCs w:val="24"/>
        </w:rPr>
        <w:t xml:space="preserve"> at a </w:t>
      </w:r>
      <w:r w:rsidRPr="00AC10C0">
        <w:rPr>
          <w:rFonts w:eastAsia="Calibri" w:cs="Arial"/>
          <w:color w:val="000000" w:themeColor="text1"/>
          <w:kern w:val="24"/>
          <w:szCs w:val="24"/>
        </w:rPr>
        <w:t xml:space="preserve">Cabinet Office Review and Assessment Panel </w:t>
      </w:r>
      <w:r>
        <w:rPr>
          <w:rFonts w:eastAsia="Calibri" w:cs="Arial"/>
          <w:color w:val="000000" w:themeColor="text1"/>
          <w:kern w:val="24"/>
          <w:szCs w:val="24"/>
        </w:rPr>
        <w:t xml:space="preserve">on 11 November 2020.  All four nations attended and only minor suggestions </w:t>
      </w:r>
      <w:proofErr w:type="gramStart"/>
      <w:r>
        <w:rPr>
          <w:rFonts w:eastAsia="Calibri" w:cs="Arial"/>
          <w:color w:val="000000" w:themeColor="text1"/>
          <w:kern w:val="24"/>
          <w:szCs w:val="24"/>
        </w:rPr>
        <w:t>were made</w:t>
      </w:r>
      <w:proofErr w:type="gramEnd"/>
      <w:r>
        <w:rPr>
          <w:rFonts w:eastAsia="Calibri" w:cs="Arial"/>
          <w:color w:val="000000" w:themeColor="text1"/>
          <w:kern w:val="24"/>
          <w:szCs w:val="24"/>
        </w:rPr>
        <w:t xml:space="preserve">.  </w:t>
      </w:r>
      <w:r>
        <w:t>O</w:t>
      </w:r>
      <w:r w:rsidRPr="00DC548C">
        <w:rPr>
          <w:color w:val="000000" w:themeColor="text1"/>
        </w:rPr>
        <w:t xml:space="preserve">ur current working assumptions are that the framework will be in </w:t>
      </w:r>
      <w:r w:rsidRPr="00DC548C">
        <w:rPr>
          <w:color w:val="000000" w:themeColor="text1"/>
        </w:rPr>
        <w:lastRenderedPageBreak/>
        <w:t xml:space="preserve">place by 31 December </w:t>
      </w:r>
      <w:r>
        <w:rPr>
          <w:color w:val="000000" w:themeColor="text1"/>
        </w:rPr>
        <w:t xml:space="preserve">2020 </w:t>
      </w:r>
      <w:r w:rsidRPr="00DC548C">
        <w:rPr>
          <w:color w:val="000000" w:themeColor="text1"/>
        </w:rPr>
        <w:t xml:space="preserve">with </w:t>
      </w:r>
      <w:r>
        <w:rPr>
          <w:color w:val="000000" w:themeColor="text1"/>
        </w:rPr>
        <w:t xml:space="preserve">the </w:t>
      </w:r>
      <w:r w:rsidRPr="00DC548C">
        <w:rPr>
          <w:color w:val="000000" w:themeColor="text1"/>
        </w:rPr>
        <w:t xml:space="preserve">full concordat to </w:t>
      </w:r>
      <w:proofErr w:type="gramStart"/>
      <w:r w:rsidRPr="00DC548C">
        <w:rPr>
          <w:color w:val="000000" w:themeColor="text1"/>
        </w:rPr>
        <w:t>be signed off</w:t>
      </w:r>
      <w:proofErr w:type="gramEnd"/>
      <w:r w:rsidRPr="00DC548C">
        <w:rPr>
          <w:color w:val="000000" w:themeColor="text1"/>
        </w:rPr>
        <w:t xml:space="preserve"> by all parties in January / February 2021</w:t>
      </w:r>
      <w:r>
        <w:rPr>
          <w:color w:val="000000" w:themeColor="text1"/>
        </w:rPr>
        <w:t>.</w:t>
      </w:r>
    </w:p>
    <w:p w14:paraId="3C25092D" w14:textId="4F1F9091" w:rsidR="00933AB1" w:rsidRDefault="00933AB1" w:rsidP="00933AB1"/>
    <w:p w14:paraId="5316D23A" w14:textId="3401D785" w:rsidR="00933AB1" w:rsidRDefault="00933AB1" w:rsidP="00933AB1">
      <w:pPr>
        <w:pStyle w:val="Heading2"/>
      </w:pPr>
      <w:r>
        <w:t>3.4</w:t>
      </w:r>
      <w:r>
        <w:tab/>
        <w:t>Our Staff</w:t>
      </w:r>
    </w:p>
    <w:p w14:paraId="45B5D392" w14:textId="4A23F765" w:rsidR="00406AC9" w:rsidRDefault="00406AC9" w:rsidP="00406AC9"/>
    <w:p w14:paraId="5757173C" w14:textId="1ADE74A6" w:rsidR="00741B4F" w:rsidRPr="00741B4F" w:rsidRDefault="00741B4F" w:rsidP="00741B4F">
      <w:pPr>
        <w:jc w:val="both"/>
        <w:rPr>
          <w:rFonts w:ascii="Calibri" w:hAnsi="Calibri"/>
          <w:color w:val="000000" w:themeColor="text1"/>
          <w:sz w:val="22"/>
        </w:rPr>
      </w:pPr>
      <w:r w:rsidRPr="00741B4F">
        <w:rPr>
          <w:color w:val="000000" w:themeColor="text1"/>
        </w:rPr>
        <w:t xml:space="preserve">The </w:t>
      </w:r>
      <w:r>
        <w:rPr>
          <w:color w:val="000000" w:themeColor="text1"/>
        </w:rPr>
        <w:t xml:space="preserve">Public Health Wales </w:t>
      </w:r>
      <w:proofErr w:type="spellStart"/>
      <w:r w:rsidRPr="00741B4F">
        <w:rPr>
          <w:color w:val="000000" w:themeColor="text1"/>
        </w:rPr>
        <w:t>Brexit</w:t>
      </w:r>
      <w:proofErr w:type="spellEnd"/>
      <w:r w:rsidRPr="00741B4F">
        <w:rPr>
          <w:color w:val="000000" w:themeColor="text1"/>
        </w:rPr>
        <w:t xml:space="preserve"> staff information page contains a number of links and supporting resources for our staff who are EU nationals, including key information on the EU Settled Status Scheme and associated support available from </w:t>
      </w:r>
      <w:proofErr w:type="spellStart"/>
      <w:r w:rsidRPr="00741B4F">
        <w:rPr>
          <w:color w:val="000000" w:themeColor="text1"/>
        </w:rPr>
        <w:t>Newfields</w:t>
      </w:r>
      <w:proofErr w:type="spellEnd"/>
      <w:r w:rsidRPr="00741B4F">
        <w:rPr>
          <w:color w:val="000000" w:themeColor="text1"/>
        </w:rPr>
        <w:t xml:space="preserve"> Law.</w:t>
      </w:r>
      <w:r>
        <w:rPr>
          <w:color w:val="000000" w:themeColor="text1"/>
        </w:rPr>
        <w:t xml:space="preserve">   </w:t>
      </w:r>
      <w:r w:rsidRPr="00741B4F">
        <w:rPr>
          <w:color w:val="000000" w:themeColor="text1"/>
        </w:rPr>
        <w:t xml:space="preserve">We held a series of ‘drop-in’ sessions earlier in the year to provide staff with an opportunity to discuss any concerns that they </w:t>
      </w:r>
      <w:r>
        <w:rPr>
          <w:color w:val="000000" w:themeColor="text1"/>
        </w:rPr>
        <w:t xml:space="preserve">may have; </w:t>
      </w:r>
      <w:proofErr w:type="gramStart"/>
      <w:r>
        <w:rPr>
          <w:color w:val="000000" w:themeColor="text1"/>
        </w:rPr>
        <w:t xml:space="preserve">these </w:t>
      </w:r>
      <w:r w:rsidRPr="00741B4F">
        <w:rPr>
          <w:color w:val="000000" w:themeColor="text1"/>
        </w:rPr>
        <w:t>sessions were attended by a small number of colleagues</w:t>
      </w:r>
      <w:proofErr w:type="gramEnd"/>
      <w:r w:rsidRPr="00741B4F">
        <w:rPr>
          <w:color w:val="000000" w:themeColor="text1"/>
        </w:rPr>
        <w:t xml:space="preserve">. </w:t>
      </w:r>
      <w:r>
        <w:rPr>
          <w:color w:val="000000" w:themeColor="text1"/>
        </w:rPr>
        <w:t xml:space="preserve"> </w:t>
      </w:r>
      <w:r w:rsidRPr="00741B4F">
        <w:rPr>
          <w:color w:val="000000" w:themeColor="text1"/>
        </w:rPr>
        <w:t xml:space="preserve">An update meeting with </w:t>
      </w:r>
      <w:proofErr w:type="spellStart"/>
      <w:r w:rsidRPr="00741B4F">
        <w:rPr>
          <w:color w:val="000000" w:themeColor="text1"/>
        </w:rPr>
        <w:t>Newfields</w:t>
      </w:r>
      <w:proofErr w:type="spellEnd"/>
      <w:r w:rsidRPr="00741B4F">
        <w:rPr>
          <w:color w:val="000000" w:themeColor="text1"/>
        </w:rPr>
        <w:t xml:space="preserve"> Law </w:t>
      </w:r>
      <w:proofErr w:type="gramStart"/>
      <w:r w:rsidRPr="00741B4F">
        <w:rPr>
          <w:color w:val="000000" w:themeColor="text1"/>
        </w:rPr>
        <w:t>is scheduled</w:t>
      </w:r>
      <w:proofErr w:type="gramEnd"/>
      <w:r w:rsidRPr="00741B4F">
        <w:rPr>
          <w:color w:val="000000" w:themeColor="text1"/>
        </w:rPr>
        <w:t xml:space="preserve"> for 16 November and will be attended by all NHS Wales organisations. </w:t>
      </w:r>
      <w:r>
        <w:rPr>
          <w:color w:val="000000" w:themeColor="text1"/>
        </w:rPr>
        <w:t xml:space="preserve"> </w:t>
      </w:r>
      <w:r w:rsidRPr="00741B4F">
        <w:rPr>
          <w:color w:val="000000" w:themeColor="text1"/>
        </w:rPr>
        <w:t>This will assist with planning additional communication and activity to address staff concerns related to the EU Settled Status Scheme and EU exit.</w:t>
      </w:r>
    </w:p>
    <w:p w14:paraId="21B789AA" w14:textId="55B98DF2" w:rsidR="00230755" w:rsidRDefault="00230755" w:rsidP="00406AC9"/>
    <w:p w14:paraId="0CD994F7" w14:textId="28E67BA8" w:rsidR="00230755" w:rsidRDefault="00230755" w:rsidP="00230755">
      <w:pPr>
        <w:pStyle w:val="Heading2"/>
      </w:pPr>
      <w:r>
        <w:t>3.5</w:t>
      </w:r>
      <w:r>
        <w:tab/>
        <w:t>Communications</w:t>
      </w:r>
    </w:p>
    <w:p w14:paraId="2D22938E" w14:textId="5A98188E" w:rsidR="00230755" w:rsidRDefault="00230755" w:rsidP="00230755"/>
    <w:p w14:paraId="5AE1C10F" w14:textId="084543C7" w:rsidR="009931F2" w:rsidRPr="009931F2" w:rsidRDefault="00284D3E" w:rsidP="00284D3E">
      <w:pPr>
        <w:jc w:val="both"/>
      </w:pPr>
      <w:r w:rsidRPr="009931F2">
        <w:t>Building on the work previously undertaken, the Communications’ Division will be reviewing and refreshing the No Deal Communications’ Plan by 30 November 2020.</w:t>
      </w:r>
      <w:r w:rsidR="009931F2" w:rsidRPr="009931F2">
        <w:t xml:space="preserve">  This Plan sets how </w:t>
      </w:r>
      <w:r w:rsidR="009931F2" w:rsidRPr="009931F2">
        <w:rPr>
          <w:rFonts w:cs="Calibri"/>
        </w:rPr>
        <w:t>Public Health Wales will:</w:t>
      </w:r>
    </w:p>
    <w:p w14:paraId="52BC42F4" w14:textId="6E0BF1C4" w:rsidR="009931F2" w:rsidRPr="009931F2" w:rsidRDefault="009931F2" w:rsidP="009931F2">
      <w:pPr>
        <w:numPr>
          <w:ilvl w:val="0"/>
          <w:numId w:val="29"/>
        </w:numPr>
        <w:spacing w:before="240"/>
        <w:jc w:val="both"/>
        <w:rPr>
          <w:rFonts w:cs="Calibri"/>
        </w:rPr>
      </w:pPr>
      <w:r w:rsidRPr="009931F2">
        <w:rPr>
          <w:rFonts w:cs="Calibri"/>
        </w:rPr>
        <w:t xml:space="preserve">Proactively reassure the public, stakeholders and staff that our public-facing services have robust arrangements in place to respond to </w:t>
      </w:r>
      <w:proofErr w:type="spellStart"/>
      <w:r w:rsidRPr="009931F2">
        <w:rPr>
          <w:rFonts w:cs="Calibri"/>
        </w:rPr>
        <w:t>Brexit</w:t>
      </w:r>
      <w:proofErr w:type="spellEnd"/>
    </w:p>
    <w:p w14:paraId="1B617EB5" w14:textId="7FEF09B0" w:rsidR="009931F2" w:rsidRPr="009931F2" w:rsidRDefault="009931F2" w:rsidP="009931F2">
      <w:pPr>
        <w:numPr>
          <w:ilvl w:val="0"/>
          <w:numId w:val="29"/>
        </w:numPr>
        <w:spacing w:before="240"/>
        <w:jc w:val="both"/>
        <w:rPr>
          <w:rFonts w:cs="Calibri"/>
        </w:rPr>
      </w:pPr>
      <w:r w:rsidRPr="009931F2">
        <w:rPr>
          <w:rFonts w:cs="Calibri"/>
        </w:rPr>
        <w:t xml:space="preserve">Mitigate any unwanted drop-off in service take-up resulting from confusion relating to a no-deal </w:t>
      </w:r>
      <w:proofErr w:type="spellStart"/>
      <w:r w:rsidRPr="009931F2">
        <w:rPr>
          <w:rFonts w:cs="Calibri"/>
        </w:rPr>
        <w:t>Brexit</w:t>
      </w:r>
      <w:proofErr w:type="spellEnd"/>
    </w:p>
    <w:p w14:paraId="0646A718" w14:textId="6FFD92A9" w:rsidR="009931F2" w:rsidRPr="009931F2" w:rsidRDefault="009931F2" w:rsidP="009931F2">
      <w:pPr>
        <w:numPr>
          <w:ilvl w:val="0"/>
          <w:numId w:val="29"/>
        </w:numPr>
        <w:spacing w:before="240"/>
        <w:jc w:val="both"/>
        <w:rPr>
          <w:rFonts w:cs="Calibri"/>
        </w:rPr>
      </w:pPr>
      <w:r w:rsidRPr="009931F2">
        <w:rPr>
          <w:rFonts w:cs="Calibri"/>
        </w:rPr>
        <w:t xml:space="preserve">Ensure that Public Health Wales is ready to respond to any media interest in our </w:t>
      </w:r>
      <w:proofErr w:type="spellStart"/>
      <w:r w:rsidRPr="009931F2">
        <w:rPr>
          <w:rFonts w:cs="Calibri"/>
        </w:rPr>
        <w:t>Brexit</w:t>
      </w:r>
      <w:proofErr w:type="spellEnd"/>
      <w:r w:rsidRPr="009931F2">
        <w:rPr>
          <w:rFonts w:cs="Calibri"/>
        </w:rPr>
        <w:t xml:space="preserve"> preparedness</w:t>
      </w:r>
    </w:p>
    <w:p w14:paraId="66FF3AD1" w14:textId="7D283085" w:rsidR="009931F2" w:rsidRDefault="009931F2" w:rsidP="00284D3E">
      <w:pPr>
        <w:numPr>
          <w:ilvl w:val="0"/>
          <w:numId w:val="29"/>
        </w:numPr>
        <w:spacing w:before="240"/>
        <w:jc w:val="both"/>
        <w:rPr>
          <w:rFonts w:cs="Calibri"/>
        </w:rPr>
      </w:pPr>
      <w:r w:rsidRPr="009931F2">
        <w:rPr>
          <w:rFonts w:cs="Calibri"/>
        </w:rPr>
        <w:t xml:space="preserve">Address the key concerns of Public Health Wales staff. </w:t>
      </w:r>
    </w:p>
    <w:p w14:paraId="09DA6737" w14:textId="6C584E21" w:rsidR="0095007F" w:rsidRDefault="0095007F" w:rsidP="0095007F">
      <w:pPr>
        <w:spacing w:before="240"/>
        <w:jc w:val="both"/>
        <w:rPr>
          <w:rFonts w:cs="Calibri"/>
        </w:rPr>
      </w:pPr>
      <w:r>
        <w:rPr>
          <w:rFonts w:cs="Calibri"/>
        </w:rPr>
        <w:t xml:space="preserve">A timetable of communications is set out as </w:t>
      </w:r>
      <w:r w:rsidRPr="0095007F">
        <w:rPr>
          <w:rFonts w:cs="Calibri"/>
          <w:b/>
        </w:rPr>
        <w:t>Appendix 2</w:t>
      </w:r>
      <w:r>
        <w:rPr>
          <w:rFonts w:cs="Calibri"/>
        </w:rPr>
        <w:t xml:space="preserve"> to this report.</w:t>
      </w:r>
    </w:p>
    <w:p w14:paraId="06807E36" w14:textId="4E845D05" w:rsidR="0095007F" w:rsidRPr="0095007F" w:rsidRDefault="0095007F" w:rsidP="0095007F">
      <w:pPr>
        <w:spacing w:before="240"/>
        <w:jc w:val="both"/>
        <w:rPr>
          <w:rFonts w:cs="Calibri"/>
          <w:color w:val="000000" w:themeColor="text1"/>
        </w:rPr>
      </w:pPr>
      <w:proofErr w:type="gramStart"/>
      <w:r>
        <w:rPr>
          <w:color w:val="000000" w:themeColor="text1"/>
        </w:rPr>
        <w:t>With regards to</w:t>
      </w:r>
      <w:proofErr w:type="gramEnd"/>
      <w:r>
        <w:rPr>
          <w:color w:val="000000" w:themeColor="text1"/>
        </w:rPr>
        <w:t xml:space="preserve"> social media, the </w:t>
      </w:r>
      <w:r w:rsidRPr="0095007F">
        <w:rPr>
          <w:color w:val="000000" w:themeColor="text1"/>
        </w:rPr>
        <w:t xml:space="preserve">scope and size of the audience for Public Health Wales’ social channels has changed significantly over the course of the COVID-19 response, and all posts have to be carefully weighed for relevance and appropriateness. </w:t>
      </w:r>
      <w:r>
        <w:rPr>
          <w:color w:val="000000" w:themeColor="text1"/>
        </w:rPr>
        <w:t xml:space="preserve"> </w:t>
      </w:r>
      <w:r w:rsidRPr="0095007F">
        <w:rPr>
          <w:color w:val="000000" w:themeColor="text1"/>
        </w:rPr>
        <w:t xml:space="preserve">Give the continued low level of interest and low impact of the end of the EU Transition Period upon Public Health Wales, </w:t>
      </w:r>
      <w:r>
        <w:rPr>
          <w:color w:val="000000" w:themeColor="text1"/>
        </w:rPr>
        <w:t xml:space="preserve">the </w:t>
      </w:r>
      <w:r w:rsidRPr="0095007F">
        <w:rPr>
          <w:color w:val="000000" w:themeColor="text1"/>
        </w:rPr>
        <w:t>recommendation is to issue service-specific reactive social media information as appropriate, and no general EU Transition statement.</w:t>
      </w:r>
    </w:p>
    <w:p w14:paraId="5F74B97F" w14:textId="77777777" w:rsidR="00E07F66" w:rsidRPr="001C60B5" w:rsidRDefault="00E07F66" w:rsidP="00E07F66">
      <w:pPr>
        <w:pStyle w:val="Heading1"/>
        <w:numPr>
          <w:ilvl w:val="0"/>
          <w:numId w:val="2"/>
        </w:numPr>
        <w:rPr>
          <w:szCs w:val="24"/>
        </w:rPr>
      </w:pPr>
      <w:r w:rsidRPr="001C60B5">
        <w:rPr>
          <w:szCs w:val="24"/>
        </w:rPr>
        <w:t>Recommendation</w:t>
      </w:r>
    </w:p>
    <w:p w14:paraId="590F98AE" w14:textId="77777777" w:rsidR="00B528AC" w:rsidRDefault="00933AB1" w:rsidP="00933AB1">
      <w:pPr>
        <w:spacing w:before="240"/>
        <w:jc w:val="both"/>
        <w:rPr>
          <w:szCs w:val="24"/>
        </w:rPr>
      </w:pPr>
      <w:r w:rsidRPr="00B736C5">
        <w:rPr>
          <w:szCs w:val="24"/>
        </w:rPr>
        <w:t xml:space="preserve">The Public Health Wales </w:t>
      </w:r>
      <w:r w:rsidR="00B528AC">
        <w:rPr>
          <w:szCs w:val="24"/>
        </w:rPr>
        <w:t>Board</w:t>
      </w:r>
      <w:r>
        <w:rPr>
          <w:szCs w:val="24"/>
        </w:rPr>
        <w:t xml:space="preserve"> </w:t>
      </w:r>
      <w:proofErr w:type="gramStart"/>
      <w:r w:rsidRPr="00B736C5">
        <w:rPr>
          <w:szCs w:val="24"/>
        </w:rPr>
        <w:t>is asked</w:t>
      </w:r>
      <w:proofErr w:type="gramEnd"/>
      <w:r w:rsidRPr="00B736C5">
        <w:rPr>
          <w:szCs w:val="24"/>
        </w:rPr>
        <w:t xml:space="preserve"> to</w:t>
      </w:r>
      <w:bookmarkStart w:id="5" w:name="_GoBack"/>
      <w:bookmarkEnd w:id="5"/>
      <w:r w:rsidR="00B528AC">
        <w:rPr>
          <w:szCs w:val="24"/>
        </w:rPr>
        <w:t>:</w:t>
      </w:r>
    </w:p>
    <w:p w14:paraId="17E66303" w14:textId="354E7DA3" w:rsidR="00933AB1" w:rsidRPr="00B528AC" w:rsidRDefault="00B528AC" w:rsidP="00B528AC">
      <w:pPr>
        <w:pStyle w:val="ListParagraph"/>
        <w:numPr>
          <w:ilvl w:val="0"/>
          <w:numId w:val="41"/>
        </w:numPr>
        <w:spacing w:before="240"/>
        <w:jc w:val="both"/>
        <w:rPr>
          <w:szCs w:val="24"/>
        </w:rPr>
      </w:pPr>
      <w:r>
        <w:rPr>
          <w:b/>
          <w:szCs w:val="24"/>
        </w:rPr>
        <w:lastRenderedPageBreak/>
        <w:t>N</w:t>
      </w:r>
      <w:r w:rsidR="00933AB1" w:rsidRPr="00B528AC">
        <w:rPr>
          <w:b/>
          <w:szCs w:val="24"/>
        </w:rPr>
        <w:t>ote</w:t>
      </w:r>
      <w:r w:rsidR="00933AB1" w:rsidRPr="00B528AC">
        <w:rPr>
          <w:szCs w:val="24"/>
        </w:rPr>
        <w:t xml:space="preserve"> the significant progress made in relation to Public Health Wales </w:t>
      </w:r>
      <w:proofErr w:type="spellStart"/>
      <w:r w:rsidR="00933AB1" w:rsidRPr="00B528AC">
        <w:rPr>
          <w:szCs w:val="24"/>
        </w:rPr>
        <w:t>Brexit</w:t>
      </w:r>
      <w:proofErr w:type="spellEnd"/>
      <w:r w:rsidR="00933AB1" w:rsidRPr="00B528AC">
        <w:rPr>
          <w:szCs w:val="24"/>
        </w:rPr>
        <w:t xml:space="preserve"> preparedness, as set out in section</w:t>
      </w:r>
      <w:r w:rsidR="00B21489" w:rsidRPr="00B528AC">
        <w:rPr>
          <w:szCs w:val="24"/>
        </w:rPr>
        <w:t xml:space="preserve"> 3 of this report, </w:t>
      </w:r>
      <w:r w:rsidR="00933AB1" w:rsidRPr="00B528AC">
        <w:rPr>
          <w:szCs w:val="24"/>
        </w:rPr>
        <w:t xml:space="preserve">and receive </w:t>
      </w:r>
      <w:r w:rsidR="00933AB1" w:rsidRPr="00B528AC">
        <w:rPr>
          <w:b/>
          <w:szCs w:val="24"/>
        </w:rPr>
        <w:t>assurance</w:t>
      </w:r>
      <w:r w:rsidR="00933AB1" w:rsidRPr="00B528AC">
        <w:rPr>
          <w:szCs w:val="24"/>
        </w:rPr>
        <w:t xml:space="preserve"> on the arrangements </w:t>
      </w:r>
      <w:proofErr w:type="gramStart"/>
      <w:r w:rsidR="00933AB1" w:rsidRPr="00B528AC">
        <w:rPr>
          <w:szCs w:val="24"/>
        </w:rPr>
        <w:t>being put</w:t>
      </w:r>
      <w:proofErr w:type="gramEnd"/>
      <w:r w:rsidR="00933AB1" w:rsidRPr="00B528AC">
        <w:rPr>
          <w:szCs w:val="24"/>
        </w:rPr>
        <w:t xml:space="preserve"> in place in advance of 31 December 2020. </w:t>
      </w:r>
    </w:p>
    <w:p w14:paraId="74768C71" w14:textId="77777777" w:rsidR="00A977DA" w:rsidRDefault="00A977DA" w:rsidP="00A977DA">
      <w:pPr>
        <w:spacing w:before="240"/>
        <w:jc w:val="center"/>
        <w:rPr>
          <w:b/>
        </w:rPr>
        <w:sectPr w:rsidR="00A977DA" w:rsidSect="00E24001">
          <w:pgSz w:w="11906" w:h="16838"/>
          <w:pgMar w:top="1440" w:right="1440" w:bottom="1440" w:left="1440" w:header="708" w:footer="708" w:gutter="0"/>
          <w:cols w:space="708"/>
          <w:docGrid w:linePitch="360"/>
        </w:sectPr>
      </w:pPr>
    </w:p>
    <w:p w14:paraId="0A65E397" w14:textId="205EEB53" w:rsidR="00E000CA" w:rsidRDefault="00E000CA" w:rsidP="00A977DA">
      <w:pPr>
        <w:spacing w:before="240"/>
        <w:jc w:val="right"/>
        <w:rPr>
          <w:b/>
        </w:rPr>
      </w:pPr>
      <w:r w:rsidRPr="00E000CA">
        <w:rPr>
          <w:b/>
        </w:rPr>
        <w:lastRenderedPageBreak/>
        <w:t>APPENDIX 1</w:t>
      </w:r>
    </w:p>
    <w:p w14:paraId="5F1CD181" w14:textId="1357AB88" w:rsidR="00641332" w:rsidRDefault="00E000CA" w:rsidP="00641332">
      <w:pPr>
        <w:spacing w:before="240"/>
        <w:jc w:val="center"/>
        <w:rPr>
          <w:b/>
          <w:sz w:val="28"/>
          <w:szCs w:val="28"/>
        </w:rPr>
      </w:pPr>
      <w:r w:rsidRPr="00641332">
        <w:rPr>
          <w:b/>
          <w:sz w:val="28"/>
          <w:szCs w:val="28"/>
        </w:rPr>
        <w:t>Health Securities – risk</w:t>
      </w:r>
      <w:r w:rsidR="00641332">
        <w:rPr>
          <w:b/>
          <w:sz w:val="28"/>
          <w:szCs w:val="28"/>
        </w:rPr>
        <w:t xml:space="preserve"> areas and </w:t>
      </w:r>
      <w:r w:rsidRPr="00641332">
        <w:rPr>
          <w:b/>
          <w:sz w:val="28"/>
          <w:szCs w:val="28"/>
        </w:rPr>
        <w:t>mitigations</w:t>
      </w:r>
    </w:p>
    <w:p w14:paraId="255C2C04" w14:textId="16682E18" w:rsidR="00641332" w:rsidRPr="00641332" w:rsidRDefault="00950307" w:rsidP="00641332">
      <w:pPr>
        <w:spacing w:before="240"/>
        <w:jc w:val="center"/>
        <w:rPr>
          <w:b/>
          <w:sz w:val="28"/>
          <w:szCs w:val="28"/>
        </w:rPr>
      </w:pPr>
      <w:proofErr w:type="gramStart"/>
      <w:r>
        <w:rPr>
          <w:b/>
          <w:sz w:val="28"/>
          <w:szCs w:val="28"/>
        </w:rPr>
        <w:t>a</w:t>
      </w:r>
      <w:r w:rsidR="00641332">
        <w:rPr>
          <w:b/>
          <w:sz w:val="28"/>
          <w:szCs w:val="28"/>
        </w:rPr>
        <w:t>s</w:t>
      </w:r>
      <w:proofErr w:type="gramEnd"/>
      <w:r w:rsidR="00641332">
        <w:rPr>
          <w:b/>
          <w:sz w:val="28"/>
          <w:szCs w:val="28"/>
        </w:rPr>
        <w:t xml:space="preserve"> at 12 November 2020</w:t>
      </w:r>
    </w:p>
    <w:p w14:paraId="78A41D3D" w14:textId="45E0EFE7" w:rsidR="00933AB1" w:rsidRDefault="00933AB1" w:rsidP="00E07F66">
      <w:pPr>
        <w:rPr>
          <w:szCs w:val="24"/>
        </w:rPr>
      </w:pPr>
    </w:p>
    <w:tbl>
      <w:tblPr>
        <w:tblStyle w:val="TableGrid"/>
        <w:tblW w:w="0" w:type="auto"/>
        <w:tblLook w:val="04A0" w:firstRow="1" w:lastRow="0" w:firstColumn="1" w:lastColumn="0" w:noHBand="0" w:noVBand="1"/>
      </w:tblPr>
      <w:tblGrid>
        <w:gridCol w:w="2987"/>
        <w:gridCol w:w="4805"/>
        <w:gridCol w:w="4536"/>
        <w:gridCol w:w="1417"/>
      </w:tblGrid>
      <w:tr w:rsidR="00641332" w:rsidRPr="00522A76" w14:paraId="7594CBD0" w14:textId="77777777" w:rsidTr="00641332">
        <w:trPr>
          <w:tblHeader/>
        </w:trPr>
        <w:tc>
          <w:tcPr>
            <w:tcW w:w="2987" w:type="dxa"/>
            <w:shd w:val="clear" w:color="auto" w:fill="FBD4B4" w:themeFill="accent6" w:themeFillTint="66"/>
          </w:tcPr>
          <w:p w14:paraId="2E46802E" w14:textId="77777777" w:rsidR="00641332" w:rsidRPr="00A977DA" w:rsidRDefault="00641332" w:rsidP="00A5047D">
            <w:pPr>
              <w:rPr>
                <w:b/>
                <w:szCs w:val="24"/>
              </w:rPr>
            </w:pPr>
            <w:r w:rsidRPr="00A977DA">
              <w:rPr>
                <w:b/>
                <w:szCs w:val="24"/>
              </w:rPr>
              <w:t>Risk Area</w:t>
            </w:r>
          </w:p>
          <w:p w14:paraId="2AC6E9EA" w14:textId="1EFB6B0C" w:rsidR="00641332" w:rsidRPr="00A977DA" w:rsidRDefault="00641332" w:rsidP="00A5047D">
            <w:pPr>
              <w:rPr>
                <w:b/>
                <w:szCs w:val="24"/>
              </w:rPr>
            </w:pPr>
          </w:p>
        </w:tc>
        <w:tc>
          <w:tcPr>
            <w:tcW w:w="4805" w:type="dxa"/>
            <w:shd w:val="clear" w:color="auto" w:fill="FBD4B4" w:themeFill="accent6" w:themeFillTint="66"/>
          </w:tcPr>
          <w:p w14:paraId="5C8F4B84" w14:textId="3803CD87" w:rsidR="00641332" w:rsidRPr="00A977DA" w:rsidRDefault="00641332" w:rsidP="00A5047D">
            <w:pPr>
              <w:rPr>
                <w:b/>
                <w:szCs w:val="24"/>
              </w:rPr>
            </w:pPr>
            <w:r>
              <w:rPr>
                <w:b/>
                <w:szCs w:val="24"/>
              </w:rPr>
              <w:t>Mitigation</w:t>
            </w:r>
          </w:p>
        </w:tc>
        <w:tc>
          <w:tcPr>
            <w:tcW w:w="4536" w:type="dxa"/>
            <w:shd w:val="clear" w:color="auto" w:fill="FBD4B4" w:themeFill="accent6" w:themeFillTint="66"/>
          </w:tcPr>
          <w:p w14:paraId="0050EA03" w14:textId="77777777" w:rsidR="00641332" w:rsidRPr="00A977DA" w:rsidRDefault="00641332" w:rsidP="00A5047D">
            <w:pPr>
              <w:rPr>
                <w:b/>
                <w:szCs w:val="24"/>
              </w:rPr>
            </w:pPr>
            <w:r w:rsidRPr="00A977DA">
              <w:rPr>
                <w:b/>
                <w:szCs w:val="24"/>
              </w:rPr>
              <w:t>Actions Identified</w:t>
            </w:r>
          </w:p>
        </w:tc>
        <w:tc>
          <w:tcPr>
            <w:tcW w:w="1417" w:type="dxa"/>
            <w:shd w:val="clear" w:color="auto" w:fill="FBD4B4" w:themeFill="accent6" w:themeFillTint="66"/>
          </w:tcPr>
          <w:p w14:paraId="3B2E2D83" w14:textId="77777777" w:rsidR="00641332" w:rsidRPr="00A977DA" w:rsidRDefault="00641332" w:rsidP="00A5047D">
            <w:pPr>
              <w:jc w:val="center"/>
              <w:rPr>
                <w:b/>
                <w:szCs w:val="24"/>
              </w:rPr>
            </w:pPr>
            <w:r w:rsidRPr="00A977DA">
              <w:rPr>
                <w:b/>
                <w:szCs w:val="24"/>
              </w:rPr>
              <w:t>RAG Status</w:t>
            </w:r>
          </w:p>
        </w:tc>
      </w:tr>
      <w:tr w:rsidR="00641332" w:rsidRPr="00522A76" w14:paraId="221BDAA3" w14:textId="77777777" w:rsidTr="00641332">
        <w:tc>
          <w:tcPr>
            <w:tcW w:w="2987" w:type="dxa"/>
          </w:tcPr>
          <w:p w14:paraId="685BCEE4" w14:textId="7B0E7941" w:rsidR="00641332" w:rsidRPr="00522A76" w:rsidRDefault="00641332" w:rsidP="00A5047D">
            <w:pPr>
              <w:rPr>
                <w:b/>
                <w:sz w:val="20"/>
                <w:szCs w:val="20"/>
              </w:rPr>
            </w:pPr>
            <w:r w:rsidRPr="00522A76">
              <w:rPr>
                <w:b/>
                <w:sz w:val="20"/>
                <w:szCs w:val="20"/>
              </w:rPr>
              <w:t>Non centrally procured vaccines</w:t>
            </w:r>
          </w:p>
        </w:tc>
        <w:tc>
          <w:tcPr>
            <w:tcW w:w="4805" w:type="dxa"/>
          </w:tcPr>
          <w:p w14:paraId="4A2BD912" w14:textId="77777777" w:rsidR="008A045C" w:rsidRPr="008A045C" w:rsidRDefault="00641332" w:rsidP="008A045C">
            <w:pPr>
              <w:pStyle w:val="ListParagraph"/>
              <w:numPr>
                <w:ilvl w:val="0"/>
                <w:numId w:val="31"/>
              </w:numPr>
              <w:ind w:left="297" w:hanging="283"/>
              <w:jc w:val="both"/>
              <w:rPr>
                <w:rFonts w:eastAsia="Verdana" w:cs="Verdana"/>
                <w:color w:val="000000" w:themeColor="text1"/>
                <w:kern w:val="24"/>
                <w:sz w:val="20"/>
                <w:szCs w:val="20"/>
              </w:rPr>
            </w:pPr>
            <w:r w:rsidRPr="008A045C">
              <w:rPr>
                <w:rFonts w:eastAsia="Verdana" w:cs="Verdana"/>
                <w:color w:val="000000" w:themeColor="text1"/>
                <w:kern w:val="24"/>
                <w:sz w:val="20"/>
                <w:szCs w:val="20"/>
              </w:rPr>
              <w:t>Public Health England are responsible for the UK supply o</w:t>
            </w:r>
            <w:r w:rsidR="008A045C" w:rsidRPr="008A045C">
              <w:rPr>
                <w:rFonts w:eastAsia="Verdana" w:cs="Verdana"/>
                <w:color w:val="000000" w:themeColor="text1"/>
                <w:kern w:val="24"/>
                <w:sz w:val="20"/>
                <w:szCs w:val="20"/>
              </w:rPr>
              <w:t>f centrally procured vaccines.</w:t>
            </w:r>
          </w:p>
          <w:p w14:paraId="603F954F" w14:textId="1A9B12C5" w:rsidR="00641332" w:rsidRPr="008A045C" w:rsidRDefault="00641332" w:rsidP="008A045C">
            <w:pPr>
              <w:pStyle w:val="ListParagraph"/>
              <w:numPr>
                <w:ilvl w:val="0"/>
                <w:numId w:val="31"/>
              </w:numPr>
              <w:ind w:left="297" w:hanging="283"/>
              <w:jc w:val="both"/>
              <w:rPr>
                <w:sz w:val="20"/>
                <w:szCs w:val="20"/>
              </w:rPr>
            </w:pPr>
            <w:r w:rsidRPr="008A045C">
              <w:rPr>
                <w:rFonts w:eastAsia="Verdana" w:cs="Verdana"/>
                <w:color w:val="000000" w:themeColor="text1"/>
                <w:kern w:val="24"/>
                <w:sz w:val="20"/>
                <w:szCs w:val="20"/>
              </w:rPr>
              <w:t>Assurance has been received that there is enough stockpile to last 6 months</w:t>
            </w:r>
          </w:p>
        </w:tc>
        <w:tc>
          <w:tcPr>
            <w:tcW w:w="4536" w:type="dxa"/>
          </w:tcPr>
          <w:p w14:paraId="024FCFE5" w14:textId="77777777" w:rsidR="00641332" w:rsidRPr="00522A76" w:rsidRDefault="00641332" w:rsidP="00A5047D">
            <w:pPr>
              <w:rPr>
                <w:sz w:val="20"/>
                <w:szCs w:val="20"/>
              </w:rPr>
            </w:pPr>
            <w:r>
              <w:rPr>
                <w:sz w:val="20"/>
                <w:szCs w:val="20"/>
              </w:rPr>
              <w:t>Reconfirm assurance with PHE</w:t>
            </w:r>
          </w:p>
        </w:tc>
        <w:tc>
          <w:tcPr>
            <w:tcW w:w="1417" w:type="dxa"/>
            <w:shd w:val="clear" w:color="auto" w:fill="00B050"/>
          </w:tcPr>
          <w:p w14:paraId="4AE72FA6" w14:textId="77777777" w:rsidR="00641332" w:rsidRPr="00522A76" w:rsidRDefault="00641332" w:rsidP="00A5047D">
            <w:pPr>
              <w:jc w:val="center"/>
              <w:rPr>
                <w:sz w:val="20"/>
                <w:szCs w:val="20"/>
              </w:rPr>
            </w:pPr>
          </w:p>
        </w:tc>
      </w:tr>
      <w:tr w:rsidR="00641332" w:rsidRPr="00522A76" w14:paraId="72F0E2FA" w14:textId="77777777" w:rsidTr="00641332">
        <w:tc>
          <w:tcPr>
            <w:tcW w:w="2987" w:type="dxa"/>
          </w:tcPr>
          <w:p w14:paraId="219F55D7" w14:textId="77777777" w:rsidR="00641332" w:rsidRPr="00522A76" w:rsidRDefault="00641332" w:rsidP="00A5047D">
            <w:pPr>
              <w:rPr>
                <w:b/>
                <w:sz w:val="20"/>
                <w:szCs w:val="20"/>
              </w:rPr>
            </w:pPr>
            <w:r w:rsidRPr="00522A76">
              <w:rPr>
                <w:b/>
                <w:sz w:val="20"/>
                <w:szCs w:val="20"/>
              </w:rPr>
              <w:t>Centrally procured vaccines</w:t>
            </w:r>
          </w:p>
        </w:tc>
        <w:tc>
          <w:tcPr>
            <w:tcW w:w="4805" w:type="dxa"/>
          </w:tcPr>
          <w:p w14:paraId="1A0D3AF4" w14:textId="77777777" w:rsidR="00641332" w:rsidRPr="008A045C" w:rsidRDefault="003E2226" w:rsidP="008A045C">
            <w:pPr>
              <w:pStyle w:val="ListParagraph"/>
              <w:numPr>
                <w:ilvl w:val="0"/>
                <w:numId w:val="31"/>
              </w:numPr>
              <w:ind w:left="297" w:hanging="283"/>
              <w:jc w:val="both"/>
              <w:rPr>
                <w:rFonts w:eastAsia="Verdana" w:cs="Verdana"/>
                <w:color w:val="000000" w:themeColor="text1"/>
                <w:kern w:val="24"/>
                <w:sz w:val="20"/>
                <w:szCs w:val="20"/>
                <w:lang w:eastAsia="en-GB"/>
              </w:rPr>
            </w:pPr>
            <w:r w:rsidRPr="008A045C">
              <w:rPr>
                <w:rFonts w:eastAsia="Verdana" w:cs="Verdana"/>
                <w:color w:val="000000" w:themeColor="text1"/>
                <w:kern w:val="24"/>
                <w:sz w:val="20"/>
                <w:szCs w:val="20"/>
                <w:lang w:eastAsia="en-GB"/>
              </w:rPr>
              <w:t>The responsibility for the supply of non-centrally procured</w:t>
            </w:r>
            <w:r w:rsidR="00641332" w:rsidRPr="008A045C">
              <w:rPr>
                <w:rFonts w:eastAsia="Verdana" w:cs="Verdana"/>
                <w:color w:val="000000" w:themeColor="text1"/>
                <w:kern w:val="24"/>
                <w:sz w:val="20"/>
                <w:szCs w:val="20"/>
                <w:lang w:eastAsia="en-GB"/>
              </w:rPr>
              <w:t xml:space="preserve"> vaccines remains with the UK Government. </w:t>
            </w:r>
          </w:p>
          <w:p w14:paraId="1A958642" w14:textId="45925680" w:rsidR="00641332" w:rsidRPr="008A045C" w:rsidRDefault="003E2226" w:rsidP="008A045C">
            <w:pPr>
              <w:pStyle w:val="ListParagraph"/>
              <w:numPr>
                <w:ilvl w:val="0"/>
                <w:numId w:val="31"/>
              </w:numPr>
              <w:ind w:left="297" w:hanging="283"/>
              <w:jc w:val="both"/>
              <w:rPr>
                <w:rFonts w:ascii="Times New Roman" w:eastAsia="Times New Roman" w:hAnsi="Times New Roman" w:cs="Times New Roman"/>
                <w:color w:val="000000" w:themeColor="text1"/>
                <w:sz w:val="20"/>
                <w:szCs w:val="20"/>
                <w:lang w:eastAsia="en-GB"/>
              </w:rPr>
            </w:pPr>
            <w:proofErr w:type="gramStart"/>
            <w:r w:rsidRPr="008A045C">
              <w:rPr>
                <w:rFonts w:eastAsia="Verdana" w:cs="Verdana"/>
                <w:color w:val="000000" w:themeColor="text1"/>
                <w:kern w:val="24"/>
                <w:sz w:val="20"/>
                <w:szCs w:val="20"/>
                <w:lang w:eastAsia="en-GB"/>
              </w:rPr>
              <w:t xml:space="preserve">Assurance </w:t>
            </w:r>
            <w:r w:rsidR="00641332" w:rsidRPr="008A045C">
              <w:rPr>
                <w:rFonts w:eastAsia="Verdana" w:cs="Verdana"/>
                <w:color w:val="000000" w:themeColor="text1"/>
                <w:kern w:val="24"/>
                <w:sz w:val="20"/>
                <w:szCs w:val="20"/>
                <w:lang w:eastAsia="en-GB"/>
              </w:rPr>
              <w:t xml:space="preserve">has </w:t>
            </w:r>
            <w:r w:rsidRPr="008A045C">
              <w:rPr>
                <w:rFonts w:eastAsia="Verdana" w:cs="Verdana"/>
                <w:color w:val="000000" w:themeColor="text1"/>
                <w:kern w:val="24"/>
                <w:sz w:val="20"/>
                <w:szCs w:val="20"/>
                <w:lang w:eastAsia="en-GB"/>
              </w:rPr>
              <w:t>be</w:t>
            </w:r>
            <w:r w:rsidR="00641332" w:rsidRPr="008A045C">
              <w:rPr>
                <w:rFonts w:eastAsia="Verdana" w:cs="Verdana"/>
                <w:color w:val="000000" w:themeColor="text1"/>
                <w:kern w:val="24"/>
                <w:sz w:val="20"/>
                <w:szCs w:val="20"/>
                <w:lang w:eastAsia="en-GB"/>
              </w:rPr>
              <w:t xml:space="preserve">en received by Welsh Government </w:t>
            </w:r>
            <w:r w:rsidRPr="008A045C">
              <w:rPr>
                <w:rFonts w:eastAsia="Verdana" w:cs="Verdana"/>
                <w:color w:val="000000" w:themeColor="text1"/>
                <w:kern w:val="24"/>
                <w:sz w:val="20"/>
                <w:szCs w:val="20"/>
                <w:lang w:eastAsia="en-GB"/>
              </w:rPr>
              <w:t xml:space="preserve">officials (from Department of Health and Social Care) that </w:t>
            </w:r>
            <w:r w:rsidR="00641332" w:rsidRPr="008A045C">
              <w:rPr>
                <w:rFonts w:eastAsia="Verdana" w:cs="Verdana"/>
                <w:color w:val="000000" w:themeColor="text1"/>
                <w:kern w:val="24"/>
                <w:sz w:val="20"/>
                <w:szCs w:val="20"/>
                <w:lang w:eastAsia="en-GB"/>
              </w:rPr>
              <w:t xml:space="preserve">appropriate supply arrangements </w:t>
            </w:r>
            <w:r w:rsidRPr="008A045C">
              <w:rPr>
                <w:rFonts w:eastAsia="Verdana" w:cs="Verdana"/>
                <w:color w:val="000000" w:themeColor="text1"/>
                <w:kern w:val="24"/>
                <w:sz w:val="20"/>
                <w:szCs w:val="20"/>
                <w:lang w:eastAsia="en-GB"/>
              </w:rPr>
              <w:t>are in place</w:t>
            </w:r>
            <w:proofErr w:type="gramEnd"/>
            <w:r w:rsidRPr="008A045C">
              <w:rPr>
                <w:rFonts w:eastAsia="Verdana" w:cs="Verdana"/>
                <w:color w:val="000000" w:themeColor="text1"/>
                <w:kern w:val="24"/>
                <w:sz w:val="20"/>
                <w:szCs w:val="20"/>
                <w:lang w:eastAsia="en-GB"/>
              </w:rPr>
              <w:t xml:space="preserve"> and there are currently no</w:t>
            </w:r>
            <w:r w:rsidR="00641332" w:rsidRPr="008A045C">
              <w:rPr>
                <w:rFonts w:eastAsia="Verdana" w:cs="Verdana"/>
                <w:color w:val="000000" w:themeColor="text1"/>
                <w:kern w:val="24"/>
                <w:sz w:val="20"/>
                <w:szCs w:val="20"/>
                <w:lang w:eastAsia="en-GB"/>
              </w:rPr>
              <w:t xml:space="preserve"> </w:t>
            </w:r>
            <w:r w:rsidRPr="008A045C">
              <w:rPr>
                <w:rFonts w:eastAsia="Verdana" w:cs="Verdana"/>
                <w:color w:val="000000" w:themeColor="text1"/>
                <w:kern w:val="24"/>
                <w:sz w:val="20"/>
                <w:szCs w:val="20"/>
                <w:lang w:eastAsia="en-GB"/>
              </w:rPr>
              <w:t xml:space="preserve">vaccine shortages. </w:t>
            </w:r>
          </w:p>
        </w:tc>
        <w:tc>
          <w:tcPr>
            <w:tcW w:w="4536" w:type="dxa"/>
          </w:tcPr>
          <w:p w14:paraId="754C49A5" w14:textId="77777777" w:rsidR="00641332" w:rsidRPr="00522A76" w:rsidRDefault="00641332" w:rsidP="00A977DA">
            <w:pPr>
              <w:jc w:val="both"/>
              <w:rPr>
                <w:sz w:val="20"/>
                <w:szCs w:val="20"/>
              </w:rPr>
            </w:pPr>
            <w:r>
              <w:rPr>
                <w:rFonts w:eastAsia="Verdana"/>
                <w:sz w:val="20"/>
                <w:szCs w:val="20"/>
              </w:rPr>
              <w:t>Re</w:t>
            </w:r>
            <w:r w:rsidRPr="00522A76">
              <w:rPr>
                <w:rFonts w:eastAsia="Verdana"/>
                <w:sz w:val="20"/>
                <w:szCs w:val="20"/>
              </w:rPr>
              <w:t>confirming assurance with C</w:t>
            </w:r>
            <w:r>
              <w:rPr>
                <w:rFonts w:eastAsia="Verdana"/>
                <w:sz w:val="20"/>
                <w:szCs w:val="20"/>
              </w:rPr>
              <w:t>hief Pharmacist’s O</w:t>
            </w:r>
            <w:r w:rsidRPr="00522A76">
              <w:rPr>
                <w:rFonts w:eastAsia="Verdana"/>
                <w:sz w:val="20"/>
                <w:szCs w:val="20"/>
              </w:rPr>
              <w:t>ffice, W</w:t>
            </w:r>
            <w:r>
              <w:rPr>
                <w:rFonts w:eastAsia="Verdana"/>
                <w:sz w:val="20"/>
                <w:szCs w:val="20"/>
              </w:rPr>
              <w:t>elsh Government</w:t>
            </w:r>
          </w:p>
        </w:tc>
        <w:tc>
          <w:tcPr>
            <w:tcW w:w="1417" w:type="dxa"/>
            <w:shd w:val="clear" w:color="auto" w:fill="00B050"/>
          </w:tcPr>
          <w:p w14:paraId="0AB23D93" w14:textId="77777777" w:rsidR="00641332" w:rsidRPr="00522A76" w:rsidRDefault="00641332" w:rsidP="00A5047D">
            <w:pPr>
              <w:jc w:val="center"/>
              <w:rPr>
                <w:sz w:val="20"/>
                <w:szCs w:val="20"/>
              </w:rPr>
            </w:pPr>
          </w:p>
        </w:tc>
      </w:tr>
      <w:tr w:rsidR="00641332" w:rsidRPr="00522A76" w14:paraId="16B0A60D" w14:textId="77777777" w:rsidTr="00641332">
        <w:tc>
          <w:tcPr>
            <w:tcW w:w="2987" w:type="dxa"/>
          </w:tcPr>
          <w:p w14:paraId="1E4081F7" w14:textId="77777777" w:rsidR="00641332" w:rsidRPr="00522A76" w:rsidRDefault="00641332" w:rsidP="00A5047D">
            <w:pPr>
              <w:rPr>
                <w:b/>
                <w:sz w:val="20"/>
                <w:szCs w:val="20"/>
              </w:rPr>
            </w:pPr>
            <w:r w:rsidRPr="00522A76">
              <w:rPr>
                <w:b/>
                <w:sz w:val="20"/>
                <w:szCs w:val="20"/>
              </w:rPr>
              <w:t>Port Health</w:t>
            </w:r>
          </w:p>
        </w:tc>
        <w:tc>
          <w:tcPr>
            <w:tcW w:w="4805" w:type="dxa"/>
          </w:tcPr>
          <w:p w14:paraId="4B30460F" w14:textId="77777777" w:rsidR="008A045C" w:rsidRPr="008A045C" w:rsidRDefault="000443FE" w:rsidP="008A045C">
            <w:pPr>
              <w:pStyle w:val="ListParagraph"/>
              <w:numPr>
                <w:ilvl w:val="0"/>
                <w:numId w:val="31"/>
              </w:numPr>
              <w:ind w:left="297" w:hanging="283"/>
              <w:jc w:val="both"/>
              <w:rPr>
                <w:rFonts w:eastAsia="Verdana" w:cs="Verdana"/>
                <w:color w:val="000000" w:themeColor="text1"/>
                <w:kern w:val="24"/>
                <w:sz w:val="20"/>
                <w:szCs w:val="20"/>
                <w:lang w:eastAsia="en-GB"/>
              </w:rPr>
            </w:pPr>
            <w:r w:rsidRPr="008A045C">
              <w:rPr>
                <w:rFonts w:eastAsia="Verdana" w:cs="Verdana"/>
                <w:color w:val="000000" w:themeColor="text1"/>
                <w:kern w:val="24"/>
                <w:sz w:val="20"/>
                <w:szCs w:val="20"/>
                <w:lang w:eastAsia="en-GB"/>
              </w:rPr>
              <w:t>All Health Protection Team consultants</w:t>
            </w:r>
            <w:r w:rsidR="008A045C" w:rsidRPr="008A045C">
              <w:rPr>
                <w:rFonts w:eastAsia="Verdana" w:cs="Verdana"/>
                <w:color w:val="000000" w:themeColor="text1"/>
                <w:kern w:val="24"/>
                <w:sz w:val="20"/>
                <w:szCs w:val="20"/>
                <w:lang w:eastAsia="en-GB"/>
              </w:rPr>
              <w:t xml:space="preserve"> are designated port officers.</w:t>
            </w:r>
          </w:p>
          <w:p w14:paraId="1D8B14F9" w14:textId="330B14F8" w:rsidR="000443FE" w:rsidRPr="008A045C" w:rsidRDefault="000443FE" w:rsidP="008A045C">
            <w:pPr>
              <w:pStyle w:val="ListParagraph"/>
              <w:numPr>
                <w:ilvl w:val="0"/>
                <w:numId w:val="31"/>
              </w:numPr>
              <w:ind w:left="297" w:hanging="283"/>
              <w:jc w:val="both"/>
              <w:rPr>
                <w:rFonts w:ascii="Times New Roman" w:eastAsia="Times New Roman" w:hAnsi="Times New Roman" w:cs="Times New Roman"/>
                <w:color w:val="000000" w:themeColor="text1"/>
                <w:sz w:val="20"/>
                <w:szCs w:val="20"/>
                <w:lang w:eastAsia="en-GB"/>
              </w:rPr>
            </w:pPr>
            <w:r w:rsidRPr="008A045C">
              <w:rPr>
                <w:rFonts w:eastAsia="Verdana" w:cs="Verdana"/>
                <w:color w:val="000000" w:themeColor="text1"/>
                <w:kern w:val="24"/>
                <w:sz w:val="20"/>
                <w:szCs w:val="20"/>
                <w:lang w:eastAsia="en-GB"/>
              </w:rPr>
              <w:t>A Port Health Expert Panel exists and is monitoring port health needs continuously.</w:t>
            </w:r>
          </w:p>
          <w:p w14:paraId="7BB060F5" w14:textId="0B4BBDD5" w:rsidR="000443FE" w:rsidRPr="008A045C" w:rsidRDefault="000443FE" w:rsidP="008A045C">
            <w:pPr>
              <w:pStyle w:val="ListParagraph"/>
              <w:numPr>
                <w:ilvl w:val="0"/>
                <w:numId w:val="31"/>
              </w:numPr>
              <w:ind w:left="297" w:hanging="283"/>
              <w:jc w:val="both"/>
              <w:rPr>
                <w:rFonts w:ascii="Times New Roman" w:eastAsia="Times New Roman" w:hAnsi="Times New Roman" w:cs="Times New Roman"/>
                <w:color w:val="000000" w:themeColor="text1"/>
                <w:sz w:val="20"/>
                <w:szCs w:val="20"/>
                <w:lang w:eastAsia="en-GB"/>
              </w:rPr>
            </w:pPr>
            <w:r w:rsidRPr="008A045C">
              <w:rPr>
                <w:rFonts w:eastAsia="Verdana" w:cs="Verdana"/>
                <w:color w:val="000000" w:themeColor="text1"/>
                <w:kern w:val="24"/>
                <w:sz w:val="20"/>
                <w:szCs w:val="20"/>
                <w:lang w:eastAsia="en-GB"/>
              </w:rPr>
              <w:t>Cardiff airport capabilities assessed using the International Health Regulations (IHR) State self-assessment reporting tool in February 2019, along with all other UK designated points of entry.</w:t>
            </w:r>
          </w:p>
          <w:p w14:paraId="3C4137C9" w14:textId="77777777" w:rsidR="008A045C" w:rsidRPr="008A045C" w:rsidRDefault="00641332" w:rsidP="008A045C">
            <w:pPr>
              <w:pStyle w:val="ListParagraph"/>
              <w:numPr>
                <w:ilvl w:val="0"/>
                <w:numId w:val="31"/>
              </w:numPr>
              <w:ind w:left="297" w:hanging="283"/>
              <w:jc w:val="both"/>
              <w:rPr>
                <w:rFonts w:eastAsia="Verdana" w:cs="Verdana"/>
                <w:color w:val="000000" w:themeColor="text1"/>
                <w:kern w:val="24"/>
                <w:sz w:val="20"/>
                <w:szCs w:val="20"/>
                <w:lang w:eastAsia="en-GB"/>
              </w:rPr>
            </w:pPr>
            <w:r w:rsidRPr="008A045C">
              <w:rPr>
                <w:rFonts w:eastAsia="Verdana" w:cs="Verdana"/>
                <w:color w:val="000000" w:themeColor="text1"/>
                <w:kern w:val="24"/>
                <w:sz w:val="20"/>
                <w:szCs w:val="20"/>
                <w:lang w:eastAsia="en-GB"/>
              </w:rPr>
              <w:t>In Wales, all Port Health Authorities, PHW, FSA and WG are members of</w:t>
            </w:r>
            <w:r w:rsidR="008A045C" w:rsidRPr="008A045C">
              <w:rPr>
                <w:rFonts w:eastAsia="Verdana" w:cs="Verdana"/>
                <w:color w:val="000000" w:themeColor="text1"/>
                <w:kern w:val="24"/>
                <w:sz w:val="20"/>
                <w:szCs w:val="20"/>
                <w:lang w:eastAsia="en-GB"/>
              </w:rPr>
              <w:t xml:space="preserve"> the Port Health Expert Panel.</w:t>
            </w:r>
          </w:p>
          <w:p w14:paraId="7DCE744D" w14:textId="258A0DD4" w:rsidR="00641332" w:rsidRPr="008A045C" w:rsidRDefault="00641332" w:rsidP="008A045C">
            <w:pPr>
              <w:pStyle w:val="ListParagraph"/>
              <w:numPr>
                <w:ilvl w:val="0"/>
                <w:numId w:val="31"/>
              </w:numPr>
              <w:ind w:left="297" w:hanging="283"/>
              <w:jc w:val="both"/>
              <w:rPr>
                <w:sz w:val="20"/>
                <w:szCs w:val="20"/>
              </w:rPr>
            </w:pPr>
            <w:r w:rsidRPr="008A045C">
              <w:rPr>
                <w:rFonts w:eastAsia="Verdana" w:cs="Verdana"/>
                <w:color w:val="000000" w:themeColor="text1"/>
                <w:kern w:val="24"/>
                <w:sz w:val="20"/>
                <w:szCs w:val="20"/>
                <w:lang w:eastAsia="en-GB"/>
              </w:rPr>
              <w:lastRenderedPageBreak/>
              <w:t xml:space="preserve">Impact of </w:t>
            </w:r>
            <w:proofErr w:type="spellStart"/>
            <w:r w:rsidRPr="008A045C">
              <w:rPr>
                <w:rFonts w:eastAsia="Verdana" w:cs="Verdana"/>
                <w:color w:val="000000" w:themeColor="text1"/>
                <w:kern w:val="24"/>
                <w:sz w:val="20"/>
                <w:szCs w:val="20"/>
                <w:lang w:eastAsia="en-GB"/>
              </w:rPr>
              <w:t>Brexit</w:t>
            </w:r>
            <w:proofErr w:type="spellEnd"/>
            <w:r w:rsidRPr="008A045C">
              <w:rPr>
                <w:rFonts w:eastAsia="Verdana" w:cs="Verdana"/>
                <w:color w:val="000000" w:themeColor="text1"/>
                <w:kern w:val="24"/>
                <w:sz w:val="20"/>
                <w:szCs w:val="20"/>
                <w:lang w:eastAsia="en-GB"/>
              </w:rPr>
              <w:t xml:space="preserve"> (deal or no deal) on movement of people across points of entry still thought to be negligible to none in Wales</w:t>
            </w:r>
          </w:p>
        </w:tc>
        <w:tc>
          <w:tcPr>
            <w:tcW w:w="4536" w:type="dxa"/>
          </w:tcPr>
          <w:p w14:paraId="123A8030" w14:textId="77777777" w:rsidR="00641332" w:rsidRDefault="00641332" w:rsidP="00A977DA">
            <w:pPr>
              <w:jc w:val="both"/>
              <w:rPr>
                <w:rFonts w:eastAsia="Verdana"/>
                <w:color w:val="000000" w:themeColor="text1"/>
                <w:sz w:val="20"/>
                <w:szCs w:val="20"/>
              </w:rPr>
            </w:pPr>
            <w:r w:rsidRPr="000443FE">
              <w:rPr>
                <w:rFonts w:eastAsia="Verdana"/>
                <w:color w:val="000000" w:themeColor="text1"/>
                <w:sz w:val="20"/>
                <w:szCs w:val="20"/>
              </w:rPr>
              <w:lastRenderedPageBreak/>
              <w:t>PHW seeking additional assurance from PHE regarding the IHR assessment and position since February 2019</w:t>
            </w:r>
          </w:p>
          <w:p w14:paraId="4C97BDA7" w14:textId="77777777" w:rsidR="00641332" w:rsidRDefault="00641332" w:rsidP="00A977DA">
            <w:pPr>
              <w:jc w:val="both"/>
              <w:rPr>
                <w:rFonts w:eastAsia="Verdana"/>
                <w:color w:val="000000" w:themeColor="text1"/>
                <w:sz w:val="20"/>
                <w:szCs w:val="20"/>
              </w:rPr>
            </w:pPr>
          </w:p>
          <w:p w14:paraId="57E94623" w14:textId="77777777" w:rsidR="00641332" w:rsidRDefault="00641332" w:rsidP="000443FE">
            <w:pPr>
              <w:jc w:val="both"/>
              <w:rPr>
                <w:rFonts w:eastAsia="Verdana"/>
                <w:color w:val="000000" w:themeColor="text1"/>
                <w:sz w:val="20"/>
                <w:szCs w:val="20"/>
              </w:rPr>
            </w:pPr>
            <w:r>
              <w:rPr>
                <w:rFonts w:eastAsia="Verdana"/>
                <w:color w:val="000000" w:themeColor="text1"/>
                <w:sz w:val="20"/>
                <w:szCs w:val="20"/>
              </w:rPr>
              <w:t>Update requested in relation to Port Health Panel</w:t>
            </w:r>
          </w:p>
          <w:p w14:paraId="39381E72" w14:textId="77777777" w:rsidR="00641332" w:rsidRDefault="00641332" w:rsidP="000443FE">
            <w:pPr>
              <w:jc w:val="both"/>
              <w:rPr>
                <w:rFonts w:eastAsia="Verdana"/>
                <w:color w:val="000000" w:themeColor="text1"/>
                <w:sz w:val="20"/>
                <w:szCs w:val="20"/>
              </w:rPr>
            </w:pPr>
          </w:p>
          <w:p w14:paraId="74509BBD" w14:textId="6191F1E7" w:rsidR="00641332" w:rsidRPr="000443FE" w:rsidRDefault="00641332" w:rsidP="000443FE">
            <w:pPr>
              <w:jc w:val="both"/>
              <w:rPr>
                <w:sz w:val="20"/>
                <w:szCs w:val="20"/>
              </w:rPr>
            </w:pPr>
            <w:r>
              <w:rPr>
                <w:rFonts w:eastAsia="Verdana"/>
                <w:color w:val="000000" w:themeColor="text1"/>
                <w:sz w:val="20"/>
                <w:szCs w:val="20"/>
              </w:rPr>
              <w:t>Assurance update requested from DPPW</w:t>
            </w:r>
          </w:p>
        </w:tc>
        <w:tc>
          <w:tcPr>
            <w:tcW w:w="1417" w:type="dxa"/>
            <w:shd w:val="clear" w:color="auto" w:fill="00B050"/>
          </w:tcPr>
          <w:p w14:paraId="5373A5E8" w14:textId="77777777" w:rsidR="00641332" w:rsidRPr="00522A76" w:rsidRDefault="00641332" w:rsidP="00A5047D">
            <w:pPr>
              <w:jc w:val="center"/>
              <w:rPr>
                <w:sz w:val="20"/>
                <w:szCs w:val="20"/>
              </w:rPr>
            </w:pPr>
          </w:p>
        </w:tc>
      </w:tr>
      <w:tr w:rsidR="00641332" w:rsidRPr="00522A76" w14:paraId="0542E18A" w14:textId="77777777" w:rsidTr="00641332">
        <w:tc>
          <w:tcPr>
            <w:tcW w:w="2987" w:type="dxa"/>
          </w:tcPr>
          <w:p w14:paraId="11DF025D" w14:textId="77777777" w:rsidR="00641332" w:rsidRPr="00522A76" w:rsidRDefault="00641332" w:rsidP="00A5047D">
            <w:pPr>
              <w:rPr>
                <w:b/>
                <w:sz w:val="20"/>
                <w:szCs w:val="20"/>
              </w:rPr>
            </w:pPr>
            <w:r w:rsidRPr="00522A76">
              <w:rPr>
                <w:b/>
                <w:sz w:val="20"/>
                <w:szCs w:val="20"/>
              </w:rPr>
              <w:t>Training and Capability</w:t>
            </w:r>
          </w:p>
        </w:tc>
        <w:tc>
          <w:tcPr>
            <w:tcW w:w="4805" w:type="dxa"/>
          </w:tcPr>
          <w:p w14:paraId="13351D41" w14:textId="58AC703C" w:rsidR="00641332" w:rsidRPr="008A045C" w:rsidRDefault="00641332" w:rsidP="008A045C">
            <w:pPr>
              <w:pStyle w:val="ListParagraph"/>
              <w:numPr>
                <w:ilvl w:val="0"/>
                <w:numId w:val="32"/>
              </w:numPr>
              <w:ind w:left="297" w:hanging="297"/>
              <w:jc w:val="both"/>
              <w:rPr>
                <w:sz w:val="20"/>
                <w:szCs w:val="20"/>
              </w:rPr>
            </w:pPr>
            <w:r w:rsidRPr="008A045C">
              <w:rPr>
                <w:rFonts w:eastAsia="Verdana"/>
                <w:sz w:val="20"/>
                <w:szCs w:val="20"/>
                <w:lang w:eastAsia="en-GB"/>
              </w:rPr>
              <w:t>UK Field Epidemiology Training programme funded to April 2021 and further supported by general COVID-19 funding</w:t>
            </w:r>
          </w:p>
        </w:tc>
        <w:tc>
          <w:tcPr>
            <w:tcW w:w="4536" w:type="dxa"/>
          </w:tcPr>
          <w:p w14:paraId="77B00EEA" w14:textId="106B5480" w:rsidR="00641332" w:rsidRPr="00A977DA" w:rsidRDefault="00641332" w:rsidP="00B9529A">
            <w:pPr>
              <w:jc w:val="both"/>
              <w:rPr>
                <w:sz w:val="20"/>
                <w:szCs w:val="20"/>
              </w:rPr>
            </w:pPr>
            <w:r>
              <w:rPr>
                <w:sz w:val="20"/>
                <w:szCs w:val="20"/>
              </w:rPr>
              <w:t>n/a</w:t>
            </w:r>
          </w:p>
        </w:tc>
        <w:tc>
          <w:tcPr>
            <w:tcW w:w="1417" w:type="dxa"/>
            <w:shd w:val="clear" w:color="auto" w:fill="00B050"/>
          </w:tcPr>
          <w:p w14:paraId="38393213" w14:textId="77777777" w:rsidR="00641332" w:rsidRPr="00522A76" w:rsidRDefault="00641332" w:rsidP="00A5047D">
            <w:pPr>
              <w:jc w:val="center"/>
              <w:rPr>
                <w:sz w:val="20"/>
                <w:szCs w:val="20"/>
              </w:rPr>
            </w:pPr>
          </w:p>
        </w:tc>
      </w:tr>
      <w:tr w:rsidR="00641332" w:rsidRPr="00522A76" w14:paraId="365D474A" w14:textId="77777777" w:rsidTr="00641332">
        <w:tc>
          <w:tcPr>
            <w:tcW w:w="2987" w:type="dxa"/>
          </w:tcPr>
          <w:p w14:paraId="18E34D46" w14:textId="135C4F08" w:rsidR="00641332" w:rsidRPr="00522A76" w:rsidRDefault="00641332" w:rsidP="00D86745">
            <w:pPr>
              <w:rPr>
                <w:b/>
                <w:sz w:val="20"/>
                <w:szCs w:val="20"/>
              </w:rPr>
            </w:pPr>
            <w:r w:rsidRPr="00522A76">
              <w:rPr>
                <w:b/>
                <w:sz w:val="20"/>
                <w:szCs w:val="20"/>
              </w:rPr>
              <w:t>Training and Capability</w:t>
            </w:r>
          </w:p>
        </w:tc>
        <w:tc>
          <w:tcPr>
            <w:tcW w:w="4805" w:type="dxa"/>
          </w:tcPr>
          <w:p w14:paraId="3293695E" w14:textId="54C32C5B" w:rsidR="00641332" w:rsidRPr="008A045C" w:rsidRDefault="00641332" w:rsidP="008A045C">
            <w:pPr>
              <w:pStyle w:val="ListParagraph"/>
              <w:numPr>
                <w:ilvl w:val="0"/>
                <w:numId w:val="32"/>
              </w:numPr>
              <w:ind w:left="297" w:hanging="297"/>
              <w:jc w:val="both"/>
              <w:rPr>
                <w:sz w:val="20"/>
                <w:szCs w:val="20"/>
              </w:rPr>
            </w:pPr>
            <w:r w:rsidRPr="008A045C">
              <w:rPr>
                <w:rFonts w:eastAsia="Verdana"/>
                <w:sz w:val="20"/>
                <w:szCs w:val="20"/>
              </w:rPr>
              <w:t>Early termination of contract with ECDC for PHW Scientific Co-ordinator position in the</w:t>
            </w:r>
            <w:r w:rsidR="008A045C" w:rsidRPr="008A045C">
              <w:rPr>
                <w:rFonts w:eastAsia="Verdana"/>
                <w:sz w:val="20"/>
                <w:szCs w:val="20"/>
              </w:rPr>
              <w:t xml:space="preserve"> event of a no-deal </w:t>
            </w:r>
            <w:proofErr w:type="spellStart"/>
            <w:r w:rsidR="008A045C" w:rsidRPr="008A045C">
              <w:rPr>
                <w:rFonts w:eastAsia="Verdana"/>
                <w:sz w:val="20"/>
                <w:szCs w:val="20"/>
              </w:rPr>
              <w:t>Brexit</w:t>
            </w:r>
            <w:proofErr w:type="spellEnd"/>
            <w:r w:rsidR="008A045C" w:rsidRPr="008A045C">
              <w:rPr>
                <w:rFonts w:eastAsia="Verdana"/>
                <w:sz w:val="20"/>
                <w:szCs w:val="20"/>
              </w:rPr>
              <w:t xml:space="preserve"> on 1 December 2020</w:t>
            </w:r>
          </w:p>
        </w:tc>
        <w:tc>
          <w:tcPr>
            <w:tcW w:w="4536" w:type="dxa"/>
          </w:tcPr>
          <w:p w14:paraId="5C3DFD29" w14:textId="219D1998" w:rsidR="00641332" w:rsidRPr="00A977DA" w:rsidRDefault="00641332" w:rsidP="00B9529A">
            <w:pPr>
              <w:jc w:val="both"/>
              <w:rPr>
                <w:rFonts w:eastAsia="Verdana"/>
                <w:sz w:val="20"/>
                <w:szCs w:val="20"/>
              </w:rPr>
            </w:pPr>
            <w:r>
              <w:rPr>
                <w:rFonts w:eastAsia="Verdana"/>
                <w:sz w:val="20"/>
                <w:szCs w:val="20"/>
              </w:rPr>
              <w:t>M</w:t>
            </w:r>
            <w:r w:rsidRPr="00D86745">
              <w:rPr>
                <w:rFonts w:eastAsia="Verdana"/>
                <w:sz w:val="20"/>
                <w:szCs w:val="20"/>
              </w:rPr>
              <w:t>ay still happen</w:t>
            </w:r>
            <w:r>
              <w:rPr>
                <w:rFonts w:eastAsia="Verdana"/>
                <w:sz w:val="20"/>
                <w:szCs w:val="20"/>
              </w:rPr>
              <w:t xml:space="preserve">; </w:t>
            </w:r>
            <w:r w:rsidRPr="00D86745">
              <w:rPr>
                <w:rFonts w:eastAsia="Verdana"/>
                <w:sz w:val="20"/>
                <w:szCs w:val="20"/>
              </w:rPr>
              <w:t>impact</w:t>
            </w:r>
            <w:r>
              <w:rPr>
                <w:rFonts w:eastAsia="Verdana"/>
                <w:sz w:val="20"/>
                <w:szCs w:val="20"/>
              </w:rPr>
              <w:t xml:space="preserve"> considered</w:t>
            </w:r>
            <w:r w:rsidRPr="00D86745">
              <w:rPr>
                <w:rFonts w:eastAsia="Verdana"/>
                <w:sz w:val="20"/>
                <w:szCs w:val="20"/>
              </w:rPr>
              <w:t xml:space="preserve"> </w:t>
            </w:r>
            <w:r>
              <w:rPr>
                <w:rFonts w:eastAsia="Verdana"/>
                <w:sz w:val="20"/>
                <w:szCs w:val="20"/>
              </w:rPr>
              <w:t>minimal</w:t>
            </w:r>
          </w:p>
        </w:tc>
        <w:tc>
          <w:tcPr>
            <w:tcW w:w="1417" w:type="dxa"/>
            <w:shd w:val="clear" w:color="auto" w:fill="FFC000"/>
          </w:tcPr>
          <w:p w14:paraId="5125E8B5" w14:textId="77777777" w:rsidR="00641332" w:rsidRPr="00522A76" w:rsidRDefault="00641332" w:rsidP="00D86745">
            <w:pPr>
              <w:jc w:val="center"/>
              <w:rPr>
                <w:sz w:val="20"/>
                <w:szCs w:val="20"/>
              </w:rPr>
            </w:pPr>
          </w:p>
        </w:tc>
      </w:tr>
      <w:tr w:rsidR="00641332" w:rsidRPr="00522A76" w14:paraId="61E750E3" w14:textId="77777777" w:rsidTr="00641332">
        <w:tc>
          <w:tcPr>
            <w:tcW w:w="2987" w:type="dxa"/>
          </w:tcPr>
          <w:p w14:paraId="71D32E6A" w14:textId="0F7F3BC8" w:rsidR="00641332" w:rsidRPr="00522A76" w:rsidRDefault="00641332" w:rsidP="00D86745">
            <w:pPr>
              <w:rPr>
                <w:b/>
                <w:sz w:val="20"/>
                <w:szCs w:val="20"/>
              </w:rPr>
            </w:pPr>
            <w:r>
              <w:rPr>
                <w:b/>
                <w:sz w:val="20"/>
                <w:szCs w:val="20"/>
              </w:rPr>
              <w:t>Surveillance, preparedness and response</w:t>
            </w:r>
          </w:p>
        </w:tc>
        <w:tc>
          <w:tcPr>
            <w:tcW w:w="4805" w:type="dxa"/>
          </w:tcPr>
          <w:p w14:paraId="3B13840E" w14:textId="77777777" w:rsidR="008A045C" w:rsidRPr="008A045C" w:rsidRDefault="00C52D70" w:rsidP="008A045C">
            <w:pPr>
              <w:pStyle w:val="ListParagraph"/>
              <w:numPr>
                <w:ilvl w:val="0"/>
                <w:numId w:val="30"/>
              </w:numPr>
              <w:ind w:left="297" w:hanging="283"/>
              <w:jc w:val="both"/>
              <w:rPr>
                <w:rFonts w:eastAsia="Verdana" w:cs="Verdana"/>
                <w:color w:val="000000" w:themeColor="text1"/>
                <w:kern w:val="24"/>
                <w:sz w:val="20"/>
                <w:szCs w:val="20"/>
                <w:lang w:eastAsia="en-GB"/>
              </w:rPr>
            </w:pPr>
            <w:r w:rsidRPr="008A045C">
              <w:rPr>
                <w:rFonts w:eastAsia="Verdana" w:cs="Verdana"/>
                <w:color w:val="000000" w:themeColor="text1"/>
                <w:kern w:val="24"/>
                <w:sz w:val="20"/>
                <w:szCs w:val="20"/>
                <w:lang w:eastAsia="en-GB"/>
              </w:rPr>
              <w:t>Currently no assurance on access to early reporting and response systems</w:t>
            </w:r>
            <w:r w:rsidR="008A045C" w:rsidRPr="008A045C">
              <w:rPr>
                <w:rFonts w:eastAsia="Verdana" w:cs="Verdana"/>
                <w:color w:val="000000" w:themeColor="text1"/>
                <w:kern w:val="24"/>
                <w:sz w:val="20"/>
                <w:szCs w:val="20"/>
                <w:lang w:eastAsia="en-GB"/>
              </w:rPr>
              <w:t>, in the event of a ‘no deal’.</w:t>
            </w:r>
          </w:p>
          <w:p w14:paraId="4B16485A" w14:textId="77777777" w:rsidR="008A045C" w:rsidRPr="008A045C" w:rsidRDefault="00C52D70" w:rsidP="008A045C">
            <w:pPr>
              <w:pStyle w:val="ListParagraph"/>
              <w:numPr>
                <w:ilvl w:val="0"/>
                <w:numId w:val="30"/>
              </w:numPr>
              <w:ind w:left="297" w:hanging="283"/>
              <w:jc w:val="both"/>
              <w:rPr>
                <w:rFonts w:ascii="Times New Roman" w:eastAsia="Times New Roman" w:hAnsi="Times New Roman" w:cs="Times New Roman"/>
                <w:color w:val="000000" w:themeColor="text1"/>
                <w:sz w:val="20"/>
                <w:szCs w:val="20"/>
                <w:lang w:eastAsia="en-GB"/>
              </w:rPr>
            </w:pPr>
            <w:proofErr w:type="gramStart"/>
            <w:r w:rsidRPr="008A045C">
              <w:rPr>
                <w:rFonts w:eastAsia="Verdana" w:cs="Verdana"/>
                <w:color w:val="000000" w:themeColor="text1"/>
                <w:kern w:val="24"/>
                <w:sz w:val="20"/>
                <w:szCs w:val="20"/>
                <w:lang w:eastAsia="en-GB"/>
              </w:rPr>
              <w:t>Fall-back</w:t>
            </w:r>
            <w:proofErr w:type="gramEnd"/>
            <w:r w:rsidRPr="008A045C">
              <w:rPr>
                <w:rFonts w:eastAsia="Verdana" w:cs="Verdana"/>
                <w:color w:val="000000" w:themeColor="text1"/>
                <w:kern w:val="24"/>
                <w:sz w:val="20"/>
                <w:szCs w:val="20"/>
                <w:lang w:eastAsia="en-GB"/>
              </w:rPr>
              <w:t xml:space="preserve"> position is alerts will continue to be received via the UK national focal point (PHE) under I</w:t>
            </w:r>
            <w:r w:rsidR="008A045C">
              <w:rPr>
                <w:rFonts w:eastAsia="Verdana" w:cs="Verdana"/>
                <w:color w:val="000000" w:themeColor="text1"/>
                <w:kern w:val="24"/>
                <w:sz w:val="20"/>
                <w:szCs w:val="20"/>
                <w:lang w:eastAsia="en-GB"/>
              </w:rPr>
              <w:t xml:space="preserve">nternational Health Regulations </w:t>
            </w:r>
            <w:r w:rsidRPr="008A045C">
              <w:rPr>
                <w:rFonts w:eastAsia="Verdana" w:cs="Verdana"/>
                <w:color w:val="000000" w:themeColor="text1"/>
                <w:kern w:val="24"/>
                <w:sz w:val="20"/>
                <w:szCs w:val="20"/>
                <w:lang w:eastAsia="en-GB"/>
              </w:rPr>
              <w:t>(World Hea</w:t>
            </w:r>
            <w:r w:rsidR="008A045C">
              <w:rPr>
                <w:rFonts w:eastAsia="Verdana" w:cs="Verdana"/>
                <w:color w:val="000000" w:themeColor="text1"/>
                <w:kern w:val="24"/>
                <w:sz w:val="20"/>
                <w:szCs w:val="20"/>
                <w:lang w:eastAsia="en-GB"/>
              </w:rPr>
              <w:t>lth Organisation arrangements).</w:t>
            </w:r>
          </w:p>
          <w:p w14:paraId="64155B5C" w14:textId="20DFF713" w:rsidR="00C52D70" w:rsidRPr="008A045C" w:rsidRDefault="00C52D70" w:rsidP="008A045C">
            <w:pPr>
              <w:pStyle w:val="ListParagraph"/>
              <w:numPr>
                <w:ilvl w:val="0"/>
                <w:numId w:val="30"/>
              </w:numPr>
              <w:ind w:left="297" w:hanging="283"/>
              <w:jc w:val="both"/>
              <w:rPr>
                <w:rFonts w:ascii="Times New Roman" w:eastAsia="Times New Roman" w:hAnsi="Times New Roman" w:cs="Times New Roman"/>
                <w:color w:val="000000" w:themeColor="text1"/>
                <w:sz w:val="20"/>
                <w:szCs w:val="20"/>
                <w:lang w:eastAsia="en-GB"/>
              </w:rPr>
            </w:pPr>
            <w:r w:rsidRPr="008A045C">
              <w:rPr>
                <w:rFonts w:eastAsia="Verdana" w:cs="Verdana"/>
                <w:color w:val="000000" w:themeColor="text1"/>
                <w:kern w:val="24"/>
                <w:sz w:val="20"/>
                <w:szCs w:val="20"/>
                <w:lang w:eastAsia="en-GB"/>
              </w:rPr>
              <w:t>UK Government is in active discussions with ECDC and other European agencies to explore alternative options.</w:t>
            </w:r>
          </w:p>
          <w:p w14:paraId="225EBB08" w14:textId="7F0C1687" w:rsidR="00C52D70" w:rsidRPr="008A045C" w:rsidRDefault="00C52D70" w:rsidP="008A045C">
            <w:pPr>
              <w:pStyle w:val="ListParagraph"/>
              <w:numPr>
                <w:ilvl w:val="0"/>
                <w:numId w:val="30"/>
              </w:numPr>
              <w:ind w:left="297" w:hanging="283"/>
              <w:jc w:val="both"/>
              <w:rPr>
                <w:rFonts w:ascii="Times New Roman" w:eastAsia="Times New Roman" w:hAnsi="Times New Roman" w:cs="Times New Roman"/>
                <w:color w:val="000000" w:themeColor="text1"/>
                <w:sz w:val="20"/>
                <w:szCs w:val="20"/>
                <w:lang w:eastAsia="en-GB"/>
              </w:rPr>
            </w:pPr>
            <w:r w:rsidRPr="008A045C">
              <w:rPr>
                <w:rFonts w:eastAsia="Verdana" w:cs="Verdana"/>
                <w:color w:val="000000" w:themeColor="text1"/>
                <w:kern w:val="24"/>
                <w:sz w:val="20"/>
                <w:szCs w:val="20"/>
                <w:lang w:eastAsia="en-GB"/>
              </w:rPr>
              <w:t>PHW agreed informal MOU with Southern Ireland in respect of data sharing, in line with other nations.</w:t>
            </w:r>
          </w:p>
          <w:p w14:paraId="589E085D" w14:textId="0D9CA0CA" w:rsidR="00641332" w:rsidRPr="008A045C" w:rsidRDefault="00641332" w:rsidP="008A045C">
            <w:pPr>
              <w:pStyle w:val="ListParagraph"/>
              <w:numPr>
                <w:ilvl w:val="0"/>
                <w:numId w:val="30"/>
              </w:numPr>
              <w:ind w:left="297" w:hanging="283"/>
              <w:jc w:val="both"/>
              <w:rPr>
                <w:sz w:val="20"/>
                <w:szCs w:val="20"/>
              </w:rPr>
            </w:pPr>
            <w:r w:rsidRPr="008A045C">
              <w:rPr>
                <w:rFonts w:eastAsia="Verdana" w:cs="Verdana"/>
                <w:color w:val="000000" w:themeColor="text1"/>
                <w:kern w:val="24"/>
                <w:sz w:val="20"/>
                <w:szCs w:val="20"/>
                <w:lang w:eastAsia="en-GB"/>
              </w:rPr>
              <w:t>PHE ran training programme for staff in respect of horizon scanning / early warning; two PHW staff attended December 2019</w:t>
            </w:r>
          </w:p>
        </w:tc>
        <w:tc>
          <w:tcPr>
            <w:tcW w:w="4536" w:type="dxa"/>
          </w:tcPr>
          <w:p w14:paraId="41B3AF4D" w14:textId="35A788D0" w:rsidR="00641332" w:rsidRPr="00C52D70" w:rsidRDefault="00641332" w:rsidP="008A045C">
            <w:pPr>
              <w:jc w:val="both"/>
              <w:rPr>
                <w:rFonts w:eastAsia="Verdana"/>
                <w:sz w:val="20"/>
                <w:szCs w:val="20"/>
              </w:rPr>
            </w:pPr>
            <w:r w:rsidRPr="00A977DA">
              <w:rPr>
                <w:rFonts w:eastAsia="Verdana"/>
                <w:sz w:val="20"/>
                <w:szCs w:val="20"/>
              </w:rPr>
              <w:t xml:space="preserve">PHW seeking update from PHE on negotiations around </w:t>
            </w:r>
            <w:r w:rsidR="008A045C">
              <w:rPr>
                <w:rFonts w:eastAsia="Verdana"/>
                <w:sz w:val="20"/>
                <w:szCs w:val="20"/>
              </w:rPr>
              <w:t xml:space="preserve">access to both </w:t>
            </w:r>
            <w:r w:rsidRPr="00A977DA">
              <w:rPr>
                <w:rFonts w:eastAsia="Verdana"/>
                <w:sz w:val="20"/>
                <w:szCs w:val="20"/>
              </w:rPr>
              <w:t>E</w:t>
            </w:r>
            <w:r w:rsidR="008A045C">
              <w:rPr>
                <w:rFonts w:eastAsia="Verdana"/>
                <w:sz w:val="20"/>
                <w:szCs w:val="20"/>
              </w:rPr>
              <w:t xml:space="preserve">arly Warning Response System (EWRS) and </w:t>
            </w:r>
            <w:r w:rsidRPr="00A977DA">
              <w:rPr>
                <w:rFonts w:eastAsia="Verdana"/>
                <w:sz w:val="20"/>
                <w:szCs w:val="20"/>
              </w:rPr>
              <w:t>E</w:t>
            </w:r>
            <w:r w:rsidR="008A045C">
              <w:rPr>
                <w:rFonts w:eastAsia="Verdana"/>
                <w:sz w:val="20"/>
                <w:szCs w:val="20"/>
              </w:rPr>
              <w:t xml:space="preserve">uropean Centre for Disease Control (ECDC) </w:t>
            </w:r>
            <w:r w:rsidRPr="00A977DA">
              <w:rPr>
                <w:rFonts w:eastAsia="Verdana"/>
                <w:sz w:val="20"/>
                <w:szCs w:val="20"/>
              </w:rPr>
              <w:t>post EU Exit</w:t>
            </w:r>
          </w:p>
        </w:tc>
        <w:tc>
          <w:tcPr>
            <w:tcW w:w="1417" w:type="dxa"/>
            <w:shd w:val="clear" w:color="auto" w:fill="FFC000"/>
          </w:tcPr>
          <w:p w14:paraId="2558FCCF" w14:textId="77777777" w:rsidR="00641332" w:rsidRPr="00522A76" w:rsidRDefault="00641332" w:rsidP="00D86745">
            <w:pPr>
              <w:jc w:val="center"/>
              <w:rPr>
                <w:sz w:val="20"/>
                <w:szCs w:val="20"/>
              </w:rPr>
            </w:pPr>
          </w:p>
        </w:tc>
      </w:tr>
      <w:tr w:rsidR="00641332" w:rsidRPr="00522A76" w14:paraId="49BDA2C0" w14:textId="77777777" w:rsidTr="00641332">
        <w:tc>
          <w:tcPr>
            <w:tcW w:w="2987" w:type="dxa"/>
          </w:tcPr>
          <w:p w14:paraId="0216FD72" w14:textId="77777777" w:rsidR="00641332" w:rsidRPr="00522A76" w:rsidRDefault="00641332" w:rsidP="00D86745">
            <w:pPr>
              <w:rPr>
                <w:b/>
                <w:sz w:val="20"/>
                <w:szCs w:val="20"/>
              </w:rPr>
            </w:pPr>
            <w:r w:rsidRPr="00522A76">
              <w:rPr>
                <w:b/>
                <w:sz w:val="20"/>
                <w:szCs w:val="20"/>
              </w:rPr>
              <w:t>Data / databases</w:t>
            </w:r>
          </w:p>
        </w:tc>
        <w:tc>
          <w:tcPr>
            <w:tcW w:w="4805" w:type="dxa"/>
          </w:tcPr>
          <w:p w14:paraId="3D86CC08" w14:textId="19DA6591" w:rsidR="00641332" w:rsidRPr="00265339" w:rsidRDefault="00641332" w:rsidP="00265339">
            <w:pPr>
              <w:pStyle w:val="ListParagraph"/>
              <w:numPr>
                <w:ilvl w:val="0"/>
                <w:numId w:val="34"/>
              </w:numPr>
              <w:ind w:left="297" w:hanging="297"/>
              <w:jc w:val="both"/>
              <w:rPr>
                <w:sz w:val="20"/>
                <w:szCs w:val="20"/>
              </w:rPr>
            </w:pPr>
            <w:r w:rsidRPr="00265339">
              <w:rPr>
                <w:sz w:val="20"/>
                <w:szCs w:val="20"/>
              </w:rPr>
              <w:t>No data stored in EU that is not replicated in Wales</w:t>
            </w:r>
          </w:p>
        </w:tc>
        <w:tc>
          <w:tcPr>
            <w:tcW w:w="4536" w:type="dxa"/>
          </w:tcPr>
          <w:p w14:paraId="774E3315" w14:textId="05DCC4DA" w:rsidR="00641332" w:rsidRPr="00A977DA" w:rsidRDefault="00641332" w:rsidP="008A045C">
            <w:pPr>
              <w:jc w:val="both"/>
              <w:rPr>
                <w:sz w:val="20"/>
                <w:szCs w:val="20"/>
              </w:rPr>
            </w:pPr>
            <w:r>
              <w:rPr>
                <w:rFonts w:eastAsia="Verdana"/>
                <w:sz w:val="20"/>
                <w:szCs w:val="20"/>
              </w:rPr>
              <w:t>P</w:t>
            </w:r>
            <w:r w:rsidRPr="00A977DA">
              <w:rPr>
                <w:rFonts w:eastAsia="Verdana"/>
                <w:sz w:val="20"/>
                <w:szCs w:val="20"/>
              </w:rPr>
              <w:t>revious exercise to be repeated</w:t>
            </w:r>
            <w:r>
              <w:rPr>
                <w:rFonts w:eastAsia="Verdana"/>
                <w:sz w:val="20"/>
                <w:szCs w:val="20"/>
              </w:rPr>
              <w:t xml:space="preserve"> </w:t>
            </w:r>
            <w:r w:rsidR="008A045C">
              <w:rPr>
                <w:rFonts w:eastAsia="Verdana"/>
                <w:sz w:val="20"/>
                <w:szCs w:val="20"/>
              </w:rPr>
              <w:t>to provide robust assurance</w:t>
            </w:r>
          </w:p>
        </w:tc>
        <w:tc>
          <w:tcPr>
            <w:tcW w:w="1417" w:type="dxa"/>
            <w:shd w:val="clear" w:color="auto" w:fill="00B050"/>
          </w:tcPr>
          <w:p w14:paraId="0E0AA737" w14:textId="77777777" w:rsidR="00641332" w:rsidRPr="00522A76" w:rsidRDefault="00641332" w:rsidP="00D86745">
            <w:pPr>
              <w:jc w:val="center"/>
              <w:rPr>
                <w:sz w:val="20"/>
                <w:szCs w:val="20"/>
              </w:rPr>
            </w:pPr>
          </w:p>
        </w:tc>
      </w:tr>
      <w:tr w:rsidR="00641332" w:rsidRPr="00522A76" w14:paraId="56114C84" w14:textId="77777777" w:rsidTr="00265339">
        <w:tc>
          <w:tcPr>
            <w:tcW w:w="2987" w:type="dxa"/>
          </w:tcPr>
          <w:p w14:paraId="0B197B51" w14:textId="77777777" w:rsidR="00641332" w:rsidRPr="00522A76" w:rsidRDefault="00641332" w:rsidP="00D86745">
            <w:pPr>
              <w:rPr>
                <w:b/>
                <w:sz w:val="20"/>
                <w:szCs w:val="20"/>
              </w:rPr>
            </w:pPr>
            <w:r w:rsidRPr="00522A76">
              <w:rPr>
                <w:b/>
                <w:sz w:val="20"/>
                <w:szCs w:val="20"/>
              </w:rPr>
              <w:t>Illicit drugs</w:t>
            </w:r>
          </w:p>
        </w:tc>
        <w:tc>
          <w:tcPr>
            <w:tcW w:w="4805" w:type="dxa"/>
          </w:tcPr>
          <w:p w14:paraId="59B685F8" w14:textId="77777777" w:rsidR="00265339" w:rsidRPr="00265339" w:rsidRDefault="00265339" w:rsidP="00265339">
            <w:pPr>
              <w:pStyle w:val="ListParagraph"/>
              <w:numPr>
                <w:ilvl w:val="0"/>
                <w:numId w:val="33"/>
              </w:numPr>
              <w:ind w:left="297" w:hanging="297"/>
              <w:jc w:val="both"/>
              <w:rPr>
                <w:rFonts w:eastAsia="Verdana"/>
                <w:sz w:val="20"/>
                <w:szCs w:val="20"/>
              </w:rPr>
            </w:pPr>
            <w:r w:rsidRPr="00265339">
              <w:rPr>
                <w:rFonts w:eastAsia="Verdana"/>
                <w:sz w:val="20"/>
                <w:szCs w:val="20"/>
              </w:rPr>
              <w:t xml:space="preserve">Following loss of access to timely early warning intelligence from the European Monitoring Centre for Drugs and Drug </w:t>
            </w:r>
            <w:r w:rsidRPr="00265339">
              <w:rPr>
                <w:rFonts w:eastAsia="Verdana"/>
                <w:sz w:val="20"/>
                <w:szCs w:val="20"/>
              </w:rPr>
              <w:lastRenderedPageBreak/>
              <w:t xml:space="preserve">Addiction (EMCDDA), PHE / UK Focal Point provided assurances that some of this information </w:t>
            </w:r>
            <w:proofErr w:type="gramStart"/>
            <w:r w:rsidRPr="00265339">
              <w:rPr>
                <w:rFonts w:eastAsia="Verdana"/>
                <w:sz w:val="20"/>
                <w:szCs w:val="20"/>
              </w:rPr>
              <w:t>could be accessed</w:t>
            </w:r>
            <w:proofErr w:type="gramEnd"/>
            <w:r w:rsidRPr="00265339">
              <w:rPr>
                <w:rFonts w:eastAsia="Verdana"/>
                <w:sz w:val="20"/>
                <w:szCs w:val="20"/>
              </w:rPr>
              <w:t xml:space="preserve"> through UN systems and by enhancing UK monitoring of open source information and strengthening bilateral and multilateral links.</w:t>
            </w:r>
          </w:p>
          <w:p w14:paraId="6E9602EA" w14:textId="65BC3A68" w:rsidR="00641332" w:rsidRPr="00265339" w:rsidRDefault="00265339" w:rsidP="00265339">
            <w:pPr>
              <w:pStyle w:val="ListParagraph"/>
              <w:numPr>
                <w:ilvl w:val="0"/>
                <w:numId w:val="33"/>
              </w:numPr>
              <w:ind w:left="297" w:hanging="297"/>
              <w:jc w:val="both"/>
              <w:rPr>
                <w:sz w:val="20"/>
                <w:szCs w:val="20"/>
              </w:rPr>
            </w:pPr>
            <w:r w:rsidRPr="00265339">
              <w:rPr>
                <w:rFonts w:eastAsia="Verdana"/>
                <w:sz w:val="20"/>
                <w:szCs w:val="20"/>
              </w:rPr>
              <w:t>To ensure continuity of receipt and contribution to European early warning/drug alert mechanisms, Public Health Wales’ early warning and testing project - WEDINOS now in formal partnership with Trans European Drugs Information (TEDI) project and ongoing contribution to EMCDDA technical meetings.  WEDINOS and substance misuse leads also formal contributors to United Nations Office for Drug Control (UNODC) early warning dataset.</w:t>
            </w:r>
          </w:p>
        </w:tc>
        <w:tc>
          <w:tcPr>
            <w:tcW w:w="4536" w:type="dxa"/>
          </w:tcPr>
          <w:p w14:paraId="725A68FE" w14:textId="518B0611" w:rsidR="00265339" w:rsidRDefault="00265339" w:rsidP="00B9529A">
            <w:pPr>
              <w:jc w:val="both"/>
              <w:rPr>
                <w:rFonts w:eastAsia="Verdana"/>
                <w:color w:val="000000" w:themeColor="text1"/>
                <w:sz w:val="20"/>
                <w:szCs w:val="20"/>
              </w:rPr>
            </w:pPr>
            <w:r>
              <w:rPr>
                <w:rFonts w:eastAsia="Verdana"/>
                <w:sz w:val="20"/>
                <w:szCs w:val="20"/>
              </w:rPr>
              <w:lastRenderedPageBreak/>
              <w:t>F</w:t>
            </w:r>
            <w:r w:rsidRPr="00A977DA">
              <w:rPr>
                <w:rFonts w:eastAsia="Verdana"/>
                <w:sz w:val="20"/>
                <w:szCs w:val="20"/>
              </w:rPr>
              <w:t>ormal partnerships established with</w:t>
            </w:r>
            <w:r w:rsidRPr="00A977DA">
              <w:rPr>
                <w:sz w:val="20"/>
                <w:szCs w:val="20"/>
              </w:rPr>
              <w:t xml:space="preserve"> </w:t>
            </w:r>
            <w:r w:rsidRPr="00A977DA">
              <w:rPr>
                <w:rFonts w:eastAsia="Verdana"/>
                <w:sz w:val="20"/>
                <w:szCs w:val="20"/>
              </w:rPr>
              <w:t xml:space="preserve">Trans European Drugs Information (TEDI) and </w:t>
            </w:r>
            <w:r w:rsidRPr="00A977DA">
              <w:rPr>
                <w:rFonts w:eastAsia="Verdana"/>
                <w:sz w:val="20"/>
                <w:szCs w:val="20"/>
              </w:rPr>
              <w:lastRenderedPageBreak/>
              <w:t>United Nations Office for Drug Control (UNODC)</w:t>
            </w:r>
            <w:r>
              <w:rPr>
                <w:rFonts w:eastAsia="Verdana"/>
                <w:sz w:val="20"/>
                <w:szCs w:val="20"/>
              </w:rPr>
              <w:t>.</w:t>
            </w:r>
          </w:p>
          <w:p w14:paraId="0499D62D" w14:textId="77777777" w:rsidR="00265339" w:rsidRDefault="00265339" w:rsidP="00B9529A">
            <w:pPr>
              <w:jc w:val="both"/>
              <w:rPr>
                <w:rFonts w:eastAsia="Verdana"/>
                <w:color w:val="000000" w:themeColor="text1"/>
                <w:sz w:val="20"/>
                <w:szCs w:val="20"/>
              </w:rPr>
            </w:pPr>
          </w:p>
          <w:p w14:paraId="0BFAC837" w14:textId="5E4B2A12" w:rsidR="00641332" w:rsidRPr="00265339" w:rsidRDefault="00265339" w:rsidP="00B9529A">
            <w:pPr>
              <w:jc w:val="both"/>
              <w:rPr>
                <w:sz w:val="20"/>
                <w:szCs w:val="20"/>
              </w:rPr>
            </w:pPr>
            <w:r w:rsidRPr="00265339">
              <w:rPr>
                <w:rFonts w:eastAsia="Verdana"/>
                <w:color w:val="000000" w:themeColor="text1"/>
                <w:sz w:val="20"/>
                <w:szCs w:val="20"/>
              </w:rPr>
              <w:t>Maintain engagement with Drug Threat Strategy Groups and National Intelligence Networks</w:t>
            </w:r>
          </w:p>
        </w:tc>
        <w:tc>
          <w:tcPr>
            <w:tcW w:w="1417" w:type="dxa"/>
            <w:shd w:val="clear" w:color="auto" w:fill="00B050"/>
          </w:tcPr>
          <w:p w14:paraId="2EDFAD8A" w14:textId="77777777" w:rsidR="00641332" w:rsidRPr="00522A76" w:rsidRDefault="00641332" w:rsidP="00D86745">
            <w:pPr>
              <w:jc w:val="center"/>
              <w:rPr>
                <w:sz w:val="20"/>
                <w:szCs w:val="20"/>
              </w:rPr>
            </w:pPr>
          </w:p>
        </w:tc>
      </w:tr>
      <w:tr w:rsidR="00641332" w:rsidRPr="00522A76" w14:paraId="3E8BE665" w14:textId="77777777" w:rsidTr="00265339">
        <w:tc>
          <w:tcPr>
            <w:tcW w:w="2987" w:type="dxa"/>
          </w:tcPr>
          <w:p w14:paraId="70B1456F" w14:textId="77777777" w:rsidR="00641332" w:rsidRPr="00522A76" w:rsidRDefault="00641332" w:rsidP="00D86745">
            <w:pPr>
              <w:rPr>
                <w:b/>
                <w:sz w:val="20"/>
                <w:szCs w:val="20"/>
              </w:rPr>
            </w:pPr>
            <w:r w:rsidRPr="00522A76">
              <w:rPr>
                <w:b/>
                <w:sz w:val="20"/>
                <w:szCs w:val="20"/>
              </w:rPr>
              <w:t>Microbiology media supply</w:t>
            </w:r>
          </w:p>
        </w:tc>
        <w:tc>
          <w:tcPr>
            <w:tcW w:w="4805" w:type="dxa"/>
          </w:tcPr>
          <w:p w14:paraId="778FB900" w14:textId="0CEFF7DF" w:rsidR="00265339" w:rsidRPr="00265339" w:rsidRDefault="00265339" w:rsidP="00265339">
            <w:pPr>
              <w:pStyle w:val="ListParagraph"/>
              <w:numPr>
                <w:ilvl w:val="0"/>
                <w:numId w:val="37"/>
              </w:numPr>
              <w:ind w:left="297" w:hanging="283"/>
              <w:jc w:val="both"/>
              <w:rPr>
                <w:rFonts w:eastAsia="Verdana"/>
                <w:sz w:val="20"/>
                <w:szCs w:val="20"/>
              </w:rPr>
            </w:pPr>
            <w:r w:rsidRPr="00265339">
              <w:rPr>
                <w:color w:val="000000" w:themeColor="text1"/>
                <w:sz w:val="20"/>
                <w:szCs w:val="20"/>
              </w:rPr>
              <w:t xml:space="preserve">PHW </w:t>
            </w:r>
            <w:r w:rsidRPr="00265339">
              <w:rPr>
                <w:rFonts w:eastAsia="Verdana"/>
                <w:sz w:val="20"/>
                <w:szCs w:val="20"/>
              </w:rPr>
              <w:t>continues to meet with PHE on a regular basis; main suppliers are holding 6-12/</w:t>
            </w:r>
            <w:proofErr w:type="spellStart"/>
            <w:r w:rsidRPr="00265339">
              <w:rPr>
                <w:rFonts w:eastAsia="Verdana"/>
                <w:sz w:val="20"/>
                <w:szCs w:val="20"/>
              </w:rPr>
              <w:t>mo</w:t>
            </w:r>
            <w:proofErr w:type="spellEnd"/>
            <w:r w:rsidRPr="00265339">
              <w:rPr>
                <w:rFonts w:eastAsia="Verdana"/>
                <w:sz w:val="20"/>
                <w:szCs w:val="20"/>
              </w:rPr>
              <w:t xml:space="preserve"> stock.</w:t>
            </w:r>
          </w:p>
          <w:p w14:paraId="2D20211C" w14:textId="5FB91DC0" w:rsidR="00641332" w:rsidRPr="00265339" w:rsidRDefault="00265339" w:rsidP="00265339">
            <w:pPr>
              <w:pStyle w:val="ListParagraph"/>
              <w:numPr>
                <w:ilvl w:val="0"/>
                <w:numId w:val="37"/>
              </w:numPr>
              <w:ind w:left="297" w:hanging="283"/>
              <w:jc w:val="both"/>
              <w:rPr>
                <w:sz w:val="20"/>
                <w:szCs w:val="20"/>
              </w:rPr>
            </w:pPr>
            <w:r w:rsidRPr="00A977DA">
              <w:rPr>
                <w:rFonts w:eastAsia="Verdana"/>
                <w:sz w:val="20"/>
                <w:szCs w:val="20"/>
              </w:rPr>
              <w:t xml:space="preserve">Running hand to mouth for culture media.  Expanding rapid molecular hot labs (re C. diff, </w:t>
            </w:r>
            <w:proofErr w:type="spellStart"/>
            <w:r w:rsidRPr="00A977DA">
              <w:rPr>
                <w:rFonts w:eastAsia="Verdana"/>
                <w:sz w:val="20"/>
                <w:szCs w:val="20"/>
              </w:rPr>
              <w:t>etc</w:t>
            </w:r>
            <w:proofErr w:type="spellEnd"/>
            <w:r w:rsidRPr="00A977DA">
              <w:rPr>
                <w:rFonts w:eastAsia="Verdana"/>
                <w:sz w:val="20"/>
                <w:szCs w:val="20"/>
              </w:rPr>
              <w:t>); could be challenging if there was a problem with media supply</w:t>
            </w:r>
          </w:p>
        </w:tc>
        <w:tc>
          <w:tcPr>
            <w:tcW w:w="4536" w:type="dxa"/>
          </w:tcPr>
          <w:p w14:paraId="55B1E0EA" w14:textId="193E6578" w:rsidR="00265339" w:rsidRDefault="00265339" w:rsidP="00265339">
            <w:pPr>
              <w:jc w:val="both"/>
              <w:rPr>
                <w:rFonts w:eastAsia="Verdana" w:cs="Verdana"/>
                <w:color w:val="000000" w:themeColor="text1"/>
                <w:kern w:val="24"/>
                <w:sz w:val="20"/>
                <w:szCs w:val="20"/>
              </w:rPr>
            </w:pPr>
            <w:r w:rsidRPr="006B385B">
              <w:rPr>
                <w:rFonts w:eastAsia="Verdana" w:cs="Verdana"/>
                <w:color w:val="000000" w:themeColor="text1"/>
                <w:kern w:val="24"/>
                <w:sz w:val="20"/>
                <w:szCs w:val="20"/>
              </w:rPr>
              <w:t>Previous written assurance received from main suppliers that they are holding st</w:t>
            </w:r>
            <w:r>
              <w:rPr>
                <w:rFonts w:eastAsia="Verdana" w:cs="Verdana"/>
                <w:color w:val="000000" w:themeColor="text1"/>
                <w:kern w:val="24"/>
                <w:sz w:val="20"/>
                <w:szCs w:val="20"/>
              </w:rPr>
              <w:t>ock for 6 - 12 months’ supply; reconfirmation requested.</w:t>
            </w:r>
          </w:p>
          <w:p w14:paraId="09C75DC0" w14:textId="77777777" w:rsidR="00265339" w:rsidRPr="006B385B" w:rsidRDefault="00265339" w:rsidP="00265339">
            <w:pPr>
              <w:jc w:val="both"/>
              <w:rPr>
                <w:rFonts w:eastAsia="Verdana" w:cs="Verdana"/>
                <w:color w:val="000000" w:themeColor="text1"/>
                <w:kern w:val="24"/>
                <w:sz w:val="20"/>
                <w:szCs w:val="20"/>
              </w:rPr>
            </w:pPr>
          </w:p>
          <w:p w14:paraId="44A2FD3F" w14:textId="240E4767" w:rsidR="00641332" w:rsidRPr="00522A76" w:rsidRDefault="00265339" w:rsidP="00265339">
            <w:pPr>
              <w:jc w:val="both"/>
              <w:rPr>
                <w:sz w:val="20"/>
                <w:szCs w:val="20"/>
              </w:rPr>
            </w:pPr>
            <w:r w:rsidRPr="00265339">
              <w:rPr>
                <w:rFonts w:eastAsia="Verdana" w:cs="Verdana"/>
                <w:color w:val="000000" w:themeColor="text1"/>
                <w:kern w:val="24"/>
                <w:sz w:val="20"/>
                <w:szCs w:val="20"/>
              </w:rPr>
              <w:t>Written assurance from alternative suppliers that they are holding stock and confirmation received from PHE they have both stocks and supply infrastructure for specialised me</w:t>
            </w:r>
            <w:r>
              <w:rPr>
                <w:rFonts w:eastAsia="Verdana" w:cs="Verdana"/>
                <w:color w:val="000000" w:themeColor="text1"/>
                <w:kern w:val="24"/>
                <w:sz w:val="20"/>
                <w:szCs w:val="20"/>
              </w:rPr>
              <w:t>dia in the event of an outbreak; reconfirmation requested.</w:t>
            </w:r>
          </w:p>
        </w:tc>
        <w:tc>
          <w:tcPr>
            <w:tcW w:w="1417" w:type="dxa"/>
            <w:shd w:val="clear" w:color="auto" w:fill="00B050"/>
          </w:tcPr>
          <w:p w14:paraId="3BDA3E11" w14:textId="77777777" w:rsidR="00641332" w:rsidRPr="00522A76" w:rsidRDefault="00641332" w:rsidP="00D86745">
            <w:pPr>
              <w:rPr>
                <w:sz w:val="20"/>
                <w:szCs w:val="20"/>
              </w:rPr>
            </w:pPr>
          </w:p>
        </w:tc>
      </w:tr>
      <w:tr w:rsidR="00641332" w:rsidRPr="00522A76" w14:paraId="36400921" w14:textId="77777777" w:rsidTr="00265339">
        <w:tc>
          <w:tcPr>
            <w:tcW w:w="2987" w:type="dxa"/>
          </w:tcPr>
          <w:p w14:paraId="181290D4" w14:textId="06EF01F3" w:rsidR="00641332" w:rsidRPr="00522A76" w:rsidRDefault="00641332" w:rsidP="00D86745">
            <w:pPr>
              <w:rPr>
                <w:b/>
                <w:sz w:val="20"/>
                <w:szCs w:val="20"/>
              </w:rPr>
            </w:pPr>
            <w:r w:rsidRPr="00522A76">
              <w:rPr>
                <w:b/>
                <w:sz w:val="20"/>
                <w:szCs w:val="20"/>
              </w:rPr>
              <w:t>Microbiology consumables</w:t>
            </w:r>
          </w:p>
        </w:tc>
        <w:tc>
          <w:tcPr>
            <w:tcW w:w="4805" w:type="dxa"/>
          </w:tcPr>
          <w:p w14:paraId="1F3C7879" w14:textId="144EABB4" w:rsidR="00641332" w:rsidRPr="000A4E9A" w:rsidRDefault="000A4E9A" w:rsidP="000A4E9A">
            <w:pPr>
              <w:pStyle w:val="ListParagraph"/>
              <w:numPr>
                <w:ilvl w:val="0"/>
                <w:numId w:val="39"/>
              </w:numPr>
              <w:ind w:left="297" w:hanging="283"/>
              <w:jc w:val="both"/>
              <w:rPr>
                <w:sz w:val="20"/>
                <w:szCs w:val="20"/>
              </w:rPr>
            </w:pPr>
            <w:r w:rsidRPr="000A4E9A">
              <w:rPr>
                <w:color w:val="000000" w:themeColor="text1"/>
                <w:sz w:val="20"/>
                <w:szCs w:val="20"/>
              </w:rPr>
              <w:t>Stock levels held as for Winter pressures</w:t>
            </w:r>
          </w:p>
        </w:tc>
        <w:tc>
          <w:tcPr>
            <w:tcW w:w="4536" w:type="dxa"/>
          </w:tcPr>
          <w:p w14:paraId="6DE68149" w14:textId="47576071" w:rsidR="00641332" w:rsidRPr="00522A76" w:rsidRDefault="000A4E9A" w:rsidP="000A4E9A">
            <w:pPr>
              <w:rPr>
                <w:sz w:val="20"/>
                <w:szCs w:val="20"/>
              </w:rPr>
            </w:pPr>
            <w:r>
              <w:rPr>
                <w:rFonts w:eastAsia="Verdana" w:cs="Verdana"/>
                <w:color w:val="000000" w:themeColor="text1"/>
                <w:kern w:val="24"/>
                <w:sz w:val="20"/>
                <w:szCs w:val="20"/>
                <w:lang w:eastAsia="en-GB"/>
              </w:rPr>
              <w:t>P</w:t>
            </w:r>
            <w:r w:rsidR="00265339" w:rsidRPr="00265339">
              <w:rPr>
                <w:rFonts w:eastAsia="Verdana" w:cs="Verdana"/>
                <w:color w:val="000000" w:themeColor="text1"/>
                <w:kern w:val="24"/>
                <w:sz w:val="20"/>
                <w:szCs w:val="20"/>
                <w:lang w:eastAsia="en-GB"/>
              </w:rPr>
              <w:t>riority suppliers ha</w:t>
            </w:r>
            <w:r>
              <w:rPr>
                <w:rFonts w:eastAsia="Verdana" w:cs="Verdana"/>
                <w:color w:val="000000" w:themeColor="text1"/>
                <w:kern w:val="24"/>
                <w:sz w:val="20"/>
                <w:szCs w:val="20"/>
                <w:lang w:eastAsia="en-GB"/>
              </w:rPr>
              <w:t xml:space="preserve">d previously </w:t>
            </w:r>
            <w:r w:rsidR="00265339" w:rsidRPr="00265339">
              <w:rPr>
                <w:rFonts w:eastAsia="Verdana" w:cs="Verdana"/>
                <w:color w:val="000000" w:themeColor="text1"/>
                <w:kern w:val="24"/>
                <w:sz w:val="20"/>
                <w:szCs w:val="20"/>
                <w:lang w:eastAsia="en-GB"/>
              </w:rPr>
              <w:t xml:space="preserve">been </w:t>
            </w:r>
            <w:r>
              <w:rPr>
                <w:rFonts w:eastAsia="Verdana" w:cs="Verdana"/>
                <w:color w:val="000000" w:themeColor="text1"/>
                <w:kern w:val="24"/>
                <w:sz w:val="20"/>
                <w:szCs w:val="20"/>
                <w:lang w:eastAsia="en-GB"/>
              </w:rPr>
              <w:t xml:space="preserve">requested </w:t>
            </w:r>
            <w:r w:rsidR="00265339" w:rsidRPr="00265339">
              <w:rPr>
                <w:rFonts w:eastAsia="Verdana" w:cs="Verdana"/>
                <w:color w:val="000000" w:themeColor="text1"/>
                <w:kern w:val="24"/>
                <w:sz w:val="20"/>
                <w:szCs w:val="20"/>
                <w:lang w:eastAsia="en-GB"/>
              </w:rPr>
              <w:t xml:space="preserve">asked to update written assurance that they are holding stocks and have contingency arrangements in </w:t>
            </w:r>
            <w:r w:rsidR="00265339" w:rsidRPr="00265339">
              <w:rPr>
                <w:rFonts w:eastAsia="Verdana" w:cs="Verdana"/>
                <w:color w:val="000000" w:themeColor="text1"/>
                <w:kern w:val="24"/>
                <w:sz w:val="20"/>
                <w:szCs w:val="20"/>
                <w:lang w:eastAsia="en-GB"/>
              </w:rPr>
              <w:lastRenderedPageBreak/>
              <w:t>place for continuity of supply</w:t>
            </w:r>
            <w:r>
              <w:rPr>
                <w:rFonts w:eastAsia="Verdana" w:cs="Verdana"/>
                <w:color w:val="000000" w:themeColor="text1"/>
                <w:kern w:val="24"/>
                <w:sz w:val="20"/>
                <w:szCs w:val="20"/>
                <w:lang w:eastAsia="en-GB"/>
              </w:rPr>
              <w:t>; reconfirmation requested</w:t>
            </w:r>
          </w:p>
        </w:tc>
        <w:tc>
          <w:tcPr>
            <w:tcW w:w="1417" w:type="dxa"/>
            <w:shd w:val="clear" w:color="auto" w:fill="00B050"/>
          </w:tcPr>
          <w:p w14:paraId="3EFACABA" w14:textId="77777777" w:rsidR="00641332" w:rsidRPr="00522A76" w:rsidRDefault="00641332" w:rsidP="00D86745">
            <w:pPr>
              <w:rPr>
                <w:sz w:val="20"/>
                <w:szCs w:val="20"/>
              </w:rPr>
            </w:pPr>
          </w:p>
        </w:tc>
      </w:tr>
      <w:tr w:rsidR="00641332" w:rsidRPr="00522A76" w14:paraId="2820DFD0" w14:textId="77777777" w:rsidTr="000A4E9A">
        <w:tc>
          <w:tcPr>
            <w:tcW w:w="2987" w:type="dxa"/>
          </w:tcPr>
          <w:p w14:paraId="51AAFC5F" w14:textId="77777777" w:rsidR="00641332" w:rsidRPr="00522A76" w:rsidRDefault="00641332" w:rsidP="00D86745">
            <w:pPr>
              <w:rPr>
                <w:b/>
                <w:sz w:val="20"/>
                <w:szCs w:val="20"/>
              </w:rPr>
            </w:pPr>
            <w:r w:rsidRPr="00522A76">
              <w:rPr>
                <w:b/>
                <w:sz w:val="20"/>
                <w:szCs w:val="20"/>
              </w:rPr>
              <w:t>Chemical and radiation incident alerting</w:t>
            </w:r>
          </w:p>
        </w:tc>
        <w:tc>
          <w:tcPr>
            <w:tcW w:w="4805" w:type="dxa"/>
          </w:tcPr>
          <w:p w14:paraId="3FA365A2" w14:textId="77777777" w:rsidR="00641332" w:rsidRDefault="00641332" w:rsidP="000A4E9A">
            <w:pPr>
              <w:pStyle w:val="ListParagraph"/>
              <w:numPr>
                <w:ilvl w:val="0"/>
                <w:numId w:val="39"/>
              </w:numPr>
              <w:ind w:left="297" w:hanging="283"/>
              <w:jc w:val="both"/>
              <w:rPr>
                <w:sz w:val="20"/>
                <w:szCs w:val="20"/>
              </w:rPr>
            </w:pPr>
            <w:r w:rsidRPr="000A4E9A">
              <w:rPr>
                <w:sz w:val="20"/>
                <w:szCs w:val="20"/>
              </w:rPr>
              <w:t>PHE will continue to act as WHO IHR focal point in UK for all international chemical, radiation and environmental incidents and threats. Wales is covered by existing arrangements</w:t>
            </w:r>
          </w:p>
          <w:p w14:paraId="59A65B2D" w14:textId="5FACD34F" w:rsidR="000A4E9A" w:rsidRPr="000A4E9A" w:rsidRDefault="000A4E9A" w:rsidP="000A4E9A">
            <w:pPr>
              <w:pStyle w:val="ListParagraph"/>
              <w:numPr>
                <w:ilvl w:val="0"/>
                <w:numId w:val="39"/>
              </w:numPr>
              <w:ind w:left="297" w:hanging="283"/>
              <w:jc w:val="both"/>
              <w:rPr>
                <w:sz w:val="20"/>
                <w:szCs w:val="20"/>
              </w:rPr>
            </w:pPr>
            <w:r w:rsidRPr="000A4E9A">
              <w:rPr>
                <w:sz w:val="20"/>
                <w:szCs w:val="20"/>
              </w:rPr>
              <w:t>Status of SHARP JA European project – proceeding as planned</w:t>
            </w:r>
          </w:p>
        </w:tc>
        <w:tc>
          <w:tcPr>
            <w:tcW w:w="4536" w:type="dxa"/>
          </w:tcPr>
          <w:p w14:paraId="5E04A862" w14:textId="32DF0727" w:rsidR="00641332" w:rsidRPr="000A4E9A" w:rsidRDefault="000A4E9A" w:rsidP="000A4E9A">
            <w:pPr>
              <w:rPr>
                <w:sz w:val="20"/>
                <w:szCs w:val="20"/>
              </w:rPr>
            </w:pPr>
            <w:r w:rsidRPr="000A4E9A">
              <w:rPr>
                <w:sz w:val="20"/>
                <w:szCs w:val="20"/>
              </w:rPr>
              <w:t>Seek</w:t>
            </w:r>
            <w:r>
              <w:rPr>
                <w:sz w:val="20"/>
                <w:szCs w:val="20"/>
              </w:rPr>
              <w:t>ing</w:t>
            </w:r>
            <w:r w:rsidRPr="000A4E9A">
              <w:rPr>
                <w:sz w:val="20"/>
                <w:szCs w:val="20"/>
              </w:rPr>
              <w:t xml:space="preserve"> assurance from PHE re enhanced notification systems (</w:t>
            </w:r>
            <w:proofErr w:type="spellStart"/>
            <w:proofErr w:type="gramStart"/>
            <w:r w:rsidRPr="000A4E9A">
              <w:rPr>
                <w:sz w:val="20"/>
                <w:szCs w:val="20"/>
              </w:rPr>
              <w:t>eg</w:t>
            </w:r>
            <w:proofErr w:type="spellEnd"/>
            <w:r w:rsidRPr="000A4E9A">
              <w:rPr>
                <w:sz w:val="20"/>
                <w:szCs w:val="20"/>
              </w:rPr>
              <w:t>:</w:t>
            </w:r>
            <w:proofErr w:type="gramEnd"/>
            <w:r w:rsidRPr="000A4E9A">
              <w:rPr>
                <w:sz w:val="20"/>
                <w:szCs w:val="20"/>
              </w:rPr>
              <w:t xml:space="preserve"> EWRS, RAS) that IHR incident notification mechanism</w:t>
            </w:r>
            <w:r>
              <w:rPr>
                <w:sz w:val="20"/>
                <w:szCs w:val="20"/>
              </w:rPr>
              <w:t>s remain in place as a minimum.</w:t>
            </w:r>
            <w:r w:rsidRPr="000A4E9A">
              <w:rPr>
                <w:sz w:val="20"/>
                <w:szCs w:val="20"/>
              </w:rPr>
              <w:t xml:space="preserve">  </w:t>
            </w:r>
          </w:p>
        </w:tc>
        <w:tc>
          <w:tcPr>
            <w:tcW w:w="1417" w:type="dxa"/>
            <w:shd w:val="clear" w:color="auto" w:fill="00B050"/>
          </w:tcPr>
          <w:p w14:paraId="73BCAC0A" w14:textId="77777777" w:rsidR="00641332" w:rsidRPr="00522A76" w:rsidRDefault="00641332" w:rsidP="00D86745">
            <w:pPr>
              <w:rPr>
                <w:sz w:val="20"/>
                <w:szCs w:val="20"/>
              </w:rPr>
            </w:pPr>
          </w:p>
        </w:tc>
      </w:tr>
      <w:tr w:rsidR="00641332" w:rsidRPr="00522A76" w14:paraId="39ED095C" w14:textId="77777777" w:rsidTr="000A4E9A">
        <w:tc>
          <w:tcPr>
            <w:tcW w:w="2987" w:type="dxa"/>
          </w:tcPr>
          <w:p w14:paraId="103702DC" w14:textId="77777777" w:rsidR="00641332" w:rsidRPr="00522A76" w:rsidRDefault="00641332" w:rsidP="00D86745">
            <w:pPr>
              <w:rPr>
                <w:b/>
                <w:sz w:val="20"/>
                <w:szCs w:val="20"/>
              </w:rPr>
            </w:pPr>
            <w:r w:rsidRPr="00522A76">
              <w:rPr>
                <w:b/>
                <w:sz w:val="20"/>
                <w:szCs w:val="20"/>
              </w:rPr>
              <w:t>Overarching assurance from PHE</w:t>
            </w:r>
          </w:p>
        </w:tc>
        <w:tc>
          <w:tcPr>
            <w:tcW w:w="4805" w:type="dxa"/>
          </w:tcPr>
          <w:p w14:paraId="4A6D934A" w14:textId="0810280B" w:rsidR="00641332" w:rsidRPr="000A4E9A" w:rsidRDefault="000A4E9A" w:rsidP="000A4E9A">
            <w:pPr>
              <w:pStyle w:val="ListParagraph"/>
              <w:numPr>
                <w:ilvl w:val="0"/>
                <w:numId w:val="38"/>
              </w:numPr>
              <w:ind w:left="297" w:hanging="283"/>
              <w:rPr>
                <w:sz w:val="20"/>
                <w:szCs w:val="20"/>
              </w:rPr>
            </w:pPr>
            <w:r w:rsidRPr="000A4E9A">
              <w:rPr>
                <w:sz w:val="20"/>
                <w:szCs w:val="20"/>
              </w:rPr>
              <w:t xml:space="preserve">PHE </w:t>
            </w:r>
            <w:r>
              <w:rPr>
                <w:sz w:val="20"/>
                <w:szCs w:val="20"/>
              </w:rPr>
              <w:t xml:space="preserve">have </w:t>
            </w:r>
            <w:r w:rsidRPr="000A4E9A">
              <w:rPr>
                <w:sz w:val="20"/>
                <w:szCs w:val="20"/>
              </w:rPr>
              <w:t xml:space="preserve">confirmed </w:t>
            </w:r>
            <w:r>
              <w:rPr>
                <w:sz w:val="20"/>
                <w:szCs w:val="20"/>
              </w:rPr>
              <w:t xml:space="preserve">the </w:t>
            </w:r>
            <w:r w:rsidRPr="000A4E9A">
              <w:rPr>
                <w:sz w:val="20"/>
                <w:szCs w:val="20"/>
              </w:rPr>
              <w:t xml:space="preserve">Health Securities risks </w:t>
            </w:r>
            <w:r>
              <w:rPr>
                <w:sz w:val="20"/>
                <w:szCs w:val="20"/>
              </w:rPr>
              <w:t xml:space="preserve">identified </w:t>
            </w:r>
            <w:r w:rsidRPr="000A4E9A">
              <w:rPr>
                <w:sz w:val="20"/>
                <w:szCs w:val="20"/>
              </w:rPr>
              <w:t>remain the same</w:t>
            </w:r>
          </w:p>
          <w:p w14:paraId="73AE86DC" w14:textId="77777777" w:rsidR="000A4E9A" w:rsidRDefault="000A4E9A" w:rsidP="000A4E9A">
            <w:pPr>
              <w:pStyle w:val="ListParagraph"/>
              <w:numPr>
                <w:ilvl w:val="0"/>
                <w:numId w:val="38"/>
              </w:numPr>
              <w:ind w:left="297" w:hanging="283"/>
              <w:rPr>
                <w:sz w:val="20"/>
                <w:szCs w:val="20"/>
              </w:rPr>
            </w:pPr>
            <w:r>
              <w:rPr>
                <w:sz w:val="20"/>
                <w:szCs w:val="20"/>
              </w:rPr>
              <w:t xml:space="preserve">The </w:t>
            </w:r>
            <w:r w:rsidRPr="000A4E9A">
              <w:rPr>
                <w:sz w:val="20"/>
                <w:szCs w:val="20"/>
              </w:rPr>
              <w:t>Deputy Director of Public Health Services continues to attend fortnightly PHE IMT meetings</w:t>
            </w:r>
          </w:p>
          <w:p w14:paraId="19BC94D7" w14:textId="52C6B4A2" w:rsidR="000A4E9A" w:rsidRPr="000A4E9A" w:rsidRDefault="000A4E9A" w:rsidP="000A4E9A">
            <w:pPr>
              <w:pStyle w:val="ListParagraph"/>
              <w:numPr>
                <w:ilvl w:val="0"/>
                <w:numId w:val="38"/>
              </w:numPr>
              <w:ind w:left="297" w:hanging="283"/>
              <w:rPr>
                <w:sz w:val="20"/>
                <w:szCs w:val="20"/>
              </w:rPr>
            </w:pPr>
            <w:r>
              <w:rPr>
                <w:sz w:val="20"/>
                <w:szCs w:val="20"/>
              </w:rPr>
              <w:t>Mitigations for chemical and radiation incident alerting forms (as referenced above) forms part of this overarching assurance</w:t>
            </w:r>
          </w:p>
        </w:tc>
        <w:tc>
          <w:tcPr>
            <w:tcW w:w="4536" w:type="dxa"/>
          </w:tcPr>
          <w:p w14:paraId="72A6AE9B" w14:textId="259734A8" w:rsidR="00641332" w:rsidRPr="00522A76" w:rsidRDefault="000A4E9A" w:rsidP="000A4E9A">
            <w:pPr>
              <w:rPr>
                <w:sz w:val="20"/>
                <w:szCs w:val="20"/>
              </w:rPr>
            </w:pPr>
            <w:r>
              <w:rPr>
                <w:sz w:val="20"/>
                <w:szCs w:val="20"/>
              </w:rPr>
              <w:t>PHW continues to seek written assurance from PHE</w:t>
            </w:r>
          </w:p>
        </w:tc>
        <w:tc>
          <w:tcPr>
            <w:tcW w:w="1417" w:type="dxa"/>
            <w:shd w:val="clear" w:color="auto" w:fill="00B050"/>
          </w:tcPr>
          <w:p w14:paraId="7F855A7A" w14:textId="77777777" w:rsidR="00641332" w:rsidRPr="00522A76" w:rsidRDefault="00641332" w:rsidP="00D86745">
            <w:pPr>
              <w:rPr>
                <w:sz w:val="20"/>
                <w:szCs w:val="20"/>
              </w:rPr>
            </w:pPr>
          </w:p>
        </w:tc>
      </w:tr>
    </w:tbl>
    <w:p w14:paraId="558CDED2" w14:textId="77777777" w:rsidR="00A977DA" w:rsidRPr="002B234C" w:rsidRDefault="00A977DA" w:rsidP="00A977DA"/>
    <w:p w14:paraId="6160485C" w14:textId="65E9F2D1" w:rsidR="00E000CA" w:rsidRDefault="00E000CA" w:rsidP="00E07F66">
      <w:pPr>
        <w:rPr>
          <w:szCs w:val="24"/>
        </w:rPr>
      </w:pPr>
    </w:p>
    <w:p w14:paraId="457BE6FB" w14:textId="77777777" w:rsidR="0095007F" w:rsidRDefault="0095007F" w:rsidP="00E07F66">
      <w:pPr>
        <w:rPr>
          <w:szCs w:val="24"/>
        </w:rPr>
        <w:sectPr w:rsidR="0095007F" w:rsidSect="00A977DA">
          <w:pgSz w:w="16838" w:h="11906" w:orient="landscape"/>
          <w:pgMar w:top="1440" w:right="1440" w:bottom="1440" w:left="1440" w:header="708" w:footer="708" w:gutter="0"/>
          <w:cols w:space="708"/>
          <w:docGrid w:linePitch="360"/>
        </w:sectPr>
      </w:pPr>
    </w:p>
    <w:p w14:paraId="5B1523DA" w14:textId="7411CD4B" w:rsidR="00E000CA" w:rsidRDefault="0095007F" w:rsidP="0095007F">
      <w:pPr>
        <w:jc w:val="right"/>
        <w:rPr>
          <w:b/>
          <w:szCs w:val="24"/>
        </w:rPr>
      </w:pPr>
      <w:r w:rsidRPr="0095007F">
        <w:rPr>
          <w:b/>
          <w:szCs w:val="24"/>
        </w:rPr>
        <w:lastRenderedPageBreak/>
        <w:t>APPENDIX 2</w:t>
      </w:r>
    </w:p>
    <w:p w14:paraId="69FD9C25" w14:textId="11F2E9B3" w:rsidR="0095007F" w:rsidRDefault="0095007F" w:rsidP="0095007F">
      <w:pPr>
        <w:jc w:val="right"/>
        <w:rPr>
          <w:b/>
          <w:szCs w:val="24"/>
        </w:rPr>
      </w:pPr>
    </w:p>
    <w:p w14:paraId="2EFC3B04" w14:textId="699C0D04" w:rsidR="0095007F" w:rsidRDefault="0095007F" w:rsidP="0095007F">
      <w:pPr>
        <w:jc w:val="center"/>
        <w:rPr>
          <w:b/>
          <w:szCs w:val="24"/>
        </w:rPr>
      </w:pPr>
      <w:r>
        <w:rPr>
          <w:b/>
          <w:szCs w:val="24"/>
        </w:rPr>
        <w:t>Communications’ Timetable</w:t>
      </w:r>
    </w:p>
    <w:p w14:paraId="22AC37AF" w14:textId="575C894D" w:rsidR="0095007F" w:rsidRDefault="0095007F" w:rsidP="0095007F">
      <w:pPr>
        <w:rPr>
          <w:b/>
          <w:szCs w:val="24"/>
        </w:rPr>
      </w:pPr>
    </w:p>
    <w:tbl>
      <w:tblPr>
        <w:tblStyle w:val="TableGrid"/>
        <w:tblW w:w="0" w:type="auto"/>
        <w:tblLook w:val="04A0" w:firstRow="1" w:lastRow="0" w:firstColumn="1" w:lastColumn="0" w:noHBand="0" w:noVBand="1"/>
      </w:tblPr>
      <w:tblGrid>
        <w:gridCol w:w="3005"/>
        <w:gridCol w:w="3005"/>
        <w:gridCol w:w="3006"/>
      </w:tblGrid>
      <w:tr w:rsidR="0095007F" w14:paraId="5086C644" w14:textId="77777777" w:rsidTr="0095007F">
        <w:tc>
          <w:tcPr>
            <w:tcW w:w="3005" w:type="dxa"/>
          </w:tcPr>
          <w:p w14:paraId="151BEB11" w14:textId="4121EEA3" w:rsidR="0095007F" w:rsidRDefault="0095007F" w:rsidP="0095007F">
            <w:pPr>
              <w:rPr>
                <w:b/>
                <w:szCs w:val="24"/>
              </w:rPr>
            </w:pPr>
            <w:r>
              <w:rPr>
                <w:b/>
                <w:szCs w:val="24"/>
              </w:rPr>
              <w:t>Audience</w:t>
            </w:r>
          </w:p>
        </w:tc>
        <w:tc>
          <w:tcPr>
            <w:tcW w:w="3005" w:type="dxa"/>
          </w:tcPr>
          <w:p w14:paraId="6B1595A8" w14:textId="4D885815" w:rsidR="0095007F" w:rsidRDefault="0095007F" w:rsidP="0095007F">
            <w:pPr>
              <w:rPr>
                <w:b/>
                <w:szCs w:val="24"/>
              </w:rPr>
            </w:pPr>
            <w:r>
              <w:rPr>
                <w:b/>
                <w:szCs w:val="24"/>
              </w:rPr>
              <w:t>Communication</w:t>
            </w:r>
          </w:p>
        </w:tc>
        <w:tc>
          <w:tcPr>
            <w:tcW w:w="3006" w:type="dxa"/>
          </w:tcPr>
          <w:p w14:paraId="361B4DDC" w14:textId="5E23C781" w:rsidR="0095007F" w:rsidRDefault="0095007F" w:rsidP="0095007F">
            <w:pPr>
              <w:rPr>
                <w:b/>
                <w:szCs w:val="24"/>
              </w:rPr>
            </w:pPr>
            <w:r>
              <w:rPr>
                <w:b/>
                <w:szCs w:val="24"/>
              </w:rPr>
              <w:t>Publication Date</w:t>
            </w:r>
          </w:p>
        </w:tc>
      </w:tr>
      <w:tr w:rsidR="0095007F" w14:paraId="0E21D2C3" w14:textId="77777777" w:rsidTr="0095007F">
        <w:tc>
          <w:tcPr>
            <w:tcW w:w="3005" w:type="dxa"/>
          </w:tcPr>
          <w:p w14:paraId="5D70F445" w14:textId="74B0ADB8" w:rsidR="0095007F" w:rsidRPr="00283552" w:rsidRDefault="0095007F" w:rsidP="0095007F">
            <w:pPr>
              <w:rPr>
                <w:b/>
                <w:color w:val="000000" w:themeColor="text1"/>
                <w:sz w:val="22"/>
              </w:rPr>
            </w:pPr>
            <w:r w:rsidRPr="00283552">
              <w:rPr>
                <w:b/>
                <w:color w:val="000000" w:themeColor="text1"/>
                <w:sz w:val="22"/>
              </w:rPr>
              <w:t>External communications (general)</w:t>
            </w:r>
          </w:p>
        </w:tc>
        <w:tc>
          <w:tcPr>
            <w:tcW w:w="3005" w:type="dxa"/>
          </w:tcPr>
          <w:p w14:paraId="5157E58A" w14:textId="440D1C43" w:rsidR="0095007F" w:rsidRPr="0095007F" w:rsidRDefault="0095007F" w:rsidP="0095007F">
            <w:pPr>
              <w:rPr>
                <w:b/>
                <w:color w:val="000000" w:themeColor="text1"/>
                <w:sz w:val="22"/>
              </w:rPr>
            </w:pPr>
            <w:r w:rsidRPr="0095007F">
              <w:rPr>
                <w:color w:val="000000" w:themeColor="text1"/>
                <w:sz w:val="22"/>
              </w:rPr>
              <w:t xml:space="preserve">Public-facing web story, which will double as a reactive media statement, </w:t>
            </w:r>
            <w:proofErr w:type="gramStart"/>
            <w:r w:rsidRPr="0095007F">
              <w:rPr>
                <w:color w:val="000000" w:themeColor="text1"/>
                <w:sz w:val="22"/>
              </w:rPr>
              <w:t>has been drafted and cleared</w:t>
            </w:r>
            <w:proofErr w:type="gramEnd"/>
            <w:r w:rsidRPr="0095007F">
              <w:rPr>
                <w:color w:val="000000" w:themeColor="text1"/>
                <w:sz w:val="22"/>
              </w:rPr>
              <w:t>. It will publish on 18 November to the PHW website.</w:t>
            </w:r>
          </w:p>
        </w:tc>
        <w:tc>
          <w:tcPr>
            <w:tcW w:w="3006" w:type="dxa"/>
          </w:tcPr>
          <w:p w14:paraId="340DBD3E" w14:textId="46920E0F" w:rsidR="0095007F" w:rsidRPr="0095007F" w:rsidRDefault="0095007F" w:rsidP="0095007F">
            <w:pPr>
              <w:rPr>
                <w:color w:val="000000" w:themeColor="text1"/>
                <w:sz w:val="22"/>
              </w:rPr>
            </w:pPr>
            <w:r w:rsidRPr="0095007F">
              <w:rPr>
                <w:color w:val="000000" w:themeColor="text1"/>
                <w:sz w:val="22"/>
              </w:rPr>
              <w:t>18 November</w:t>
            </w:r>
            <w:r>
              <w:rPr>
                <w:color w:val="000000" w:themeColor="text1"/>
                <w:sz w:val="22"/>
              </w:rPr>
              <w:t xml:space="preserve">; </w:t>
            </w:r>
            <w:r w:rsidRPr="0095007F">
              <w:rPr>
                <w:color w:val="000000" w:themeColor="text1"/>
                <w:sz w:val="22"/>
              </w:rPr>
              <w:t>PHW website</w:t>
            </w:r>
          </w:p>
        </w:tc>
      </w:tr>
      <w:tr w:rsidR="0095007F" w14:paraId="32E9F531" w14:textId="77777777" w:rsidTr="0095007F">
        <w:tc>
          <w:tcPr>
            <w:tcW w:w="3005" w:type="dxa"/>
          </w:tcPr>
          <w:p w14:paraId="429F3125" w14:textId="3276D422" w:rsidR="0095007F" w:rsidRPr="00283552" w:rsidRDefault="0095007F" w:rsidP="0095007F">
            <w:pPr>
              <w:rPr>
                <w:b/>
                <w:color w:val="000000" w:themeColor="text1"/>
                <w:sz w:val="22"/>
              </w:rPr>
            </w:pPr>
            <w:r w:rsidRPr="00283552">
              <w:rPr>
                <w:b/>
                <w:color w:val="000000" w:themeColor="text1"/>
                <w:sz w:val="22"/>
              </w:rPr>
              <w:t>Internal/staff communications</w:t>
            </w:r>
          </w:p>
        </w:tc>
        <w:tc>
          <w:tcPr>
            <w:tcW w:w="3005" w:type="dxa"/>
          </w:tcPr>
          <w:p w14:paraId="702D3C05" w14:textId="05543A2E" w:rsidR="0095007F" w:rsidRPr="0095007F" w:rsidRDefault="0095007F" w:rsidP="0095007F">
            <w:pPr>
              <w:rPr>
                <w:b/>
                <w:color w:val="000000" w:themeColor="text1"/>
                <w:sz w:val="22"/>
              </w:rPr>
            </w:pPr>
            <w:r w:rsidRPr="0095007F">
              <w:rPr>
                <w:color w:val="000000" w:themeColor="text1"/>
                <w:sz w:val="22"/>
              </w:rPr>
              <w:t xml:space="preserve">Intranet story drafted and cleared and will publish on  </w:t>
            </w:r>
          </w:p>
        </w:tc>
        <w:tc>
          <w:tcPr>
            <w:tcW w:w="3006" w:type="dxa"/>
          </w:tcPr>
          <w:p w14:paraId="12647505" w14:textId="622BE28D" w:rsidR="0095007F" w:rsidRPr="0095007F" w:rsidRDefault="0095007F" w:rsidP="0095007F">
            <w:pPr>
              <w:rPr>
                <w:b/>
                <w:color w:val="000000" w:themeColor="text1"/>
                <w:sz w:val="22"/>
              </w:rPr>
            </w:pPr>
            <w:r>
              <w:rPr>
                <w:color w:val="000000" w:themeColor="text1"/>
                <w:sz w:val="22"/>
              </w:rPr>
              <w:t xml:space="preserve">18 November; </w:t>
            </w:r>
            <w:r w:rsidRPr="0095007F">
              <w:rPr>
                <w:color w:val="000000" w:themeColor="text1"/>
                <w:sz w:val="22"/>
              </w:rPr>
              <w:t>also feature in the internal daily staff update and</w:t>
            </w:r>
            <w:r>
              <w:rPr>
                <w:color w:val="000000" w:themeColor="text1"/>
                <w:sz w:val="22"/>
              </w:rPr>
              <w:t xml:space="preserve"> weekly manager’s update emails</w:t>
            </w:r>
          </w:p>
        </w:tc>
      </w:tr>
      <w:tr w:rsidR="0095007F" w14:paraId="5909055B" w14:textId="77777777" w:rsidTr="0095007F">
        <w:tc>
          <w:tcPr>
            <w:tcW w:w="3005" w:type="dxa"/>
          </w:tcPr>
          <w:p w14:paraId="6151F692" w14:textId="4046733A" w:rsidR="0095007F" w:rsidRPr="00283552" w:rsidRDefault="00283552" w:rsidP="0095007F">
            <w:pPr>
              <w:rPr>
                <w:b/>
                <w:color w:val="000000" w:themeColor="text1"/>
                <w:sz w:val="22"/>
              </w:rPr>
            </w:pPr>
            <w:r w:rsidRPr="00283552">
              <w:rPr>
                <w:b/>
                <w:color w:val="000000" w:themeColor="text1"/>
                <w:sz w:val="22"/>
              </w:rPr>
              <w:t>Communications Strategy</w:t>
            </w:r>
          </w:p>
          <w:p w14:paraId="5470315D" w14:textId="77777777" w:rsidR="0095007F" w:rsidRPr="00283552" w:rsidRDefault="0095007F" w:rsidP="0095007F">
            <w:pPr>
              <w:rPr>
                <w:b/>
                <w:color w:val="000000" w:themeColor="text1"/>
                <w:sz w:val="22"/>
              </w:rPr>
            </w:pPr>
          </w:p>
        </w:tc>
        <w:tc>
          <w:tcPr>
            <w:tcW w:w="3005" w:type="dxa"/>
          </w:tcPr>
          <w:p w14:paraId="688DE85B" w14:textId="48EE9699" w:rsidR="0095007F" w:rsidRPr="0095007F" w:rsidRDefault="0095007F" w:rsidP="0095007F">
            <w:pPr>
              <w:rPr>
                <w:color w:val="000000" w:themeColor="text1"/>
                <w:sz w:val="22"/>
              </w:rPr>
            </w:pPr>
            <w:r w:rsidRPr="0095007F">
              <w:rPr>
                <w:color w:val="000000" w:themeColor="text1"/>
                <w:sz w:val="22"/>
              </w:rPr>
              <w:t xml:space="preserve">Updated EU Transition communications strategy </w:t>
            </w:r>
            <w:proofErr w:type="gramStart"/>
            <w:r w:rsidRPr="0095007F">
              <w:rPr>
                <w:color w:val="000000" w:themeColor="text1"/>
                <w:sz w:val="22"/>
              </w:rPr>
              <w:t>has been drafted and shared</w:t>
            </w:r>
            <w:proofErr w:type="gramEnd"/>
            <w:r w:rsidRPr="0095007F">
              <w:rPr>
                <w:color w:val="000000" w:themeColor="text1"/>
                <w:sz w:val="22"/>
              </w:rPr>
              <w:t>. Awaiting comment/clearance</w:t>
            </w:r>
          </w:p>
          <w:p w14:paraId="6F22B172" w14:textId="77777777" w:rsidR="0095007F" w:rsidRPr="0095007F" w:rsidRDefault="0095007F" w:rsidP="0095007F">
            <w:pPr>
              <w:rPr>
                <w:b/>
                <w:color w:val="000000" w:themeColor="text1"/>
                <w:sz w:val="22"/>
              </w:rPr>
            </w:pPr>
          </w:p>
        </w:tc>
        <w:tc>
          <w:tcPr>
            <w:tcW w:w="3006" w:type="dxa"/>
          </w:tcPr>
          <w:p w14:paraId="5CCEAA9B" w14:textId="37A2303B" w:rsidR="0095007F" w:rsidRPr="0095007F" w:rsidRDefault="0095007F" w:rsidP="0095007F">
            <w:pPr>
              <w:rPr>
                <w:color w:val="000000" w:themeColor="text1"/>
                <w:sz w:val="22"/>
              </w:rPr>
            </w:pPr>
            <w:r w:rsidRPr="0095007F">
              <w:rPr>
                <w:color w:val="000000" w:themeColor="text1"/>
                <w:sz w:val="22"/>
              </w:rPr>
              <w:t>Awaiting comment</w:t>
            </w:r>
            <w:r>
              <w:rPr>
                <w:color w:val="000000" w:themeColor="text1"/>
                <w:sz w:val="22"/>
              </w:rPr>
              <w:t xml:space="preserve"> </w:t>
            </w:r>
            <w:r w:rsidRPr="0095007F">
              <w:rPr>
                <w:color w:val="000000" w:themeColor="text1"/>
                <w:sz w:val="22"/>
              </w:rPr>
              <w:t>/</w:t>
            </w:r>
            <w:r>
              <w:rPr>
                <w:color w:val="000000" w:themeColor="text1"/>
                <w:sz w:val="22"/>
              </w:rPr>
              <w:t xml:space="preserve"> </w:t>
            </w:r>
            <w:r w:rsidRPr="0095007F">
              <w:rPr>
                <w:color w:val="000000" w:themeColor="text1"/>
                <w:sz w:val="22"/>
              </w:rPr>
              <w:t>clearance</w:t>
            </w:r>
          </w:p>
          <w:p w14:paraId="20FE5B80" w14:textId="77777777" w:rsidR="0095007F" w:rsidRPr="0095007F" w:rsidRDefault="0095007F" w:rsidP="0095007F">
            <w:pPr>
              <w:rPr>
                <w:b/>
                <w:color w:val="000000" w:themeColor="text1"/>
                <w:sz w:val="22"/>
              </w:rPr>
            </w:pPr>
          </w:p>
        </w:tc>
      </w:tr>
      <w:tr w:rsidR="0095007F" w14:paraId="129EEE3E" w14:textId="77777777" w:rsidTr="0095007F">
        <w:tc>
          <w:tcPr>
            <w:tcW w:w="3005" w:type="dxa"/>
          </w:tcPr>
          <w:p w14:paraId="57DE6171" w14:textId="2E625502" w:rsidR="0095007F" w:rsidRPr="00283552" w:rsidRDefault="00283552" w:rsidP="0095007F">
            <w:pPr>
              <w:rPr>
                <w:b/>
                <w:color w:val="000000" w:themeColor="text1"/>
                <w:sz w:val="22"/>
              </w:rPr>
            </w:pPr>
            <w:r w:rsidRPr="00283552">
              <w:rPr>
                <w:b/>
                <w:color w:val="000000" w:themeColor="text1"/>
                <w:sz w:val="22"/>
              </w:rPr>
              <w:t>Stakeholder C</w:t>
            </w:r>
            <w:r w:rsidR="0095007F" w:rsidRPr="00283552">
              <w:rPr>
                <w:b/>
                <w:color w:val="000000" w:themeColor="text1"/>
                <w:sz w:val="22"/>
              </w:rPr>
              <w:t>ommunications</w:t>
            </w:r>
          </w:p>
        </w:tc>
        <w:tc>
          <w:tcPr>
            <w:tcW w:w="3005" w:type="dxa"/>
          </w:tcPr>
          <w:p w14:paraId="094D0FEF" w14:textId="5C284ED4" w:rsidR="0095007F" w:rsidRPr="0095007F" w:rsidRDefault="0095007F" w:rsidP="0095007F">
            <w:pPr>
              <w:rPr>
                <w:color w:val="000000" w:themeColor="text1"/>
                <w:sz w:val="22"/>
              </w:rPr>
            </w:pPr>
            <w:r w:rsidRPr="0095007F">
              <w:rPr>
                <w:color w:val="000000" w:themeColor="text1"/>
                <w:sz w:val="22"/>
              </w:rPr>
              <w:t xml:space="preserve">Stakeholder email, offering reassurance at the level of preparedness for the end of the EU Transition Period </w:t>
            </w:r>
            <w:proofErr w:type="gramStart"/>
            <w:r w:rsidRPr="0095007F">
              <w:rPr>
                <w:color w:val="000000" w:themeColor="text1"/>
                <w:sz w:val="22"/>
              </w:rPr>
              <w:t>has been drafted and included with the communications strategy</w:t>
            </w:r>
            <w:proofErr w:type="gramEnd"/>
            <w:r w:rsidRPr="0095007F">
              <w:rPr>
                <w:color w:val="000000" w:themeColor="text1"/>
                <w:sz w:val="22"/>
              </w:rPr>
              <w:t>. Awaiting comment/clearance</w:t>
            </w:r>
          </w:p>
        </w:tc>
        <w:tc>
          <w:tcPr>
            <w:tcW w:w="3006" w:type="dxa"/>
          </w:tcPr>
          <w:p w14:paraId="6C68FC2B" w14:textId="393A968B" w:rsidR="0095007F" w:rsidRPr="0095007F" w:rsidRDefault="0095007F" w:rsidP="0095007F">
            <w:pPr>
              <w:rPr>
                <w:color w:val="000000" w:themeColor="text1"/>
                <w:sz w:val="22"/>
              </w:rPr>
            </w:pPr>
            <w:r w:rsidRPr="0095007F">
              <w:rPr>
                <w:color w:val="000000" w:themeColor="text1"/>
                <w:sz w:val="22"/>
              </w:rPr>
              <w:t>Awaiting comment</w:t>
            </w:r>
            <w:r>
              <w:rPr>
                <w:color w:val="000000" w:themeColor="text1"/>
                <w:sz w:val="22"/>
              </w:rPr>
              <w:t xml:space="preserve"> </w:t>
            </w:r>
            <w:r w:rsidRPr="0095007F">
              <w:rPr>
                <w:color w:val="000000" w:themeColor="text1"/>
                <w:sz w:val="22"/>
              </w:rPr>
              <w:t>/</w:t>
            </w:r>
            <w:r>
              <w:rPr>
                <w:color w:val="000000" w:themeColor="text1"/>
                <w:sz w:val="22"/>
              </w:rPr>
              <w:t xml:space="preserve"> </w:t>
            </w:r>
            <w:r w:rsidRPr="0095007F">
              <w:rPr>
                <w:color w:val="000000" w:themeColor="text1"/>
                <w:sz w:val="22"/>
              </w:rPr>
              <w:t>clearance</w:t>
            </w:r>
          </w:p>
        </w:tc>
      </w:tr>
    </w:tbl>
    <w:p w14:paraId="140C3F12" w14:textId="77777777" w:rsidR="0095007F" w:rsidRDefault="0095007F" w:rsidP="0095007F">
      <w:pPr>
        <w:rPr>
          <w:b/>
          <w:szCs w:val="24"/>
        </w:rPr>
      </w:pPr>
    </w:p>
    <w:p w14:paraId="14C12C47" w14:textId="5F5AE2FA" w:rsidR="0095007F" w:rsidRDefault="0095007F" w:rsidP="0095007F">
      <w:pPr>
        <w:rPr>
          <w:b/>
          <w:szCs w:val="24"/>
        </w:rPr>
      </w:pPr>
    </w:p>
    <w:sectPr w:rsidR="0095007F" w:rsidSect="009500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3D4E9" w14:textId="77777777" w:rsidR="00C4504F" w:rsidRDefault="00C4504F" w:rsidP="00497F39">
      <w:r>
        <w:separator/>
      </w:r>
    </w:p>
  </w:endnote>
  <w:endnote w:type="continuationSeparator" w:id="0">
    <w:p w14:paraId="74FA459B" w14:textId="77777777" w:rsidR="00C4504F" w:rsidRDefault="00C4504F"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8"/>
      <w:gridCol w:w="2995"/>
    </w:tblGrid>
    <w:tr w:rsidR="007623DA" w:rsidRPr="00511AFF" w14:paraId="5F74B99C" w14:textId="77777777" w:rsidTr="003B7361">
      <w:tc>
        <w:tcPr>
          <w:tcW w:w="3100" w:type="dxa"/>
        </w:tcPr>
        <w:p w14:paraId="5F74B999" w14:textId="4C53DA0B" w:rsidR="007623DA" w:rsidRPr="00511AFF" w:rsidRDefault="007623DA" w:rsidP="008A28EB">
          <w:pPr>
            <w:pStyle w:val="Footer"/>
            <w:tabs>
              <w:tab w:val="right" w:pos="9090"/>
            </w:tabs>
            <w:jc w:val="center"/>
            <w:rPr>
              <w:b/>
              <w:sz w:val="20"/>
            </w:rPr>
          </w:pPr>
          <w:r w:rsidRPr="00511AFF">
            <w:rPr>
              <w:b/>
              <w:sz w:val="20"/>
            </w:rPr>
            <w:t xml:space="preserve">Date: </w:t>
          </w:r>
          <w:r>
            <w:rPr>
              <w:sz w:val="20"/>
            </w:rPr>
            <w:t xml:space="preserve"> </w:t>
          </w:r>
          <w:r w:rsidR="00B528AC">
            <w:rPr>
              <w:sz w:val="20"/>
            </w:rPr>
            <w:t>19</w:t>
          </w:r>
          <w:r w:rsidR="008A28EB">
            <w:rPr>
              <w:sz w:val="20"/>
            </w:rPr>
            <w:t xml:space="preserve"> November 2020</w:t>
          </w:r>
        </w:p>
      </w:tc>
      <w:tc>
        <w:tcPr>
          <w:tcW w:w="3100" w:type="dxa"/>
        </w:tcPr>
        <w:p w14:paraId="5F74B99A" w14:textId="18D6C0E4" w:rsidR="007623DA" w:rsidRPr="00511AFF" w:rsidRDefault="007623DA" w:rsidP="008A28EB">
          <w:pPr>
            <w:pStyle w:val="Footer"/>
            <w:tabs>
              <w:tab w:val="center" w:pos="1433"/>
              <w:tab w:val="right" w:pos="2866"/>
              <w:tab w:val="right" w:pos="9090"/>
            </w:tabs>
            <w:jc w:val="center"/>
            <w:rPr>
              <w:b/>
              <w:sz w:val="20"/>
            </w:rPr>
          </w:pPr>
          <w:r w:rsidRPr="00511AFF">
            <w:rPr>
              <w:b/>
              <w:sz w:val="20"/>
            </w:rPr>
            <w:t>Version:</w:t>
          </w:r>
          <w:r>
            <w:rPr>
              <w:sz w:val="20"/>
            </w:rPr>
            <w:t xml:space="preserve"> </w:t>
          </w:r>
          <w:r w:rsidR="002D3A8B">
            <w:rPr>
              <w:sz w:val="20"/>
            </w:rPr>
            <w:t>0.1</w:t>
          </w:r>
        </w:p>
      </w:tc>
      <w:tc>
        <w:tcPr>
          <w:tcW w:w="3101" w:type="dxa"/>
        </w:tcPr>
        <w:p w14:paraId="5F74B99B" w14:textId="0FE7B71F"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2D3A8B">
            <w:rPr>
              <w:rStyle w:val="PageNumber"/>
              <w:noProof/>
              <w:sz w:val="20"/>
            </w:rPr>
            <w:t>11</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2D3A8B">
            <w:rPr>
              <w:rStyle w:val="PageNumber"/>
              <w:noProof/>
              <w:sz w:val="20"/>
            </w:rPr>
            <w:t>11</w:t>
          </w:r>
          <w:r w:rsidRPr="00511AFF">
            <w:rPr>
              <w:rStyle w:val="PageNumber"/>
              <w:sz w:val="20"/>
            </w:rPr>
            <w:fldChar w:fldCharType="end"/>
          </w:r>
        </w:p>
      </w:tc>
    </w:tr>
  </w:tbl>
  <w:p w14:paraId="5F74B99D"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5D39B" w14:textId="77777777" w:rsidR="00C4504F" w:rsidRDefault="00C4504F" w:rsidP="00497F39">
      <w:r>
        <w:separator/>
      </w:r>
    </w:p>
  </w:footnote>
  <w:footnote w:type="continuationSeparator" w:id="0">
    <w:p w14:paraId="59FD3017" w14:textId="77777777" w:rsidR="00C4504F" w:rsidRDefault="00C4504F"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013"/>
    <w:multiLevelType w:val="multilevel"/>
    <w:tmpl w:val="012C3D7A"/>
    <w:lvl w:ilvl="0">
      <w:start w:val="3"/>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1BC25FF"/>
    <w:multiLevelType w:val="hybridMultilevel"/>
    <w:tmpl w:val="D1E27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3A3738"/>
    <w:multiLevelType w:val="hybridMultilevel"/>
    <w:tmpl w:val="59E41C0C"/>
    <w:lvl w:ilvl="0" w:tplc="7820DA9E">
      <w:start w:val="1"/>
      <w:numFmt w:val="bullet"/>
      <w:lvlText w:val="•"/>
      <w:lvlJc w:val="left"/>
      <w:pPr>
        <w:tabs>
          <w:tab w:val="num" w:pos="720"/>
        </w:tabs>
        <w:ind w:left="720" w:hanging="360"/>
      </w:pPr>
      <w:rPr>
        <w:rFonts w:ascii="Arial" w:hAnsi="Arial" w:hint="default"/>
      </w:rPr>
    </w:lvl>
    <w:lvl w:ilvl="1" w:tplc="74E00FF0" w:tentative="1">
      <w:start w:val="1"/>
      <w:numFmt w:val="bullet"/>
      <w:lvlText w:val="•"/>
      <w:lvlJc w:val="left"/>
      <w:pPr>
        <w:tabs>
          <w:tab w:val="num" w:pos="1440"/>
        </w:tabs>
        <w:ind w:left="1440" w:hanging="360"/>
      </w:pPr>
      <w:rPr>
        <w:rFonts w:ascii="Arial" w:hAnsi="Arial" w:hint="default"/>
      </w:rPr>
    </w:lvl>
    <w:lvl w:ilvl="2" w:tplc="A75AA944" w:tentative="1">
      <w:start w:val="1"/>
      <w:numFmt w:val="bullet"/>
      <w:lvlText w:val="•"/>
      <w:lvlJc w:val="left"/>
      <w:pPr>
        <w:tabs>
          <w:tab w:val="num" w:pos="2160"/>
        </w:tabs>
        <w:ind w:left="2160" w:hanging="360"/>
      </w:pPr>
      <w:rPr>
        <w:rFonts w:ascii="Arial" w:hAnsi="Arial" w:hint="default"/>
      </w:rPr>
    </w:lvl>
    <w:lvl w:ilvl="3" w:tplc="17C89FEC" w:tentative="1">
      <w:start w:val="1"/>
      <w:numFmt w:val="bullet"/>
      <w:lvlText w:val="•"/>
      <w:lvlJc w:val="left"/>
      <w:pPr>
        <w:tabs>
          <w:tab w:val="num" w:pos="2880"/>
        </w:tabs>
        <w:ind w:left="2880" w:hanging="360"/>
      </w:pPr>
      <w:rPr>
        <w:rFonts w:ascii="Arial" w:hAnsi="Arial" w:hint="default"/>
      </w:rPr>
    </w:lvl>
    <w:lvl w:ilvl="4" w:tplc="9E8AC50E" w:tentative="1">
      <w:start w:val="1"/>
      <w:numFmt w:val="bullet"/>
      <w:lvlText w:val="•"/>
      <w:lvlJc w:val="left"/>
      <w:pPr>
        <w:tabs>
          <w:tab w:val="num" w:pos="3600"/>
        </w:tabs>
        <w:ind w:left="3600" w:hanging="360"/>
      </w:pPr>
      <w:rPr>
        <w:rFonts w:ascii="Arial" w:hAnsi="Arial" w:hint="default"/>
      </w:rPr>
    </w:lvl>
    <w:lvl w:ilvl="5" w:tplc="5652EA9C" w:tentative="1">
      <w:start w:val="1"/>
      <w:numFmt w:val="bullet"/>
      <w:lvlText w:val="•"/>
      <w:lvlJc w:val="left"/>
      <w:pPr>
        <w:tabs>
          <w:tab w:val="num" w:pos="4320"/>
        </w:tabs>
        <w:ind w:left="4320" w:hanging="360"/>
      </w:pPr>
      <w:rPr>
        <w:rFonts w:ascii="Arial" w:hAnsi="Arial" w:hint="default"/>
      </w:rPr>
    </w:lvl>
    <w:lvl w:ilvl="6" w:tplc="08864618" w:tentative="1">
      <w:start w:val="1"/>
      <w:numFmt w:val="bullet"/>
      <w:lvlText w:val="•"/>
      <w:lvlJc w:val="left"/>
      <w:pPr>
        <w:tabs>
          <w:tab w:val="num" w:pos="5040"/>
        </w:tabs>
        <w:ind w:left="5040" w:hanging="360"/>
      </w:pPr>
      <w:rPr>
        <w:rFonts w:ascii="Arial" w:hAnsi="Arial" w:hint="default"/>
      </w:rPr>
    </w:lvl>
    <w:lvl w:ilvl="7" w:tplc="831E8ED2" w:tentative="1">
      <w:start w:val="1"/>
      <w:numFmt w:val="bullet"/>
      <w:lvlText w:val="•"/>
      <w:lvlJc w:val="left"/>
      <w:pPr>
        <w:tabs>
          <w:tab w:val="num" w:pos="5760"/>
        </w:tabs>
        <w:ind w:left="5760" w:hanging="360"/>
      </w:pPr>
      <w:rPr>
        <w:rFonts w:ascii="Arial" w:hAnsi="Arial" w:hint="default"/>
      </w:rPr>
    </w:lvl>
    <w:lvl w:ilvl="8" w:tplc="7C4CFF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4E344C"/>
    <w:multiLevelType w:val="hybridMultilevel"/>
    <w:tmpl w:val="0E2E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A4771"/>
    <w:multiLevelType w:val="hybridMultilevel"/>
    <w:tmpl w:val="E3D2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C4EB0"/>
    <w:multiLevelType w:val="hybridMultilevel"/>
    <w:tmpl w:val="F04E85F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9"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8A632F"/>
    <w:multiLevelType w:val="hybridMultilevel"/>
    <w:tmpl w:val="AE00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C10679"/>
    <w:multiLevelType w:val="hybridMultilevel"/>
    <w:tmpl w:val="EBE8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910EA0"/>
    <w:multiLevelType w:val="hybridMultilevel"/>
    <w:tmpl w:val="8174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CF13848"/>
    <w:multiLevelType w:val="hybridMultilevel"/>
    <w:tmpl w:val="A962C85E"/>
    <w:lvl w:ilvl="0" w:tplc="78BE807C">
      <w:start w:val="1"/>
      <w:numFmt w:val="bullet"/>
      <w:lvlText w:val="•"/>
      <w:lvlJc w:val="left"/>
      <w:pPr>
        <w:tabs>
          <w:tab w:val="num" w:pos="720"/>
        </w:tabs>
        <w:ind w:left="720" w:hanging="360"/>
      </w:pPr>
      <w:rPr>
        <w:rFonts w:ascii="Arial" w:hAnsi="Arial" w:hint="default"/>
      </w:rPr>
    </w:lvl>
    <w:lvl w:ilvl="1" w:tplc="74CC32A8" w:tentative="1">
      <w:start w:val="1"/>
      <w:numFmt w:val="bullet"/>
      <w:lvlText w:val="•"/>
      <w:lvlJc w:val="left"/>
      <w:pPr>
        <w:tabs>
          <w:tab w:val="num" w:pos="1440"/>
        </w:tabs>
        <w:ind w:left="1440" w:hanging="360"/>
      </w:pPr>
      <w:rPr>
        <w:rFonts w:ascii="Arial" w:hAnsi="Arial" w:hint="default"/>
      </w:rPr>
    </w:lvl>
    <w:lvl w:ilvl="2" w:tplc="D0084A2E" w:tentative="1">
      <w:start w:val="1"/>
      <w:numFmt w:val="bullet"/>
      <w:lvlText w:val="•"/>
      <w:lvlJc w:val="left"/>
      <w:pPr>
        <w:tabs>
          <w:tab w:val="num" w:pos="2160"/>
        </w:tabs>
        <w:ind w:left="2160" w:hanging="360"/>
      </w:pPr>
      <w:rPr>
        <w:rFonts w:ascii="Arial" w:hAnsi="Arial" w:hint="default"/>
      </w:rPr>
    </w:lvl>
    <w:lvl w:ilvl="3" w:tplc="46C2F866" w:tentative="1">
      <w:start w:val="1"/>
      <w:numFmt w:val="bullet"/>
      <w:lvlText w:val="•"/>
      <w:lvlJc w:val="left"/>
      <w:pPr>
        <w:tabs>
          <w:tab w:val="num" w:pos="2880"/>
        </w:tabs>
        <w:ind w:left="2880" w:hanging="360"/>
      </w:pPr>
      <w:rPr>
        <w:rFonts w:ascii="Arial" w:hAnsi="Arial" w:hint="default"/>
      </w:rPr>
    </w:lvl>
    <w:lvl w:ilvl="4" w:tplc="F416AD3E" w:tentative="1">
      <w:start w:val="1"/>
      <w:numFmt w:val="bullet"/>
      <w:lvlText w:val="•"/>
      <w:lvlJc w:val="left"/>
      <w:pPr>
        <w:tabs>
          <w:tab w:val="num" w:pos="3600"/>
        </w:tabs>
        <w:ind w:left="3600" w:hanging="360"/>
      </w:pPr>
      <w:rPr>
        <w:rFonts w:ascii="Arial" w:hAnsi="Arial" w:hint="default"/>
      </w:rPr>
    </w:lvl>
    <w:lvl w:ilvl="5" w:tplc="B83C57FC" w:tentative="1">
      <w:start w:val="1"/>
      <w:numFmt w:val="bullet"/>
      <w:lvlText w:val="•"/>
      <w:lvlJc w:val="left"/>
      <w:pPr>
        <w:tabs>
          <w:tab w:val="num" w:pos="4320"/>
        </w:tabs>
        <w:ind w:left="4320" w:hanging="360"/>
      </w:pPr>
      <w:rPr>
        <w:rFonts w:ascii="Arial" w:hAnsi="Arial" w:hint="default"/>
      </w:rPr>
    </w:lvl>
    <w:lvl w:ilvl="6" w:tplc="E8DE5294" w:tentative="1">
      <w:start w:val="1"/>
      <w:numFmt w:val="bullet"/>
      <w:lvlText w:val="•"/>
      <w:lvlJc w:val="left"/>
      <w:pPr>
        <w:tabs>
          <w:tab w:val="num" w:pos="5040"/>
        </w:tabs>
        <w:ind w:left="5040" w:hanging="360"/>
      </w:pPr>
      <w:rPr>
        <w:rFonts w:ascii="Arial" w:hAnsi="Arial" w:hint="default"/>
      </w:rPr>
    </w:lvl>
    <w:lvl w:ilvl="7" w:tplc="72BE5B74" w:tentative="1">
      <w:start w:val="1"/>
      <w:numFmt w:val="bullet"/>
      <w:lvlText w:val="•"/>
      <w:lvlJc w:val="left"/>
      <w:pPr>
        <w:tabs>
          <w:tab w:val="num" w:pos="5760"/>
        </w:tabs>
        <w:ind w:left="5760" w:hanging="360"/>
      </w:pPr>
      <w:rPr>
        <w:rFonts w:ascii="Arial" w:hAnsi="Arial" w:hint="default"/>
      </w:rPr>
    </w:lvl>
    <w:lvl w:ilvl="8" w:tplc="06D46D3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845F37"/>
    <w:multiLevelType w:val="hybridMultilevel"/>
    <w:tmpl w:val="058E9554"/>
    <w:lvl w:ilvl="0" w:tplc="1DA80F3C">
      <w:start w:val="1"/>
      <w:numFmt w:val="bullet"/>
      <w:lvlText w:val="•"/>
      <w:lvlJc w:val="left"/>
      <w:pPr>
        <w:tabs>
          <w:tab w:val="num" w:pos="720"/>
        </w:tabs>
        <w:ind w:left="720" w:hanging="360"/>
      </w:pPr>
      <w:rPr>
        <w:rFonts w:ascii="Arial" w:hAnsi="Arial" w:hint="default"/>
      </w:rPr>
    </w:lvl>
    <w:lvl w:ilvl="1" w:tplc="BB728782" w:tentative="1">
      <w:start w:val="1"/>
      <w:numFmt w:val="bullet"/>
      <w:lvlText w:val="•"/>
      <w:lvlJc w:val="left"/>
      <w:pPr>
        <w:tabs>
          <w:tab w:val="num" w:pos="1440"/>
        </w:tabs>
        <w:ind w:left="1440" w:hanging="360"/>
      </w:pPr>
      <w:rPr>
        <w:rFonts w:ascii="Arial" w:hAnsi="Arial" w:hint="default"/>
      </w:rPr>
    </w:lvl>
    <w:lvl w:ilvl="2" w:tplc="007629BA" w:tentative="1">
      <w:start w:val="1"/>
      <w:numFmt w:val="bullet"/>
      <w:lvlText w:val="•"/>
      <w:lvlJc w:val="left"/>
      <w:pPr>
        <w:tabs>
          <w:tab w:val="num" w:pos="2160"/>
        </w:tabs>
        <w:ind w:left="2160" w:hanging="360"/>
      </w:pPr>
      <w:rPr>
        <w:rFonts w:ascii="Arial" w:hAnsi="Arial" w:hint="default"/>
      </w:rPr>
    </w:lvl>
    <w:lvl w:ilvl="3" w:tplc="36F6FFDA" w:tentative="1">
      <w:start w:val="1"/>
      <w:numFmt w:val="bullet"/>
      <w:lvlText w:val="•"/>
      <w:lvlJc w:val="left"/>
      <w:pPr>
        <w:tabs>
          <w:tab w:val="num" w:pos="2880"/>
        </w:tabs>
        <w:ind w:left="2880" w:hanging="360"/>
      </w:pPr>
      <w:rPr>
        <w:rFonts w:ascii="Arial" w:hAnsi="Arial" w:hint="default"/>
      </w:rPr>
    </w:lvl>
    <w:lvl w:ilvl="4" w:tplc="E61698E6" w:tentative="1">
      <w:start w:val="1"/>
      <w:numFmt w:val="bullet"/>
      <w:lvlText w:val="•"/>
      <w:lvlJc w:val="left"/>
      <w:pPr>
        <w:tabs>
          <w:tab w:val="num" w:pos="3600"/>
        </w:tabs>
        <w:ind w:left="3600" w:hanging="360"/>
      </w:pPr>
      <w:rPr>
        <w:rFonts w:ascii="Arial" w:hAnsi="Arial" w:hint="default"/>
      </w:rPr>
    </w:lvl>
    <w:lvl w:ilvl="5" w:tplc="1F5EAEC4" w:tentative="1">
      <w:start w:val="1"/>
      <w:numFmt w:val="bullet"/>
      <w:lvlText w:val="•"/>
      <w:lvlJc w:val="left"/>
      <w:pPr>
        <w:tabs>
          <w:tab w:val="num" w:pos="4320"/>
        </w:tabs>
        <w:ind w:left="4320" w:hanging="360"/>
      </w:pPr>
      <w:rPr>
        <w:rFonts w:ascii="Arial" w:hAnsi="Arial" w:hint="default"/>
      </w:rPr>
    </w:lvl>
    <w:lvl w:ilvl="6" w:tplc="3C920B66" w:tentative="1">
      <w:start w:val="1"/>
      <w:numFmt w:val="bullet"/>
      <w:lvlText w:val="•"/>
      <w:lvlJc w:val="left"/>
      <w:pPr>
        <w:tabs>
          <w:tab w:val="num" w:pos="5040"/>
        </w:tabs>
        <w:ind w:left="5040" w:hanging="360"/>
      </w:pPr>
      <w:rPr>
        <w:rFonts w:ascii="Arial" w:hAnsi="Arial" w:hint="default"/>
      </w:rPr>
    </w:lvl>
    <w:lvl w:ilvl="7" w:tplc="A2C0516A" w:tentative="1">
      <w:start w:val="1"/>
      <w:numFmt w:val="bullet"/>
      <w:lvlText w:val="•"/>
      <w:lvlJc w:val="left"/>
      <w:pPr>
        <w:tabs>
          <w:tab w:val="num" w:pos="5760"/>
        </w:tabs>
        <w:ind w:left="5760" w:hanging="360"/>
      </w:pPr>
      <w:rPr>
        <w:rFonts w:ascii="Arial" w:hAnsi="Arial" w:hint="default"/>
      </w:rPr>
    </w:lvl>
    <w:lvl w:ilvl="8" w:tplc="E71E22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140603"/>
    <w:multiLevelType w:val="hybridMultilevel"/>
    <w:tmpl w:val="9EAC9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E4906"/>
    <w:multiLevelType w:val="hybridMultilevel"/>
    <w:tmpl w:val="71487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A2648"/>
    <w:multiLevelType w:val="hybridMultilevel"/>
    <w:tmpl w:val="C4CC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67A48"/>
    <w:multiLevelType w:val="hybridMultilevel"/>
    <w:tmpl w:val="E9201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421500"/>
    <w:multiLevelType w:val="hybridMultilevel"/>
    <w:tmpl w:val="B2BA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A132D"/>
    <w:multiLevelType w:val="hybridMultilevel"/>
    <w:tmpl w:val="CA70DE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6728C"/>
    <w:multiLevelType w:val="hybridMultilevel"/>
    <w:tmpl w:val="64A4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0644B"/>
    <w:multiLevelType w:val="hybridMultilevel"/>
    <w:tmpl w:val="CA92F7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6162A1"/>
    <w:multiLevelType w:val="hybridMultilevel"/>
    <w:tmpl w:val="1A92D7A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7"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8" w15:restartNumberingAfterBreak="0">
    <w:nsid w:val="727549FF"/>
    <w:multiLevelType w:val="multilevel"/>
    <w:tmpl w:val="03F2B9B8"/>
    <w:lvl w:ilvl="0">
      <w:start w:val="1"/>
      <w:numFmt w:val="decimal"/>
      <w:lvlText w:val="%1"/>
      <w:lvlJc w:val="left"/>
      <w:pPr>
        <w:tabs>
          <w:tab w:val="num" w:pos="1008"/>
        </w:tabs>
        <w:ind w:left="1008" w:hanging="1008"/>
      </w:pPr>
    </w:lvl>
    <w:lvl w:ilvl="1">
      <w:start w:val="1"/>
      <w:numFmt w:val="decimal"/>
      <w:lvlText w:val="%1.%2"/>
      <w:lvlJc w:val="left"/>
      <w:pPr>
        <w:tabs>
          <w:tab w:val="num" w:pos="1008"/>
        </w:tabs>
        <w:ind w:left="1008" w:hanging="1008"/>
      </w:pPr>
      <w:rPr>
        <w:rFonts w:ascii="Verdana" w:hAnsi="Verdana" w:hint="default"/>
      </w:rPr>
    </w:lvl>
    <w:lvl w:ilvl="2">
      <w:start w:val="1"/>
      <w:numFmt w:val="decimal"/>
      <w:lvlText w:val="%1.%2.%3"/>
      <w:lvlJc w:val="left"/>
      <w:pPr>
        <w:tabs>
          <w:tab w:val="num" w:pos="1008"/>
        </w:tabs>
        <w:ind w:left="1008" w:hanging="1008"/>
      </w:pPr>
      <w:rPr>
        <w:rFonts w:ascii="Verdana" w:hAnsi="Verdana" w:hint="default"/>
        <w:b w:val="0"/>
      </w:rPr>
    </w:lvl>
    <w:lvl w:ilvl="3">
      <w:start w:val="1"/>
      <w:numFmt w:val="none"/>
      <w:lvlText w:val="%1.%2.%3.%4"/>
      <w:lvlJc w:val="left"/>
      <w:pPr>
        <w:tabs>
          <w:tab w:val="num" w:pos="108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9" w15:restartNumberingAfterBreak="0">
    <w:nsid w:val="74EE1040"/>
    <w:multiLevelType w:val="hybridMultilevel"/>
    <w:tmpl w:val="20607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40"/>
  </w:num>
  <w:num w:numId="4">
    <w:abstractNumId w:val="27"/>
  </w:num>
  <w:num w:numId="5">
    <w:abstractNumId w:val="2"/>
  </w:num>
  <w:num w:numId="6">
    <w:abstractNumId w:val="14"/>
  </w:num>
  <w:num w:numId="7">
    <w:abstractNumId w:val="13"/>
  </w:num>
  <w:num w:numId="8">
    <w:abstractNumId w:val="26"/>
  </w:num>
  <w:num w:numId="9">
    <w:abstractNumId w:val="30"/>
  </w:num>
  <w:num w:numId="10">
    <w:abstractNumId w:val="12"/>
  </w:num>
  <w:num w:numId="11">
    <w:abstractNumId w:val="31"/>
  </w:num>
  <w:num w:numId="12">
    <w:abstractNumId w:val="9"/>
  </w:num>
  <w:num w:numId="13">
    <w:abstractNumId w:val="17"/>
  </w:num>
  <w:num w:numId="14">
    <w:abstractNumId w:val="19"/>
  </w:num>
  <w:num w:numId="15">
    <w:abstractNumId w:val="6"/>
  </w:num>
  <w:num w:numId="16">
    <w:abstractNumId w:val="37"/>
  </w:num>
  <w:num w:numId="17">
    <w:abstractNumId w:val="29"/>
  </w:num>
  <w:num w:numId="18">
    <w:abstractNumId w:val="35"/>
  </w:num>
  <w:num w:numId="19">
    <w:abstractNumId w:val="34"/>
  </w:num>
  <w:num w:numId="20">
    <w:abstractNumId w:val="5"/>
  </w:num>
  <w:num w:numId="21">
    <w:abstractNumId w:val="32"/>
  </w:num>
  <w:num w:numId="22">
    <w:abstractNumId w:val="28"/>
  </w:num>
  <w:num w:numId="23">
    <w:abstractNumId w:val="23"/>
  </w:num>
  <w:num w:numId="24">
    <w:abstractNumId w:val="33"/>
  </w:num>
  <w:num w:numId="25">
    <w:abstractNumId w:val="0"/>
  </w:num>
  <w:num w:numId="26">
    <w:abstractNumId w:val="21"/>
  </w:num>
  <w:num w:numId="27">
    <w:abstractNumId w:val="38"/>
  </w:num>
  <w:num w:numId="28">
    <w:abstractNumId w:val="3"/>
  </w:num>
  <w:num w:numId="29">
    <w:abstractNumId w:val="1"/>
  </w:num>
  <w:num w:numId="30">
    <w:abstractNumId w:val="24"/>
  </w:num>
  <w:num w:numId="31">
    <w:abstractNumId w:val="10"/>
  </w:num>
  <w:num w:numId="32">
    <w:abstractNumId w:val="8"/>
  </w:num>
  <w:num w:numId="33">
    <w:abstractNumId w:val="16"/>
  </w:num>
  <w:num w:numId="34">
    <w:abstractNumId w:val="11"/>
  </w:num>
  <w:num w:numId="35">
    <w:abstractNumId w:val="20"/>
  </w:num>
  <w:num w:numId="36">
    <w:abstractNumId w:val="7"/>
  </w:num>
  <w:num w:numId="37">
    <w:abstractNumId w:val="4"/>
  </w:num>
  <w:num w:numId="38">
    <w:abstractNumId w:val="22"/>
  </w:num>
  <w:num w:numId="39">
    <w:abstractNumId w:val="36"/>
  </w:num>
  <w:num w:numId="40">
    <w:abstractNumId w:val="3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26747"/>
    <w:rsid w:val="000443FE"/>
    <w:rsid w:val="00051CDC"/>
    <w:rsid w:val="00051E74"/>
    <w:rsid w:val="0005502D"/>
    <w:rsid w:val="00057CFB"/>
    <w:rsid w:val="00097ACD"/>
    <w:rsid w:val="000A4E9A"/>
    <w:rsid w:val="000B306B"/>
    <w:rsid w:val="000B7AFA"/>
    <w:rsid w:val="000F46F4"/>
    <w:rsid w:val="000F5A72"/>
    <w:rsid w:val="001107EE"/>
    <w:rsid w:val="001178D9"/>
    <w:rsid w:val="00121679"/>
    <w:rsid w:val="00123FD2"/>
    <w:rsid w:val="00126327"/>
    <w:rsid w:val="001272F6"/>
    <w:rsid w:val="0013075E"/>
    <w:rsid w:val="00131730"/>
    <w:rsid w:val="00133373"/>
    <w:rsid w:val="00141FC5"/>
    <w:rsid w:val="001B2A97"/>
    <w:rsid w:val="001B3428"/>
    <w:rsid w:val="001C02C6"/>
    <w:rsid w:val="001C305C"/>
    <w:rsid w:val="001C60B5"/>
    <w:rsid w:val="001E5B78"/>
    <w:rsid w:val="00202AB8"/>
    <w:rsid w:val="00211B9D"/>
    <w:rsid w:val="00214BA4"/>
    <w:rsid w:val="0022713F"/>
    <w:rsid w:val="00230755"/>
    <w:rsid w:val="00250088"/>
    <w:rsid w:val="00257CD2"/>
    <w:rsid w:val="00265339"/>
    <w:rsid w:val="00273D26"/>
    <w:rsid w:val="00283552"/>
    <w:rsid w:val="00284D3E"/>
    <w:rsid w:val="002B0BC9"/>
    <w:rsid w:val="002B712E"/>
    <w:rsid w:val="002C0A83"/>
    <w:rsid w:val="002C170B"/>
    <w:rsid w:val="002D11B1"/>
    <w:rsid w:val="002D3A8B"/>
    <w:rsid w:val="002E6258"/>
    <w:rsid w:val="003018F5"/>
    <w:rsid w:val="00304FD0"/>
    <w:rsid w:val="00305721"/>
    <w:rsid w:val="00322D2E"/>
    <w:rsid w:val="00326EC6"/>
    <w:rsid w:val="00337864"/>
    <w:rsid w:val="00345CAF"/>
    <w:rsid w:val="003461AF"/>
    <w:rsid w:val="00371966"/>
    <w:rsid w:val="003A3414"/>
    <w:rsid w:val="003A4023"/>
    <w:rsid w:val="003A5B4E"/>
    <w:rsid w:val="003B40BB"/>
    <w:rsid w:val="003B7361"/>
    <w:rsid w:val="003B7B09"/>
    <w:rsid w:val="003C6952"/>
    <w:rsid w:val="003E2226"/>
    <w:rsid w:val="003F3D59"/>
    <w:rsid w:val="003F3E7F"/>
    <w:rsid w:val="0040037A"/>
    <w:rsid w:val="00406AC9"/>
    <w:rsid w:val="00407604"/>
    <w:rsid w:val="00417A6D"/>
    <w:rsid w:val="00427779"/>
    <w:rsid w:val="004375CA"/>
    <w:rsid w:val="0046169C"/>
    <w:rsid w:val="00480353"/>
    <w:rsid w:val="004939C2"/>
    <w:rsid w:val="00497F39"/>
    <w:rsid w:val="004A4626"/>
    <w:rsid w:val="004A6253"/>
    <w:rsid w:val="004B31A5"/>
    <w:rsid w:val="004C0309"/>
    <w:rsid w:val="004D632B"/>
    <w:rsid w:val="004F24A1"/>
    <w:rsid w:val="00504A87"/>
    <w:rsid w:val="0050500B"/>
    <w:rsid w:val="00506C55"/>
    <w:rsid w:val="0052328C"/>
    <w:rsid w:val="0053026A"/>
    <w:rsid w:val="00536FA4"/>
    <w:rsid w:val="00544C9E"/>
    <w:rsid w:val="00554429"/>
    <w:rsid w:val="0055720E"/>
    <w:rsid w:val="00564789"/>
    <w:rsid w:val="005767ED"/>
    <w:rsid w:val="00577744"/>
    <w:rsid w:val="00590736"/>
    <w:rsid w:val="005B4E75"/>
    <w:rsid w:val="005C7D40"/>
    <w:rsid w:val="005D5FC4"/>
    <w:rsid w:val="005E33CB"/>
    <w:rsid w:val="00607476"/>
    <w:rsid w:val="00611958"/>
    <w:rsid w:val="006310BB"/>
    <w:rsid w:val="00641332"/>
    <w:rsid w:val="00657B25"/>
    <w:rsid w:val="00660772"/>
    <w:rsid w:val="006665A2"/>
    <w:rsid w:val="00672175"/>
    <w:rsid w:val="00680248"/>
    <w:rsid w:val="00680CAE"/>
    <w:rsid w:val="0068275A"/>
    <w:rsid w:val="0068334E"/>
    <w:rsid w:val="006C4A51"/>
    <w:rsid w:val="006D0542"/>
    <w:rsid w:val="006F654D"/>
    <w:rsid w:val="00737008"/>
    <w:rsid w:val="00741B4F"/>
    <w:rsid w:val="00754449"/>
    <w:rsid w:val="00760024"/>
    <w:rsid w:val="007623DA"/>
    <w:rsid w:val="007774C7"/>
    <w:rsid w:val="007A47F5"/>
    <w:rsid w:val="007C419D"/>
    <w:rsid w:val="007D01C9"/>
    <w:rsid w:val="007D03B8"/>
    <w:rsid w:val="007D04C7"/>
    <w:rsid w:val="007D2CCD"/>
    <w:rsid w:val="007D79E4"/>
    <w:rsid w:val="007E0239"/>
    <w:rsid w:val="007E45DA"/>
    <w:rsid w:val="007F7EA7"/>
    <w:rsid w:val="008036D5"/>
    <w:rsid w:val="00805FAF"/>
    <w:rsid w:val="00824D05"/>
    <w:rsid w:val="008524C0"/>
    <w:rsid w:val="00857182"/>
    <w:rsid w:val="008653E0"/>
    <w:rsid w:val="00872DD5"/>
    <w:rsid w:val="0087331D"/>
    <w:rsid w:val="00880111"/>
    <w:rsid w:val="008902AA"/>
    <w:rsid w:val="008903D0"/>
    <w:rsid w:val="00890A9D"/>
    <w:rsid w:val="00893619"/>
    <w:rsid w:val="008A045C"/>
    <w:rsid w:val="008A28EB"/>
    <w:rsid w:val="008A2D5F"/>
    <w:rsid w:val="008A50DE"/>
    <w:rsid w:val="008C12E0"/>
    <w:rsid w:val="008C745A"/>
    <w:rsid w:val="008D4CCD"/>
    <w:rsid w:val="008F1F7E"/>
    <w:rsid w:val="00911572"/>
    <w:rsid w:val="00912C7B"/>
    <w:rsid w:val="00916053"/>
    <w:rsid w:val="00921F72"/>
    <w:rsid w:val="009233B4"/>
    <w:rsid w:val="00923A14"/>
    <w:rsid w:val="009328E2"/>
    <w:rsid w:val="00933AB1"/>
    <w:rsid w:val="0095007F"/>
    <w:rsid w:val="00950307"/>
    <w:rsid w:val="00961E2C"/>
    <w:rsid w:val="00980587"/>
    <w:rsid w:val="00980F99"/>
    <w:rsid w:val="0098365C"/>
    <w:rsid w:val="009878C1"/>
    <w:rsid w:val="00987E54"/>
    <w:rsid w:val="009931F2"/>
    <w:rsid w:val="00995D30"/>
    <w:rsid w:val="009A22FD"/>
    <w:rsid w:val="009B2519"/>
    <w:rsid w:val="009B5C8B"/>
    <w:rsid w:val="009C0B0C"/>
    <w:rsid w:val="009F69B2"/>
    <w:rsid w:val="009F7F6B"/>
    <w:rsid w:val="00A00C2D"/>
    <w:rsid w:val="00A03FEB"/>
    <w:rsid w:val="00A06B87"/>
    <w:rsid w:val="00A177D9"/>
    <w:rsid w:val="00A250EA"/>
    <w:rsid w:val="00A25B36"/>
    <w:rsid w:val="00A279F5"/>
    <w:rsid w:val="00A34009"/>
    <w:rsid w:val="00A40598"/>
    <w:rsid w:val="00A435F1"/>
    <w:rsid w:val="00A447E2"/>
    <w:rsid w:val="00A56D26"/>
    <w:rsid w:val="00A578A4"/>
    <w:rsid w:val="00A60C7E"/>
    <w:rsid w:val="00A60D6C"/>
    <w:rsid w:val="00A71C20"/>
    <w:rsid w:val="00A917A1"/>
    <w:rsid w:val="00A977DA"/>
    <w:rsid w:val="00AB112A"/>
    <w:rsid w:val="00AC10C0"/>
    <w:rsid w:val="00AC45EB"/>
    <w:rsid w:val="00AC5841"/>
    <w:rsid w:val="00AD7227"/>
    <w:rsid w:val="00AE3D01"/>
    <w:rsid w:val="00AF3146"/>
    <w:rsid w:val="00B00419"/>
    <w:rsid w:val="00B21489"/>
    <w:rsid w:val="00B22FB2"/>
    <w:rsid w:val="00B47936"/>
    <w:rsid w:val="00B509E3"/>
    <w:rsid w:val="00B528AC"/>
    <w:rsid w:val="00B52B29"/>
    <w:rsid w:val="00B6059D"/>
    <w:rsid w:val="00B80218"/>
    <w:rsid w:val="00B936DE"/>
    <w:rsid w:val="00B94BB0"/>
    <w:rsid w:val="00B9529A"/>
    <w:rsid w:val="00BA3E2A"/>
    <w:rsid w:val="00BC39AE"/>
    <w:rsid w:val="00BC5B9C"/>
    <w:rsid w:val="00BF3E39"/>
    <w:rsid w:val="00BF518F"/>
    <w:rsid w:val="00C00704"/>
    <w:rsid w:val="00C05D9F"/>
    <w:rsid w:val="00C1444B"/>
    <w:rsid w:val="00C17DDB"/>
    <w:rsid w:val="00C4504F"/>
    <w:rsid w:val="00C52D70"/>
    <w:rsid w:val="00C84EE5"/>
    <w:rsid w:val="00C87F23"/>
    <w:rsid w:val="00C9163D"/>
    <w:rsid w:val="00CA42B2"/>
    <w:rsid w:val="00CA4D3A"/>
    <w:rsid w:val="00CA4DA9"/>
    <w:rsid w:val="00CA5841"/>
    <w:rsid w:val="00CA7E0D"/>
    <w:rsid w:val="00CB0E6B"/>
    <w:rsid w:val="00CC764D"/>
    <w:rsid w:val="00CD3C31"/>
    <w:rsid w:val="00CE6807"/>
    <w:rsid w:val="00CE6EB8"/>
    <w:rsid w:val="00CF7674"/>
    <w:rsid w:val="00D25D84"/>
    <w:rsid w:val="00D26E48"/>
    <w:rsid w:val="00D34F08"/>
    <w:rsid w:val="00D41503"/>
    <w:rsid w:val="00D45A01"/>
    <w:rsid w:val="00D55785"/>
    <w:rsid w:val="00D5586D"/>
    <w:rsid w:val="00D60F40"/>
    <w:rsid w:val="00D64BA8"/>
    <w:rsid w:val="00D713DC"/>
    <w:rsid w:val="00D74461"/>
    <w:rsid w:val="00D86745"/>
    <w:rsid w:val="00D87080"/>
    <w:rsid w:val="00DA2383"/>
    <w:rsid w:val="00DC594E"/>
    <w:rsid w:val="00DE2218"/>
    <w:rsid w:val="00DE7DF5"/>
    <w:rsid w:val="00DF60B6"/>
    <w:rsid w:val="00E000CA"/>
    <w:rsid w:val="00E01426"/>
    <w:rsid w:val="00E02A10"/>
    <w:rsid w:val="00E07F66"/>
    <w:rsid w:val="00E11F44"/>
    <w:rsid w:val="00E24001"/>
    <w:rsid w:val="00E263D4"/>
    <w:rsid w:val="00E333F3"/>
    <w:rsid w:val="00E343B1"/>
    <w:rsid w:val="00E371EA"/>
    <w:rsid w:val="00E37B54"/>
    <w:rsid w:val="00E56DBB"/>
    <w:rsid w:val="00E805CD"/>
    <w:rsid w:val="00EA23FA"/>
    <w:rsid w:val="00EA4379"/>
    <w:rsid w:val="00EB0841"/>
    <w:rsid w:val="00EC6188"/>
    <w:rsid w:val="00EE1810"/>
    <w:rsid w:val="00EE7097"/>
    <w:rsid w:val="00EF229F"/>
    <w:rsid w:val="00F033DF"/>
    <w:rsid w:val="00F2582A"/>
    <w:rsid w:val="00F31C10"/>
    <w:rsid w:val="00F3400C"/>
    <w:rsid w:val="00F47896"/>
    <w:rsid w:val="00F479A1"/>
    <w:rsid w:val="00F86916"/>
    <w:rsid w:val="00F95B15"/>
    <w:rsid w:val="00FA2258"/>
    <w:rsid w:val="00FA62CB"/>
    <w:rsid w:val="00FA7943"/>
    <w:rsid w:val="00FB4987"/>
    <w:rsid w:val="00FB67EB"/>
    <w:rsid w:val="00FC2859"/>
    <w:rsid w:val="00FC7FAE"/>
    <w:rsid w:val="00FD1D43"/>
    <w:rsid w:val="00FD633B"/>
    <w:rsid w:val="00FE6873"/>
    <w:rsid w:val="00FF1936"/>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4B8E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95D30"/>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5">
    <w:name w:val="heading 5"/>
    <w:basedOn w:val="Normal"/>
    <w:next w:val="Normal"/>
    <w:link w:val="Heading5Char"/>
    <w:uiPriority w:val="9"/>
    <w:qFormat/>
    <w:rsid w:val="00995D30"/>
    <w:pPr>
      <w:keepNext/>
      <w:tabs>
        <w:tab w:val="num" w:pos="360"/>
      </w:tabs>
      <w:spacing w:before="240"/>
      <w:jc w:val="both"/>
      <w:outlineLvl w:val="4"/>
    </w:pPr>
    <w:rPr>
      <w:rFonts w:eastAsia="Times New Roman" w:cs="Times New Roman"/>
      <w:b/>
      <w:szCs w:val="20"/>
    </w:rPr>
  </w:style>
  <w:style w:type="paragraph" w:styleId="Heading7">
    <w:name w:val="heading 7"/>
    <w:basedOn w:val="Normal"/>
    <w:next w:val="Normal"/>
    <w:link w:val="Heading7Char"/>
    <w:uiPriority w:val="99"/>
    <w:qFormat/>
    <w:rsid w:val="00995D30"/>
    <w:pPr>
      <w:keepNext/>
      <w:tabs>
        <w:tab w:val="num" w:pos="360"/>
      </w:tabs>
      <w:spacing w:before="240"/>
      <w:jc w:val="both"/>
      <w:outlineLvl w:val="6"/>
    </w:pPr>
    <w:rPr>
      <w:rFonts w:eastAsia="Times New Roman" w:cs="Times New Roman"/>
      <w:b/>
      <w:szCs w:val="20"/>
    </w:rPr>
  </w:style>
  <w:style w:type="paragraph" w:styleId="Heading8">
    <w:name w:val="heading 8"/>
    <w:basedOn w:val="Normal"/>
    <w:next w:val="Normal"/>
    <w:link w:val="Heading8Char"/>
    <w:uiPriority w:val="99"/>
    <w:qFormat/>
    <w:rsid w:val="00995D30"/>
    <w:pPr>
      <w:keepNext/>
      <w:tabs>
        <w:tab w:val="num" w:pos="360"/>
      </w:tabs>
      <w:spacing w:before="120"/>
      <w:jc w:val="both"/>
      <w:outlineLvl w:val="7"/>
    </w:pPr>
    <w:rPr>
      <w:rFonts w:eastAsia="Times New Roman" w:cs="Times New Roman"/>
      <w:b/>
      <w:szCs w:val="20"/>
    </w:rPr>
  </w:style>
  <w:style w:type="paragraph" w:styleId="Heading9">
    <w:name w:val="heading 9"/>
    <w:basedOn w:val="Normal"/>
    <w:next w:val="Normal"/>
    <w:link w:val="Heading9Char"/>
    <w:uiPriority w:val="99"/>
    <w:qFormat/>
    <w:rsid w:val="00995D30"/>
    <w:pPr>
      <w:keepNext/>
      <w:tabs>
        <w:tab w:val="num" w:pos="360"/>
      </w:tabs>
      <w:spacing w:before="240"/>
      <w:jc w:val="both"/>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character" w:customStyle="1" w:styleId="ListParagraphChar">
    <w:name w:val="List Paragraph Char"/>
    <w:basedOn w:val="DefaultParagraphFont"/>
    <w:link w:val="ListParagraph"/>
    <w:uiPriority w:val="34"/>
    <w:locked/>
    <w:rsid w:val="00A177D9"/>
    <w:rPr>
      <w:rFonts w:ascii="Verdana" w:hAnsi="Verdana"/>
      <w:sz w:val="24"/>
    </w:rPr>
  </w:style>
  <w:style w:type="character" w:customStyle="1" w:styleId="Heading3Char">
    <w:name w:val="Heading 3 Char"/>
    <w:basedOn w:val="DefaultParagraphFont"/>
    <w:link w:val="Heading3"/>
    <w:uiPriority w:val="9"/>
    <w:rsid w:val="00995D3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rsid w:val="00995D30"/>
    <w:rPr>
      <w:rFonts w:ascii="Verdana" w:eastAsia="Times New Roman" w:hAnsi="Verdana" w:cs="Times New Roman"/>
      <w:b/>
      <w:sz w:val="24"/>
      <w:szCs w:val="20"/>
    </w:rPr>
  </w:style>
  <w:style w:type="character" w:customStyle="1" w:styleId="Heading7Char">
    <w:name w:val="Heading 7 Char"/>
    <w:basedOn w:val="DefaultParagraphFont"/>
    <w:link w:val="Heading7"/>
    <w:uiPriority w:val="99"/>
    <w:rsid w:val="00995D30"/>
    <w:rPr>
      <w:rFonts w:ascii="Verdana" w:eastAsia="Times New Roman" w:hAnsi="Verdana" w:cs="Times New Roman"/>
      <w:b/>
      <w:sz w:val="24"/>
      <w:szCs w:val="20"/>
    </w:rPr>
  </w:style>
  <w:style w:type="character" w:customStyle="1" w:styleId="Heading8Char">
    <w:name w:val="Heading 8 Char"/>
    <w:basedOn w:val="DefaultParagraphFont"/>
    <w:link w:val="Heading8"/>
    <w:uiPriority w:val="99"/>
    <w:rsid w:val="00995D30"/>
    <w:rPr>
      <w:rFonts w:ascii="Verdana" w:eastAsia="Times New Roman" w:hAnsi="Verdana" w:cs="Times New Roman"/>
      <w:b/>
      <w:sz w:val="24"/>
      <w:szCs w:val="20"/>
    </w:rPr>
  </w:style>
  <w:style w:type="character" w:customStyle="1" w:styleId="Heading9Char">
    <w:name w:val="Heading 9 Char"/>
    <w:basedOn w:val="DefaultParagraphFont"/>
    <w:link w:val="Heading9"/>
    <w:uiPriority w:val="99"/>
    <w:rsid w:val="00995D30"/>
    <w:rPr>
      <w:rFonts w:ascii="Verdana" w:eastAsia="Times New Roman" w:hAnsi="Verdana"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84038">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182429500">
      <w:bodyDiv w:val="1"/>
      <w:marLeft w:val="0"/>
      <w:marRight w:val="0"/>
      <w:marTop w:val="0"/>
      <w:marBottom w:val="0"/>
      <w:divBdr>
        <w:top w:val="none" w:sz="0" w:space="0" w:color="auto"/>
        <w:left w:val="none" w:sz="0" w:space="0" w:color="auto"/>
        <w:bottom w:val="none" w:sz="0" w:space="0" w:color="auto"/>
        <w:right w:val="none" w:sz="0" w:space="0" w:color="auto"/>
      </w:divBdr>
    </w:div>
    <w:div w:id="1350065033">
      <w:bodyDiv w:val="1"/>
      <w:marLeft w:val="0"/>
      <w:marRight w:val="0"/>
      <w:marTop w:val="0"/>
      <w:marBottom w:val="0"/>
      <w:divBdr>
        <w:top w:val="none" w:sz="0" w:space="0" w:color="auto"/>
        <w:left w:val="none" w:sz="0" w:space="0" w:color="auto"/>
        <w:bottom w:val="none" w:sz="0" w:space="0" w:color="auto"/>
        <w:right w:val="none" w:sz="0" w:space="0" w:color="auto"/>
      </w:divBdr>
      <w:divsChild>
        <w:div w:id="1424764349">
          <w:marLeft w:val="446"/>
          <w:marRight w:val="0"/>
          <w:marTop w:val="200"/>
          <w:marBottom w:val="0"/>
          <w:divBdr>
            <w:top w:val="none" w:sz="0" w:space="0" w:color="auto"/>
            <w:left w:val="none" w:sz="0" w:space="0" w:color="auto"/>
            <w:bottom w:val="none" w:sz="0" w:space="0" w:color="auto"/>
            <w:right w:val="none" w:sz="0" w:space="0" w:color="auto"/>
          </w:divBdr>
        </w:div>
        <w:div w:id="254750318">
          <w:marLeft w:val="446"/>
          <w:marRight w:val="0"/>
          <w:marTop w:val="200"/>
          <w:marBottom w:val="0"/>
          <w:divBdr>
            <w:top w:val="none" w:sz="0" w:space="0" w:color="auto"/>
            <w:left w:val="none" w:sz="0" w:space="0" w:color="auto"/>
            <w:bottom w:val="none" w:sz="0" w:space="0" w:color="auto"/>
            <w:right w:val="none" w:sz="0" w:space="0" w:color="auto"/>
          </w:divBdr>
        </w:div>
      </w:divsChild>
    </w:div>
    <w:div w:id="1420909709">
      <w:bodyDiv w:val="1"/>
      <w:marLeft w:val="0"/>
      <w:marRight w:val="0"/>
      <w:marTop w:val="0"/>
      <w:marBottom w:val="0"/>
      <w:divBdr>
        <w:top w:val="none" w:sz="0" w:space="0" w:color="auto"/>
        <w:left w:val="none" w:sz="0" w:space="0" w:color="auto"/>
        <w:bottom w:val="none" w:sz="0" w:space="0" w:color="auto"/>
        <w:right w:val="none" w:sz="0" w:space="0" w:color="auto"/>
      </w:divBdr>
      <w:divsChild>
        <w:div w:id="1015571482">
          <w:marLeft w:val="446"/>
          <w:marRight w:val="0"/>
          <w:marTop w:val="200"/>
          <w:marBottom w:val="0"/>
          <w:divBdr>
            <w:top w:val="none" w:sz="0" w:space="0" w:color="auto"/>
            <w:left w:val="none" w:sz="0" w:space="0" w:color="auto"/>
            <w:bottom w:val="none" w:sz="0" w:space="0" w:color="auto"/>
            <w:right w:val="none" w:sz="0" w:space="0" w:color="auto"/>
          </w:divBdr>
        </w:div>
        <w:div w:id="1902402792">
          <w:marLeft w:val="446"/>
          <w:marRight w:val="0"/>
          <w:marTop w:val="200"/>
          <w:marBottom w:val="0"/>
          <w:divBdr>
            <w:top w:val="none" w:sz="0" w:space="0" w:color="auto"/>
            <w:left w:val="none" w:sz="0" w:space="0" w:color="auto"/>
            <w:bottom w:val="none" w:sz="0" w:space="0" w:color="auto"/>
            <w:right w:val="none" w:sz="0" w:space="0" w:color="auto"/>
          </w:divBdr>
        </w:div>
      </w:divsChild>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489901235">
      <w:bodyDiv w:val="1"/>
      <w:marLeft w:val="0"/>
      <w:marRight w:val="0"/>
      <w:marTop w:val="0"/>
      <w:marBottom w:val="0"/>
      <w:divBdr>
        <w:top w:val="none" w:sz="0" w:space="0" w:color="auto"/>
        <w:left w:val="none" w:sz="0" w:space="0" w:color="auto"/>
        <w:bottom w:val="none" w:sz="0" w:space="0" w:color="auto"/>
        <w:right w:val="none" w:sz="0" w:space="0" w:color="auto"/>
      </w:divBdr>
    </w:div>
    <w:div w:id="1636064863">
      <w:bodyDiv w:val="1"/>
      <w:marLeft w:val="0"/>
      <w:marRight w:val="0"/>
      <w:marTop w:val="0"/>
      <w:marBottom w:val="0"/>
      <w:divBdr>
        <w:top w:val="none" w:sz="0" w:space="0" w:color="auto"/>
        <w:left w:val="none" w:sz="0" w:space="0" w:color="auto"/>
        <w:bottom w:val="none" w:sz="0" w:space="0" w:color="auto"/>
        <w:right w:val="none" w:sz="0" w:space="0" w:color="auto"/>
      </w:divBdr>
      <w:divsChild>
        <w:div w:id="1735738402">
          <w:marLeft w:val="44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E6527"/>
    <w:rsid w:val="0023014A"/>
    <w:rsid w:val="003D3909"/>
    <w:rsid w:val="0045397F"/>
    <w:rsid w:val="004838BF"/>
    <w:rsid w:val="004C7058"/>
    <w:rsid w:val="005A164A"/>
    <w:rsid w:val="006939B9"/>
    <w:rsid w:val="00760EAF"/>
    <w:rsid w:val="00884126"/>
    <w:rsid w:val="00895D61"/>
    <w:rsid w:val="00942F3C"/>
    <w:rsid w:val="0098440F"/>
    <w:rsid w:val="009C3B03"/>
    <w:rsid w:val="00A12BED"/>
    <w:rsid w:val="00AA293F"/>
    <w:rsid w:val="00B518DF"/>
    <w:rsid w:val="00B661DB"/>
    <w:rsid w:val="00CF449E"/>
    <w:rsid w:val="00E861E6"/>
    <w:rsid w:val="00EC07D9"/>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8B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2.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3.xml><?xml version="1.0" encoding="utf-8"?>
<ds:datastoreItem xmlns:ds="http://schemas.openxmlformats.org/officeDocument/2006/customXml" ds:itemID="{8CDE4FD6-408B-48BD-A088-9C453C496D1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73deb0b-1af8-4c22-839e-5226f9086661"/>
    <ds:schemaRef ds:uri="fd053438-771b-42ba-9d81-01aaf027653a"/>
  </ds:schemaRefs>
</ds:datastoreItem>
</file>

<file path=customXml/itemProps4.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CA3DA1-C4FB-41BF-BBFF-8FC4B69E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2358</Words>
  <Characters>13442</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Board and Committe template 2019</vt:lpstr>
      <vt:lpstr>Purpose / situation</vt:lpstr>
      <vt:lpstr>Background</vt:lpstr>
      <vt:lpstr>Programme Update</vt:lpstr>
      <vt:lpstr>    Business Continuity</vt:lpstr>
      <vt:lpstr>    3.2	Health Securities</vt:lpstr>
      <vt:lpstr>    3.3	Non-Legislative Framework</vt:lpstr>
      <vt:lpstr>    3.4	Our Staff</vt:lpstr>
      <vt:lpstr>    3.5	Communications</vt:lpstr>
      <vt:lpstr>Recommendation</vt:lpstr>
    </vt:vector>
  </TitlesOfParts>
  <Company>Public Health Wales</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4</cp:revision>
  <cp:lastPrinted>2017-10-16T08:46:00Z</cp:lastPrinted>
  <dcterms:created xsi:type="dcterms:W3CDTF">2020-11-16T10:56:00Z</dcterms:created>
  <dcterms:modified xsi:type="dcterms:W3CDTF">2020-11-19T16:16:00Z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