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5F74B8E9" w14:textId="77777777" w:rsidTr="0013075E">
        <w:tc>
          <w:tcPr>
            <w:tcW w:w="5202" w:type="dxa"/>
            <w:gridSpan w:val="4"/>
            <w:vMerge w:val="restart"/>
          </w:tcPr>
          <w:p w14:paraId="5F74B8E6" w14:textId="77777777" w:rsidR="0013075E" w:rsidRPr="008F1F7E" w:rsidRDefault="0013075E" w:rsidP="00CF7674">
            <w:r w:rsidRPr="008F1F7E">
              <w:rPr>
                <w:b/>
                <w:noProof/>
                <w:lang w:eastAsia="en-GB"/>
              </w:rPr>
              <w:drawing>
                <wp:inline distT="0" distB="0" distL="0" distR="0" wp14:anchorId="5F74B989" wp14:editId="5F74B98A">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5F74B8E7"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5F74B8E8" w14:textId="1E6ABC94" w:rsidR="0013075E" w:rsidRPr="00EE7097" w:rsidRDefault="007F0A6E" w:rsidP="00EE7097">
                <w:pPr>
                  <w:jc w:val="right"/>
                  <w:rPr>
                    <w:b/>
                    <w:szCs w:val="24"/>
                  </w:rPr>
                </w:pPr>
                <w:r>
                  <w:rPr>
                    <w:rStyle w:val="Dropdown"/>
                  </w:rPr>
                  <w:t>Board</w:t>
                </w:r>
              </w:p>
            </w:sdtContent>
          </w:sdt>
        </w:tc>
      </w:tr>
      <w:tr w:rsidR="0013075E" w:rsidRPr="008F1F7E" w14:paraId="5F74B8ED" w14:textId="77777777" w:rsidTr="0013075E">
        <w:tc>
          <w:tcPr>
            <w:tcW w:w="5202" w:type="dxa"/>
            <w:gridSpan w:val="4"/>
            <w:vMerge/>
          </w:tcPr>
          <w:p w14:paraId="5F74B8EA" w14:textId="77777777" w:rsidR="0013075E" w:rsidRPr="008F1F7E" w:rsidRDefault="0013075E" w:rsidP="00CF7674">
            <w:pPr>
              <w:rPr>
                <w:b/>
                <w:noProof/>
                <w:lang w:eastAsia="en-GB"/>
              </w:rPr>
            </w:pPr>
          </w:p>
        </w:tc>
        <w:tc>
          <w:tcPr>
            <w:tcW w:w="4040" w:type="dxa"/>
            <w:gridSpan w:val="3"/>
            <w:tcBorders>
              <w:top w:val="nil"/>
              <w:bottom w:val="nil"/>
            </w:tcBorders>
          </w:tcPr>
          <w:p w14:paraId="5F74B8EB" w14:textId="77777777" w:rsidR="00D34F08" w:rsidRPr="00470E75" w:rsidRDefault="00D34F08" w:rsidP="00EE7097">
            <w:pPr>
              <w:jc w:val="right"/>
              <w:rPr>
                <w:b/>
              </w:rPr>
            </w:pPr>
            <w:r w:rsidRPr="00470E75">
              <w:rPr>
                <w:b/>
              </w:rPr>
              <w:t>Date of Meeting</w:t>
            </w:r>
          </w:p>
          <w:p w14:paraId="5F74B8EC" w14:textId="088E24BC" w:rsidR="0013075E" w:rsidRPr="00470E75" w:rsidRDefault="009123CF" w:rsidP="00EE7097">
            <w:pPr>
              <w:jc w:val="right"/>
            </w:pPr>
            <w:r w:rsidRPr="00470E75">
              <w:t>24 November 2022</w:t>
            </w:r>
          </w:p>
        </w:tc>
      </w:tr>
      <w:tr w:rsidR="0013075E" w:rsidRPr="008F1F7E" w14:paraId="5F74B8F1" w14:textId="77777777" w:rsidTr="0013075E">
        <w:tc>
          <w:tcPr>
            <w:tcW w:w="5202" w:type="dxa"/>
            <w:gridSpan w:val="4"/>
            <w:vMerge/>
            <w:tcBorders>
              <w:bottom w:val="single" w:sz="4" w:space="0" w:color="auto"/>
            </w:tcBorders>
          </w:tcPr>
          <w:p w14:paraId="5F74B8EE"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5F74B8EF" w14:textId="77777777" w:rsidR="0013075E" w:rsidRPr="00470E75" w:rsidRDefault="0013075E" w:rsidP="00EE7097">
            <w:pPr>
              <w:jc w:val="right"/>
              <w:rPr>
                <w:b/>
              </w:rPr>
            </w:pPr>
            <w:r w:rsidRPr="00470E75">
              <w:rPr>
                <w:b/>
              </w:rPr>
              <w:t>Agenda item:</w:t>
            </w:r>
          </w:p>
          <w:p w14:paraId="5F74B8F0" w14:textId="476B39F5" w:rsidR="0013075E" w:rsidRPr="00470E75" w:rsidRDefault="00470E75" w:rsidP="00EE7097">
            <w:pPr>
              <w:jc w:val="right"/>
              <w:rPr>
                <w:i/>
              </w:rPr>
            </w:pPr>
            <w:r w:rsidRPr="00470E75">
              <w:rPr>
                <w:i/>
              </w:rPr>
              <w:t>3</w:t>
            </w:r>
          </w:p>
        </w:tc>
      </w:tr>
      <w:tr w:rsidR="00EE7097" w:rsidRPr="008F1F7E" w14:paraId="5F74B8F5" w14:textId="77777777" w:rsidTr="00407604">
        <w:tc>
          <w:tcPr>
            <w:tcW w:w="9242" w:type="dxa"/>
            <w:gridSpan w:val="7"/>
            <w:tcBorders>
              <w:left w:val="nil"/>
              <w:right w:val="nil"/>
            </w:tcBorders>
            <w:vAlign w:val="center"/>
          </w:tcPr>
          <w:p w14:paraId="5F74B8F4" w14:textId="61393E97" w:rsidR="00D34F08" w:rsidRPr="00912C7B" w:rsidRDefault="00D34F08" w:rsidP="00D34F08">
            <w:pPr>
              <w:rPr>
                <w:b/>
                <w:sz w:val="28"/>
              </w:rPr>
            </w:pPr>
          </w:p>
        </w:tc>
      </w:tr>
      <w:tr w:rsidR="00EE7097" w:rsidRPr="008F1F7E" w14:paraId="5F74B8F7" w14:textId="77777777" w:rsidTr="00544C9E">
        <w:tc>
          <w:tcPr>
            <w:tcW w:w="9242" w:type="dxa"/>
            <w:gridSpan w:val="7"/>
            <w:vAlign w:val="center"/>
          </w:tcPr>
          <w:p w14:paraId="5F74B8F6" w14:textId="2A4C9E4D" w:rsidR="00EE7097" w:rsidRPr="00D34F08" w:rsidRDefault="00D85A97" w:rsidP="00D34F08">
            <w:pPr>
              <w:jc w:val="center"/>
              <w:rPr>
                <w:b/>
                <w:sz w:val="36"/>
                <w:szCs w:val="36"/>
              </w:rPr>
            </w:pPr>
            <w:r>
              <w:rPr>
                <w:b/>
                <w:sz w:val="36"/>
                <w:szCs w:val="36"/>
              </w:rPr>
              <w:t>Public Health Merit Award (Badge)</w:t>
            </w:r>
          </w:p>
        </w:tc>
      </w:tr>
      <w:tr w:rsidR="00EE7097" w:rsidRPr="001C60B5" w14:paraId="5F74B8FA" w14:textId="77777777" w:rsidTr="0013075E">
        <w:tc>
          <w:tcPr>
            <w:tcW w:w="2802" w:type="dxa"/>
            <w:gridSpan w:val="2"/>
          </w:tcPr>
          <w:p w14:paraId="5F74B8F8" w14:textId="77777777" w:rsidR="00EE7097" w:rsidRPr="001C60B5" w:rsidRDefault="00EE7097">
            <w:pPr>
              <w:rPr>
                <w:b/>
                <w:szCs w:val="24"/>
              </w:rPr>
            </w:pPr>
            <w:r w:rsidRPr="001C60B5">
              <w:rPr>
                <w:b/>
                <w:szCs w:val="24"/>
              </w:rPr>
              <w:t>Executive lead:</w:t>
            </w:r>
          </w:p>
        </w:tc>
        <w:tc>
          <w:tcPr>
            <w:tcW w:w="6440" w:type="dxa"/>
            <w:gridSpan w:val="5"/>
          </w:tcPr>
          <w:p w14:paraId="5F74B8F9" w14:textId="4DD6FE18" w:rsidR="00EE7097" w:rsidRPr="00D85A97" w:rsidRDefault="00D85A97" w:rsidP="00D85A97">
            <w:pPr>
              <w:rPr>
                <w:szCs w:val="24"/>
              </w:rPr>
            </w:pPr>
            <w:r w:rsidRPr="00D85A97">
              <w:rPr>
                <w:szCs w:val="24"/>
              </w:rPr>
              <w:t>Rhiannon Beaumont-Wood, Executive Director of Quality &amp; Nursing</w:t>
            </w:r>
          </w:p>
        </w:tc>
      </w:tr>
      <w:tr w:rsidR="00EE7097" w:rsidRPr="001C60B5" w14:paraId="5F74B8FD" w14:textId="77777777" w:rsidTr="0013075E">
        <w:tc>
          <w:tcPr>
            <w:tcW w:w="2802" w:type="dxa"/>
            <w:gridSpan w:val="2"/>
          </w:tcPr>
          <w:p w14:paraId="5F74B8FB" w14:textId="77777777" w:rsidR="00EE7097" w:rsidRPr="001C60B5" w:rsidRDefault="00EE7097">
            <w:pPr>
              <w:rPr>
                <w:b/>
                <w:szCs w:val="24"/>
              </w:rPr>
            </w:pPr>
            <w:r w:rsidRPr="001C60B5">
              <w:rPr>
                <w:b/>
                <w:szCs w:val="24"/>
              </w:rPr>
              <w:t>Author:</w:t>
            </w:r>
          </w:p>
        </w:tc>
        <w:tc>
          <w:tcPr>
            <w:tcW w:w="6440" w:type="dxa"/>
            <w:gridSpan w:val="5"/>
          </w:tcPr>
          <w:p w14:paraId="5F74B8FC" w14:textId="720C6987" w:rsidR="00EE7097" w:rsidRPr="00D85A97" w:rsidRDefault="00D85A97" w:rsidP="00D85A97">
            <w:pPr>
              <w:rPr>
                <w:szCs w:val="24"/>
              </w:rPr>
            </w:pPr>
            <w:r w:rsidRPr="00D85A97">
              <w:rPr>
                <w:szCs w:val="24"/>
              </w:rPr>
              <w:t xml:space="preserve">Rebecca Fogarty, Engagement &amp; Collaboration Manager </w:t>
            </w:r>
          </w:p>
        </w:tc>
      </w:tr>
      <w:tr w:rsidR="00EE7097" w:rsidRPr="001C60B5" w14:paraId="5F74B900" w14:textId="77777777" w:rsidTr="005B4E75">
        <w:trPr>
          <w:trHeight w:val="149"/>
        </w:trPr>
        <w:tc>
          <w:tcPr>
            <w:tcW w:w="2802" w:type="dxa"/>
            <w:gridSpan w:val="2"/>
            <w:tcBorders>
              <w:left w:val="nil"/>
              <w:right w:val="nil"/>
            </w:tcBorders>
          </w:tcPr>
          <w:p w14:paraId="5F74B8FE" w14:textId="77777777" w:rsidR="00EE7097" w:rsidRPr="005B4E75" w:rsidRDefault="00EE7097">
            <w:pPr>
              <w:rPr>
                <w:b/>
                <w:sz w:val="12"/>
                <w:szCs w:val="12"/>
              </w:rPr>
            </w:pPr>
          </w:p>
        </w:tc>
        <w:tc>
          <w:tcPr>
            <w:tcW w:w="6440" w:type="dxa"/>
            <w:gridSpan w:val="5"/>
            <w:tcBorders>
              <w:left w:val="nil"/>
              <w:right w:val="nil"/>
            </w:tcBorders>
          </w:tcPr>
          <w:p w14:paraId="5F74B8FF" w14:textId="77777777" w:rsidR="00EE7097" w:rsidRPr="00D85A97" w:rsidRDefault="00EE7097">
            <w:pPr>
              <w:rPr>
                <w:sz w:val="12"/>
                <w:szCs w:val="12"/>
              </w:rPr>
            </w:pPr>
          </w:p>
        </w:tc>
      </w:tr>
      <w:tr w:rsidR="00EE7097" w:rsidRPr="001C60B5" w14:paraId="5F74B903" w14:textId="77777777" w:rsidTr="0013075E">
        <w:tc>
          <w:tcPr>
            <w:tcW w:w="2802" w:type="dxa"/>
            <w:gridSpan w:val="2"/>
          </w:tcPr>
          <w:p w14:paraId="5F74B901" w14:textId="77777777" w:rsidR="00EE7097" w:rsidRPr="001C60B5" w:rsidRDefault="00EE7097">
            <w:pPr>
              <w:rPr>
                <w:b/>
                <w:szCs w:val="24"/>
              </w:rPr>
            </w:pPr>
            <w:r w:rsidRPr="001C60B5">
              <w:rPr>
                <w:b/>
                <w:szCs w:val="24"/>
              </w:rPr>
              <w:t>Approval/Scrutiny route:</w:t>
            </w:r>
          </w:p>
        </w:tc>
        <w:tc>
          <w:tcPr>
            <w:tcW w:w="6440" w:type="dxa"/>
            <w:gridSpan w:val="5"/>
          </w:tcPr>
          <w:p w14:paraId="19A04E1E" w14:textId="77777777" w:rsidR="00470E75" w:rsidRDefault="00470E75" w:rsidP="00CA5841">
            <w:pPr>
              <w:rPr>
                <w:szCs w:val="24"/>
              </w:rPr>
            </w:pPr>
            <w:r w:rsidRPr="00D85A97">
              <w:rPr>
                <w:szCs w:val="24"/>
              </w:rPr>
              <w:t>Rhiannon Beaumont-Wood, Executive Director of Quality &amp; Nursing</w:t>
            </w:r>
            <w:r>
              <w:rPr>
                <w:szCs w:val="24"/>
              </w:rPr>
              <w:t xml:space="preserve"> </w:t>
            </w:r>
          </w:p>
          <w:p w14:paraId="5F74B902" w14:textId="636BF55C" w:rsidR="00EE7097" w:rsidRPr="00D85A97" w:rsidRDefault="00B73DD0" w:rsidP="00CA5841">
            <w:pPr>
              <w:rPr>
                <w:szCs w:val="24"/>
              </w:rPr>
            </w:pPr>
            <w:r>
              <w:rPr>
                <w:szCs w:val="24"/>
              </w:rPr>
              <w:t xml:space="preserve">Business Executive Team information circulated </w:t>
            </w:r>
            <w:r w:rsidR="00470E75">
              <w:rPr>
                <w:szCs w:val="24"/>
              </w:rPr>
              <w:t>(17.11.22)</w:t>
            </w:r>
          </w:p>
        </w:tc>
      </w:tr>
      <w:tr w:rsidR="006C4A51" w:rsidRPr="001C60B5" w14:paraId="5F74B905" w14:textId="77777777" w:rsidTr="005B4E75">
        <w:tc>
          <w:tcPr>
            <w:tcW w:w="9242" w:type="dxa"/>
            <w:gridSpan w:val="7"/>
            <w:tcBorders>
              <w:left w:val="nil"/>
              <w:bottom w:val="single" w:sz="4" w:space="0" w:color="auto"/>
              <w:right w:val="nil"/>
            </w:tcBorders>
          </w:tcPr>
          <w:p w14:paraId="5F74B904" w14:textId="77777777" w:rsidR="006C4A51" w:rsidRPr="005B4E75" w:rsidRDefault="006C4A51">
            <w:pPr>
              <w:rPr>
                <w:b/>
                <w:sz w:val="12"/>
                <w:szCs w:val="12"/>
              </w:rPr>
            </w:pPr>
          </w:p>
        </w:tc>
      </w:tr>
      <w:tr w:rsidR="005B4E75" w:rsidRPr="001C60B5" w14:paraId="5F74B907" w14:textId="77777777" w:rsidTr="005B4E75">
        <w:tc>
          <w:tcPr>
            <w:tcW w:w="9242" w:type="dxa"/>
            <w:gridSpan w:val="7"/>
            <w:tcBorders>
              <w:left w:val="single" w:sz="4" w:space="0" w:color="auto"/>
              <w:right w:val="single" w:sz="4" w:space="0" w:color="auto"/>
            </w:tcBorders>
          </w:tcPr>
          <w:p w14:paraId="5F74B906" w14:textId="77777777" w:rsidR="005B4E75" w:rsidRPr="001C60B5" w:rsidRDefault="005B4E75">
            <w:pPr>
              <w:rPr>
                <w:b/>
                <w:szCs w:val="24"/>
              </w:rPr>
            </w:pPr>
            <w:r>
              <w:rPr>
                <w:b/>
                <w:szCs w:val="24"/>
              </w:rPr>
              <w:t>Purpose</w:t>
            </w:r>
          </w:p>
        </w:tc>
      </w:tr>
      <w:tr w:rsidR="005B4E75" w:rsidRPr="001C60B5" w14:paraId="5F74B90A" w14:textId="77777777" w:rsidTr="005B4E75">
        <w:tc>
          <w:tcPr>
            <w:tcW w:w="9242" w:type="dxa"/>
            <w:gridSpan w:val="7"/>
            <w:tcBorders>
              <w:left w:val="single" w:sz="4" w:space="0" w:color="auto"/>
              <w:right w:val="single" w:sz="4" w:space="0" w:color="auto"/>
            </w:tcBorders>
          </w:tcPr>
          <w:p w14:paraId="7263E2B5" w14:textId="092CE001" w:rsidR="00D85A97" w:rsidRPr="00D85A97" w:rsidRDefault="00D85A97" w:rsidP="00916053">
            <w:pPr>
              <w:spacing w:after="200"/>
            </w:pPr>
            <w:r w:rsidRPr="00D85A97">
              <w:rPr>
                <w:szCs w:val="24"/>
              </w:rPr>
              <w:t>This paper provide</w:t>
            </w:r>
            <w:r>
              <w:rPr>
                <w:szCs w:val="24"/>
              </w:rPr>
              <w:t>s</w:t>
            </w:r>
            <w:r w:rsidRPr="00D85A97">
              <w:rPr>
                <w:szCs w:val="24"/>
              </w:rPr>
              <w:t xml:space="preserve"> information on the Public Health Merit Award scheme, which has been coproduced with partners in established youth organisations. The aim of the scheme is to </w:t>
            </w:r>
            <w:r w:rsidRPr="00D85A97">
              <w:t xml:space="preserve">equip children &amp; young people with the public health skills and knowledge to make informed decisions to protect and improve their own health, thus protecting and improving the health of the community and narrowing health inequalities. </w:t>
            </w:r>
          </w:p>
          <w:p w14:paraId="32D056A3" w14:textId="16D95CB9" w:rsidR="00D85A97" w:rsidRDefault="00D85A97" w:rsidP="00916053">
            <w:pPr>
              <w:spacing w:after="200"/>
            </w:pPr>
            <w:r w:rsidRPr="00D85A97">
              <w:t xml:space="preserve">The scheme has made good progress, with a curriculum now </w:t>
            </w:r>
            <w:r w:rsidR="007671C9">
              <w:t xml:space="preserve">being piloted </w:t>
            </w:r>
            <w:r w:rsidRPr="00D85A97">
              <w:t xml:space="preserve">by our delivery partners (St John Ambulance, Scouts Cymru and the Army Cadets). </w:t>
            </w:r>
            <w:r>
              <w:t>Upon completion of the curriculum, young people will be awarded with their Public Health badge, which has been designed in collaboration with young people.</w:t>
            </w:r>
          </w:p>
          <w:p w14:paraId="5F74B909" w14:textId="40D9004B" w:rsidR="001E5B78" w:rsidRPr="005B4E75" w:rsidRDefault="007671C9" w:rsidP="007671C9">
            <w:pPr>
              <w:spacing w:after="200"/>
              <w:rPr>
                <w:color w:val="FF0000"/>
                <w:szCs w:val="24"/>
              </w:rPr>
            </w:pPr>
            <w:r>
              <w:t>This paper accompanies a short video capturing the perspectives of different stakeholders in the project, including the voice of young people who have been part of the first cohort undertaking the programme.</w:t>
            </w:r>
          </w:p>
        </w:tc>
      </w:tr>
      <w:tr w:rsidR="005B4E75" w:rsidRPr="001C60B5" w14:paraId="5F74B90C" w14:textId="77777777" w:rsidTr="0000561A">
        <w:tc>
          <w:tcPr>
            <w:tcW w:w="9242" w:type="dxa"/>
            <w:gridSpan w:val="7"/>
            <w:tcBorders>
              <w:left w:val="nil"/>
              <w:right w:val="nil"/>
            </w:tcBorders>
          </w:tcPr>
          <w:p w14:paraId="5F74B90B" w14:textId="77777777" w:rsidR="005B4E75" w:rsidRPr="005B4E75" w:rsidRDefault="005B4E75">
            <w:pPr>
              <w:rPr>
                <w:b/>
                <w:sz w:val="12"/>
                <w:szCs w:val="12"/>
              </w:rPr>
            </w:pPr>
          </w:p>
        </w:tc>
      </w:tr>
      <w:tr w:rsidR="00EE7097" w:rsidRPr="001C60B5" w14:paraId="5F74B90E" w14:textId="77777777" w:rsidTr="00051E74">
        <w:tc>
          <w:tcPr>
            <w:tcW w:w="9242" w:type="dxa"/>
            <w:gridSpan w:val="7"/>
          </w:tcPr>
          <w:p w14:paraId="5F74B90D" w14:textId="110EB187" w:rsidR="00EE7097" w:rsidRPr="0013075E" w:rsidRDefault="0013075E" w:rsidP="00932FFD">
            <w:pPr>
              <w:rPr>
                <w:b/>
                <w:szCs w:val="24"/>
              </w:rPr>
            </w:pPr>
            <w:r>
              <w:rPr>
                <w:b/>
                <w:szCs w:val="24"/>
              </w:rPr>
              <w:t>Recommendation:</w:t>
            </w:r>
            <w:r w:rsidR="00E07F66">
              <w:rPr>
                <w:b/>
                <w:szCs w:val="24"/>
              </w:rPr>
              <w:t xml:space="preserve"> </w:t>
            </w:r>
          </w:p>
        </w:tc>
      </w:tr>
      <w:tr w:rsidR="005B4E75" w:rsidRPr="001C60B5" w14:paraId="5F74B919" w14:textId="77777777" w:rsidTr="00D34F08">
        <w:tc>
          <w:tcPr>
            <w:tcW w:w="1848" w:type="dxa"/>
            <w:tcBorders>
              <w:bottom w:val="single" w:sz="4" w:space="0" w:color="auto"/>
            </w:tcBorders>
          </w:tcPr>
          <w:p w14:paraId="5F74B90F" w14:textId="77777777" w:rsidR="005B4E75" w:rsidRPr="007A47F5" w:rsidRDefault="005B4E75" w:rsidP="00D34F08">
            <w:pPr>
              <w:jc w:val="center"/>
              <w:rPr>
                <w:szCs w:val="24"/>
              </w:rPr>
            </w:pPr>
            <w:r w:rsidRPr="007A47F5">
              <w:rPr>
                <w:szCs w:val="24"/>
              </w:rPr>
              <w:t>APPROVE</w:t>
            </w:r>
          </w:p>
          <w:p w14:paraId="5F74B910" w14:textId="77777777" w:rsidR="005B4E75" w:rsidRPr="007A47F5" w:rsidRDefault="007F7EA7"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0" w:name="Check1"/>
            <w:r w:rsidR="005B4E75">
              <w:rPr>
                <w:rFonts w:ascii="Wingdings" w:hAnsi="Wingdings"/>
                <w:szCs w:val="24"/>
              </w:rPr>
              <w:instrText xml:space="preserve"> FORMCHECKBOX </w:instrText>
            </w:r>
            <w:r w:rsidR="00470E75">
              <w:rPr>
                <w:rFonts w:ascii="Wingdings" w:hAnsi="Wingdings"/>
                <w:szCs w:val="24"/>
              </w:rPr>
            </w:r>
            <w:r w:rsidR="00470E75">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5F74B911" w14:textId="77777777" w:rsidR="005B4E75" w:rsidRDefault="005B4E75" w:rsidP="00D34F08">
            <w:pPr>
              <w:jc w:val="center"/>
              <w:rPr>
                <w:szCs w:val="24"/>
              </w:rPr>
            </w:pPr>
            <w:r w:rsidRPr="007A47F5">
              <w:rPr>
                <w:szCs w:val="24"/>
              </w:rPr>
              <w:t>CONSIDER</w:t>
            </w:r>
          </w:p>
          <w:p w14:paraId="5F74B912" w14:textId="47145E14" w:rsidR="005B4E75" w:rsidRPr="007A47F5" w:rsidRDefault="00C40EA6" w:rsidP="00D34F08">
            <w:pPr>
              <w:jc w:val="center"/>
              <w:rPr>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470E75">
              <w:rPr>
                <w:szCs w:val="24"/>
              </w:rPr>
            </w:r>
            <w:r w:rsidR="00470E75">
              <w:rPr>
                <w:szCs w:val="24"/>
              </w:rPr>
              <w:fldChar w:fldCharType="separate"/>
            </w:r>
            <w:r>
              <w:rPr>
                <w:szCs w:val="24"/>
              </w:rPr>
              <w:fldChar w:fldCharType="end"/>
            </w:r>
            <w:bookmarkEnd w:id="1"/>
          </w:p>
        </w:tc>
        <w:tc>
          <w:tcPr>
            <w:tcW w:w="1849" w:type="dxa"/>
            <w:gridSpan w:val="2"/>
            <w:tcBorders>
              <w:bottom w:val="single" w:sz="4" w:space="0" w:color="auto"/>
            </w:tcBorders>
          </w:tcPr>
          <w:p w14:paraId="5F74B913" w14:textId="77777777" w:rsidR="005B4E75" w:rsidRDefault="005B4E75" w:rsidP="00D34F08">
            <w:pPr>
              <w:jc w:val="center"/>
              <w:rPr>
                <w:szCs w:val="24"/>
              </w:rPr>
            </w:pPr>
            <w:r w:rsidRPr="007A47F5">
              <w:rPr>
                <w:szCs w:val="24"/>
              </w:rPr>
              <w:t>RECOMMEND</w:t>
            </w:r>
          </w:p>
          <w:p w14:paraId="5F74B914"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470E75">
              <w:rPr>
                <w:szCs w:val="24"/>
              </w:rPr>
            </w:r>
            <w:r w:rsidR="00470E75">
              <w:rPr>
                <w:szCs w:val="24"/>
              </w:rPr>
              <w:fldChar w:fldCharType="separate"/>
            </w:r>
            <w:r>
              <w:rPr>
                <w:szCs w:val="24"/>
              </w:rPr>
              <w:fldChar w:fldCharType="end"/>
            </w:r>
            <w:bookmarkEnd w:id="2"/>
          </w:p>
        </w:tc>
        <w:tc>
          <w:tcPr>
            <w:tcW w:w="1848" w:type="dxa"/>
            <w:tcBorders>
              <w:bottom w:val="single" w:sz="4" w:space="0" w:color="auto"/>
            </w:tcBorders>
          </w:tcPr>
          <w:p w14:paraId="5F74B915" w14:textId="77777777" w:rsidR="005B4E75" w:rsidRDefault="005B4E75" w:rsidP="00D34F08">
            <w:pPr>
              <w:jc w:val="center"/>
              <w:rPr>
                <w:szCs w:val="24"/>
              </w:rPr>
            </w:pPr>
            <w:r w:rsidRPr="007A47F5">
              <w:rPr>
                <w:szCs w:val="24"/>
              </w:rPr>
              <w:t>ADOPT</w:t>
            </w:r>
          </w:p>
          <w:p w14:paraId="5F74B916"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470E75">
              <w:rPr>
                <w:szCs w:val="24"/>
              </w:rPr>
            </w:r>
            <w:r w:rsidR="00470E75">
              <w:rPr>
                <w:szCs w:val="24"/>
              </w:rPr>
              <w:fldChar w:fldCharType="separate"/>
            </w:r>
            <w:r>
              <w:rPr>
                <w:szCs w:val="24"/>
              </w:rPr>
              <w:fldChar w:fldCharType="end"/>
            </w:r>
            <w:bookmarkEnd w:id="3"/>
          </w:p>
        </w:tc>
        <w:tc>
          <w:tcPr>
            <w:tcW w:w="1849" w:type="dxa"/>
            <w:tcBorders>
              <w:bottom w:val="single" w:sz="4" w:space="0" w:color="auto"/>
            </w:tcBorders>
          </w:tcPr>
          <w:p w14:paraId="5F74B917" w14:textId="77777777" w:rsidR="005B4E75" w:rsidRDefault="00141FC5" w:rsidP="00D34F08">
            <w:pPr>
              <w:jc w:val="center"/>
              <w:rPr>
                <w:szCs w:val="24"/>
              </w:rPr>
            </w:pPr>
            <w:r>
              <w:rPr>
                <w:szCs w:val="24"/>
              </w:rPr>
              <w:t>ASSURANCE</w:t>
            </w:r>
          </w:p>
          <w:p w14:paraId="5F74B918" w14:textId="5094798B" w:rsidR="005B4E75" w:rsidRPr="007A47F5" w:rsidRDefault="00213373" w:rsidP="00213373">
            <w:pPr>
              <w:jc w:val="center"/>
              <w:rPr>
                <w:szCs w:val="24"/>
              </w:rPr>
            </w:pPr>
            <w:r>
              <w:rPr>
                <w:szCs w:val="24"/>
              </w:rPr>
              <w:fldChar w:fldCharType="begin">
                <w:ffData>
                  <w:name w:val="Check5"/>
                  <w:enabled w:val="0"/>
                  <w:calcOnExit w:val="0"/>
                  <w:checkBox>
                    <w:sizeAuto/>
                    <w:default w:val="0"/>
                  </w:checkBox>
                </w:ffData>
              </w:fldChar>
            </w:r>
            <w:bookmarkStart w:id="4" w:name="Check5"/>
            <w:r>
              <w:rPr>
                <w:szCs w:val="24"/>
              </w:rPr>
              <w:instrText xml:space="preserve"> FORMCHECKBOX </w:instrText>
            </w:r>
            <w:r w:rsidR="00470E75">
              <w:rPr>
                <w:szCs w:val="24"/>
              </w:rPr>
            </w:r>
            <w:r w:rsidR="00470E75">
              <w:rPr>
                <w:szCs w:val="24"/>
              </w:rPr>
              <w:fldChar w:fldCharType="separate"/>
            </w:r>
            <w:r>
              <w:rPr>
                <w:szCs w:val="24"/>
              </w:rPr>
              <w:fldChar w:fldCharType="end"/>
            </w:r>
            <w:bookmarkEnd w:id="4"/>
          </w:p>
        </w:tc>
      </w:tr>
      <w:tr w:rsidR="00EE7097" w:rsidRPr="001C60B5" w14:paraId="5F74B920" w14:textId="77777777" w:rsidTr="00051E74">
        <w:tc>
          <w:tcPr>
            <w:tcW w:w="9242" w:type="dxa"/>
            <w:gridSpan w:val="7"/>
            <w:tcBorders>
              <w:bottom w:val="single" w:sz="4" w:space="0" w:color="auto"/>
            </w:tcBorders>
          </w:tcPr>
          <w:p w14:paraId="5F74B91A" w14:textId="44197016" w:rsidR="00EE7097" w:rsidRDefault="00EE7097" w:rsidP="007D03B8">
            <w:pPr>
              <w:rPr>
                <w:szCs w:val="24"/>
              </w:rPr>
            </w:pPr>
            <w:r w:rsidRPr="00932FFD">
              <w:rPr>
                <w:szCs w:val="24"/>
              </w:rPr>
              <w:t xml:space="preserve">The </w:t>
            </w:r>
            <w:r w:rsidR="007671C9">
              <w:rPr>
                <w:szCs w:val="24"/>
              </w:rPr>
              <w:t>Board</w:t>
            </w:r>
            <w:r w:rsidRPr="00932FFD">
              <w:rPr>
                <w:szCs w:val="24"/>
              </w:rPr>
              <w:t xml:space="preserve"> is asked to: </w:t>
            </w:r>
          </w:p>
          <w:p w14:paraId="63AF8BF5" w14:textId="77777777" w:rsidR="00916053" w:rsidRDefault="00B73DD0" w:rsidP="00C40EA6">
            <w:pPr>
              <w:pStyle w:val="ListParagraph"/>
              <w:numPr>
                <w:ilvl w:val="0"/>
                <w:numId w:val="17"/>
              </w:numPr>
              <w:rPr>
                <w:szCs w:val="24"/>
              </w:rPr>
            </w:pPr>
            <w:r>
              <w:rPr>
                <w:szCs w:val="24"/>
              </w:rPr>
              <w:t xml:space="preserve">To consider and endorse the approach </w:t>
            </w:r>
            <w:r w:rsidR="00932FFD" w:rsidRPr="00932FFD">
              <w:rPr>
                <w:szCs w:val="24"/>
              </w:rPr>
              <w:t>of the public health merit award scheme and the co-productive approach taken throughout.</w:t>
            </w:r>
          </w:p>
          <w:p w14:paraId="5F74B91F" w14:textId="6D620039" w:rsidR="00470E75" w:rsidRPr="00932FFD" w:rsidRDefault="00470E75" w:rsidP="00470E75">
            <w:pPr>
              <w:pStyle w:val="ListParagraph"/>
              <w:ind w:left="360"/>
              <w:rPr>
                <w:szCs w:val="24"/>
              </w:rPr>
            </w:pPr>
            <w:bookmarkStart w:id="5" w:name="_GoBack"/>
            <w:bookmarkEnd w:id="5"/>
          </w:p>
        </w:tc>
      </w:tr>
    </w:tbl>
    <w:p w14:paraId="5F74B921"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5F74B923" w14:textId="77777777" w:rsidTr="00480353">
        <w:tc>
          <w:tcPr>
            <w:tcW w:w="9026" w:type="dxa"/>
            <w:gridSpan w:val="2"/>
            <w:tcBorders>
              <w:left w:val="nil"/>
              <w:right w:val="nil"/>
            </w:tcBorders>
            <w:shd w:val="clear" w:color="auto" w:fill="auto"/>
          </w:tcPr>
          <w:p w14:paraId="5F74B922" w14:textId="77777777" w:rsidR="00D713DC" w:rsidRPr="005B4E75" w:rsidRDefault="00D713DC">
            <w:pPr>
              <w:rPr>
                <w:b/>
                <w:sz w:val="12"/>
                <w:szCs w:val="12"/>
              </w:rPr>
            </w:pPr>
          </w:p>
        </w:tc>
      </w:tr>
      <w:tr w:rsidR="00EE7097" w:rsidRPr="001C60B5" w14:paraId="5F74B929" w14:textId="77777777" w:rsidTr="00480353">
        <w:tc>
          <w:tcPr>
            <w:tcW w:w="9026" w:type="dxa"/>
            <w:gridSpan w:val="2"/>
            <w:shd w:val="clear" w:color="auto" w:fill="F2F2F2" w:themeFill="background1" w:themeFillShade="F2"/>
          </w:tcPr>
          <w:p w14:paraId="5F74B924" w14:textId="77777777" w:rsidR="00EE7097" w:rsidRPr="001C60B5" w:rsidRDefault="00EE7097" w:rsidP="00680248">
            <w:pPr>
              <w:rPr>
                <w:szCs w:val="24"/>
              </w:rPr>
            </w:pPr>
            <w:r w:rsidRPr="001C60B5">
              <w:rPr>
                <w:b/>
                <w:szCs w:val="24"/>
              </w:rPr>
              <w:t xml:space="preserve">Link to Public Health Wales </w:t>
            </w:r>
            <w:hyperlink r:id="rId12" w:history="1">
              <w:r w:rsidRPr="001C60B5">
                <w:rPr>
                  <w:rStyle w:val="Hyperlink"/>
                  <w:b/>
                  <w:szCs w:val="24"/>
                </w:rPr>
                <w:t>Strategic Plan</w:t>
              </w:r>
            </w:hyperlink>
          </w:p>
          <w:p w14:paraId="5F74B925" w14:textId="77777777" w:rsidR="00EE7097" w:rsidRPr="001C60B5" w:rsidRDefault="00EE7097" w:rsidP="00680248">
            <w:pPr>
              <w:rPr>
                <w:szCs w:val="24"/>
              </w:rPr>
            </w:pPr>
          </w:p>
          <w:p w14:paraId="5F74B926"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5F74B927" w14:textId="77777777" w:rsidR="00B52B29" w:rsidRDefault="00B52B29" w:rsidP="00EE7097">
            <w:pPr>
              <w:rPr>
                <w:bCs/>
                <w:szCs w:val="24"/>
              </w:rPr>
            </w:pPr>
          </w:p>
          <w:p w14:paraId="5F74B928" w14:textId="77777777" w:rsidR="00EE7097" w:rsidRPr="001C60B5" w:rsidRDefault="00EE7097" w:rsidP="00EE7097">
            <w:pPr>
              <w:rPr>
                <w:szCs w:val="24"/>
              </w:rPr>
            </w:pPr>
            <w:r w:rsidRPr="001C60B5">
              <w:rPr>
                <w:szCs w:val="24"/>
              </w:rPr>
              <w:t>This report contributes to the following:</w:t>
            </w:r>
          </w:p>
        </w:tc>
      </w:tr>
      <w:tr w:rsidR="00EE7097" w:rsidRPr="001C60B5" w14:paraId="5F74B92C" w14:textId="77777777" w:rsidTr="00480353">
        <w:tc>
          <w:tcPr>
            <w:tcW w:w="3192" w:type="dxa"/>
            <w:shd w:val="clear" w:color="auto" w:fill="auto"/>
          </w:tcPr>
          <w:p w14:paraId="5F74B92A"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5F74B92B" w14:textId="18204BA3" w:rsidR="00EE7097" w:rsidRPr="0013075E" w:rsidRDefault="00470E75"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D85A97">
                  <w:rPr>
                    <w:rStyle w:val="Dropdown"/>
                  </w:rPr>
                  <w:t>3 - Promoting healthy behaviours</w:t>
                </w:r>
              </w:sdtContent>
            </w:sdt>
          </w:p>
        </w:tc>
      </w:tr>
      <w:tr w:rsidR="005D5FC4" w:rsidRPr="001C60B5" w14:paraId="5F74B92F" w14:textId="77777777" w:rsidTr="00480353">
        <w:tc>
          <w:tcPr>
            <w:tcW w:w="3192" w:type="dxa"/>
            <w:shd w:val="clear" w:color="auto" w:fill="auto"/>
          </w:tcPr>
          <w:p w14:paraId="5F74B92D" w14:textId="77777777"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shd w:val="clear" w:color="auto" w:fill="auto"/>
          </w:tcPr>
          <w:p w14:paraId="5F74B92E" w14:textId="2DE6F72A" w:rsidR="005D5FC4" w:rsidRPr="0013075E" w:rsidRDefault="00470E75" w:rsidP="005D5FC4">
            <w:pPr>
              <w:rPr>
                <w:szCs w:val="24"/>
              </w:rPr>
            </w:pPr>
            <w:sdt>
              <w:sdtPr>
                <w:rPr>
                  <w:rStyle w:val="Dropdown"/>
                </w:rPr>
                <w:alias w:val="Strategic Objective"/>
                <w:tag w:val="Strategic Objective"/>
                <w:id w:val="-973981063"/>
                <w:placeholder>
                  <w:docPart w:val="E19A39A2DC34427782303866B501EF52"/>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D85A97">
                  <w:rPr>
                    <w:rStyle w:val="Dropdown"/>
                  </w:rPr>
                  <w:t>5 - Protecting the public from infection and environmental threats to health</w:t>
                </w:r>
              </w:sdtContent>
            </w:sdt>
          </w:p>
        </w:tc>
      </w:tr>
      <w:tr w:rsidR="005D5FC4" w:rsidRPr="001C60B5" w14:paraId="5F74B932" w14:textId="77777777" w:rsidTr="00480353">
        <w:tc>
          <w:tcPr>
            <w:tcW w:w="3192" w:type="dxa"/>
            <w:tcBorders>
              <w:bottom w:val="single" w:sz="4" w:space="0" w:color="auto"/>
            </w:tcBorders>
            <w:shd w:val="clear" w:color="auto" w:fill="auto"/>
          </w:tcPr>
          <w:p w14:paraId="5F74B930" w14:textId="77777777"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tcBorders>
              <w:bottom w:val="single" w:sz="4" w:space="0" w:color="auto"/>
            </w:tcBorders>
            <w:shd w:val="clear" w:color="auto" w:fill="auto"/>
          </w:tcPr>
          <w:p w14:paraId="5F74B931" w14:textId="05E1BC31" w:rsidR="005D5FC4" w:rsidRPr="0013075E" w:rsidRDefault="00470E75" w:rsidP="005D5FC4">
            <w:pPr>
              <w:rPr>
                <w:szCs w:val="24"/>
              </w:rPr>
            </w:pPr>
            <w:sdt>
              <w:sdtPr>
                <w:rPr>
                  <w:rStyle w:val="Dropdown"/>
                </w:rPr>
                <w:alias w:val="Strategic Objective"/>
                <w:tag w:val="Strategic Objective"/>
                <w:id w:val="-693302159"/>
                <w:placeholder>
                  <w:docPart w:val="4037A60F381647269327C3491F818BF7"/>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D85A97">
                  <w:rPr>
                    <w:rStyle w:val="Dropdown"/>
                  </w:rPr>
                  <w:t>2 - Improving mental-well-being and building resilience</w:t>
                </w:r>
              </w:sdtContent>
            </w:sdt>
          </w:p>
        </w:tc>
      </w:tr>
      <w:tr w:rsidR="00EE7097" w:rsidRPr="001C60B5" w14:paraId="5F74B934" w14:textId="77777777" w:rsidTr="00480353">
        <w:tc>
          <w:tcPr>
            <w:tcW w:w="9026" w:type="dxa"/>
            <w:gridSpan w:val="2"/>
            <w:tcBorders>
              <w:left w:val="nil"/>
              <w:right w:val="nil"/>
            </w:tcBorders>
            <w:shd w:val="clear" w:color="auto" w:fill="auto"/>
          </w:tcPr>
          <w:p w14:paraId="5F74B933" w14:textId="77777777" w:rsidR="00EE7097" w:rsidRPr="005B4E75" w:rsidRDefault="00EE7097" w:rsidP="00211B9D">
            <w:pPr>
              <w:rPr>
                <w:b/>
                <w:sz w:val="12"/>
                <w:szCs w:val="12"/>
              </w:rPr>
            </w:pPr>
          </w:p>
        </w:tc>
      </w:tr>
      <w:tr w:rsidR="00EE7097" w:rsidRPr="001C60B5" w14:paraId="5F74B937" w14:textId="77777777" w:rsidTr="00480353">
        <w:tc>
          <w:tcPr>
            <w:tcW w:w="9026" w:type="dxa"/>
            <w:gridSpan w:val="2"/>
            <w:shd w:val="clear" w:color="auto" w:fill="F2F2F2" w:themeFill="background1" w:themeFillShade="F2"/>
          </w:tcPr>
          <w:p w14:paraId="5F74B935"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5F74B936" w14:textId="77777777" w:rsidR="00EE7097" w:rsidRPr="001C60B5" w:rsidRDefault="00EE7097" w:rsidP="00CA5841">
            <w:pPr>
              <w:rPr>
                <w:color w:val="FF0000"/>
                <w:szCs w:val="24"/>
              </w:rPr>
            </w:pPr>
          </w:p>
        </w:tc>
      </w:tr>
      <w:tr w:rsidR="00EE7097" w:rsidRPr="001C60B5" w14:paraId="5F74B93E" w14:textId="77777777" w:rsidTr="00480353">
        <w:tc>
          <w:tcPr>
            <w:tcW w:w="3192" w:type="dxa"/>
          </w:tcPr>
          <w:p w14:paraId="5F74B938" w14:textId="77777777" w:rsidR="00EE7097" w:rsidRPr="001C60B5" w:rsidRDefault="00EE7097" w:rsidP="00097ACD">
            <w:pPr>
              <w:rPr>
                <w:b/>
                <w:szCs w:val="24"/>
              </w:rPr>
            </w:pPr>
            <w:r w:rsidRPr="001C60B5">
              <w:rPr>
                <w:b/>
                <w:szCs w:val="24"/>
              </w:rPr>
              <w:t>Equality and Health Impact Assessment</w:t>
            </w:r>
          </w:p>
        </w:tc>
        <w:tc>
          <w:tcPr>
            <w:tcW w:w="5834" w:type="dxa"/>
          </w:tcPr>
          <w:p w14:paraId="5F74B93D" w14:textId="72676E94" w:rsidR="00EE7097" w:rsidRPr="00126327" w:rsidRDefault="00C269F1" w:rsidP="005D5FC4">
            <w:pPr>
              <w:rPr>
                <w:i/>
                <w:color w:val="FF0000"/>
                <w:szCs w:val="24"/>
              </w:rPr>
            </w:pPr>
            <w:r w:rsidRPr="00C269F1">
              <w:rPr>
                <w:szCs w:val="24"/>
              </w:rPr>
              <w:t>EHIA attached.</w:t>
            </w:r>
          </w:p>
        </w:tc>
      </w:tr>
      <w:tr w:rsidR="003A3414" w:rsidRPr="001C60B5" w14:paraId="5F74B941" w14:textId="77777777" w:rsidTr="00480353">
        <w:tc>
          <w:tcPr>
            <w:tcW w:w="3192" w:type="dxa"/>
          </w:tcPr>
          <w:p w14:paraId="5F74B93F"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5F74B940" w14:textId="34CE7C80" w:rsidR="003A3414" w:rsidRPr="003A3414" w:rsidRDefault="00C269F1" w:rsidP="00C269F1">
            <w:pPr>
              <w:rPr>
                <w:color w:val="FF0000"/>
                <w:szCs w:val="24"/>
              </w:rPr>
            </w:pPr>
            <w:r w:rsidRPr="00C269F1">
              <w:rPr>
                <w:szCs w:val="24"/>
              </w:rPr>
              <w:t>n/a</w:t>
            </w:r>
            <w:r w:rsidR="003A3414" w:rsidRPr="00C269F1">
              <w:rPr>
                <w:szCs w:val="24"/>
              </w:rPr>
              <w:t xml:space="preserve"> </w:t>
            </w:r>
          </w:p>
        </w:tc>
      </w:tr>
      <w:tr w:rsidR="00EE7097" w:rsidRPr="001C60B5" w14:paraId="5F74B944" w14:textId="77777777" w:rsidTr="00480353">
        <w:trPr>
          <w:trHeight w:val="1030"/>
        </w:trPr>
        <w:tc>
          <w:tcPr>
            <w:tcW w:w="3192" w:type="dxa"/>
            <w:vMerge w:val="restart"/>
          </w:tcPr>
          <w:p w14:paraId="5F74B942"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5F74B943" w14:textId="77777777" w:rsidR="00EE7097" w:rsidRPr="001C60B5" w:rsidRDefault="00EE7097" w:rsidP="00126327">
            <w:pPr>
              <w:rPr>
                <w:szCs w:val="24"/>
              </w:rPr>
            </w:pPr>
            <w:r w:rsidRPr="001C60B5">
              <w:rPr>
                <w:szCs w:val="24"/>
              </w:rPr>
              <w:t xml:space="preserve">This report supports and/or takes into account the </w:t>
            </w:r>
            <w:hyperlink r:id="rId13"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5F74B947" w14:textId="77777777" w:rsidTr="00480353">
        <w:trPr>
          <w:trHeight w:val="281"/>
        </w:trPr>
        <w:tc>
          <w:tcPr>
            <w:tcW w:w="3192" w:type="dxa"/>
            <w:vMerge/>
          </w:tcPr>
          <w:p w14:paraId="5F74B945"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5F74B946" w14:textId="689B7650" w:rsidR="00E263D4" w:rsidRPr="001C60B5" w:rsidRDefault="00D85A97" w:rsidP="00E263D4">
                <w:pPr>
                  <w:ind w:left="436"/>
                  <w:rPr>
                    <w:szCs w:val="24"/>
                  </w:rPr>
                </w:pPr>
                <w:r>
                  <w:rPr>
                    <w:rStyle w:val="Dropdown"/>
                  </w:rPr>
                  <w:t>Theme 1 - Staying Healthy</w:t>
                </w:r>
              </w:p>
            </w:sdtContent>
          </w:sdt>
        </w:tc>
      </w:tr>
      <w:tr w:rsidR="00EE7097" w:rsidRPr="001C60B5" w14:paraId="5F74B94A" w14:textId="77777777" w:rsidTr="00480353">
        <w:trPr>
          <w:trHeight w:val="277"/>
        </w:trPr>
        <w:tc>
          <w:tcPr>
            <w:tcW w:w="3192" w:type="dxa"/>
            <w:vMerge/>
          </w:tcPr>
          <w:p w14:paraId="5F74B948" w14:textId="77777777" w:rsidR="00EE7097" w:rsidRPr="001C60B5" w:rsidRDefault="00EE7097">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9B8CED89FE6E489186EB32EA798E74F5"/>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F74B949" w14:textId="77777777" w:rsidR="00EE7097" w:rsidRPr="001C60B5" w:rsidRDefault="00EE7097" w:rsidP="00BA3E2A">
                <w:pPr>
                  <w:ind w:left="436"/>
                  <w:rPr>
                    <w:szCs w:val="24"/>
                  </w:rPr>
                </w:pPr>
                <w:r w:rsidRPr="001C60B5">
                  <w:rPr>
                    <w:rStyle w:val="PlaceholderText"/>
                    <w:szCs w:val="24"/>
                  </w:rPr>
                  <w:t>Choose an item.</w:t>
                </w:r>
              </w:p>
            </w:sdtContent>
          </w:sdt>
        </w:tc>
      </w:tr>
      <w:tr w:rsidR="00EE7097" w:rsidRPr="001C60B5" w14:paraId="5F74B94D" w14:textId="77777777" w:rsidTr="00480353">
        <w:trPr>
          <w:trHeight w:val="353"/>
        </w:trPr>
        <w:tc>
          <w:tcPr>
            <w:tcW w:w="3192" w:type="dxa"/>
            <w:vMerge/>
          </w:tcPr>
          <w:p w14:paraId="5F74B94B" w14:textId="77777777" w:rsidR="00EE7097" w:rsidRPr="001C60B5" w:rsidRDefault="00EE7097">
            <w:pPr>
              <w:rPr>
                <w:b/>
                <w:szCs w:val="24"/>
              </w:rPr>
            </w:pPr>
          </w:p>
        </w:tc>
        <w:tc>
          <w:tcPr>
            <w:tcW w:w="5834" w:type="dxa"/>
            <w:tcBorders>
              <w:top w:val="nil"/>
            </w:tcBorders>
          </w:tcPr>
          <w:sdt>
            <w:sdtPr>
              <w:rPr>
                <w:rStyle w:val="Dropdown"/>
              </w:rPr>
              <w:alias w:val="Health and Care Standards"/>
              <w:tag w:val="Health and Care Standards"/>
              <w:id w:val="1886578"/>
              <w:placeholder>
                <w:docPart w:val="19A444ACBEA34578BA0CB31422DD2377"/>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F74B94C" w14:textId="77777777" w:rsidR="00EE7097" w:rsidRPr="001C60B5" w:rsidRDefault="00EE7097" w:rsidP="00BA3E2A">
                <w:pPr>
                  <w:ind w:left="436"/>
                  <w:rPr>
                    <w:szCs w:val="24"/>
                  </w:rPr>
                </w:pPr>
                <w:r w:rsidRPr="001C60B5">
                  <w:rPr>
                    <w:rStyle w:val="PlaceholderText"/>
                    <w:szCs w:val="24"/>
                  </w:rPr>
                  <w:t>Choose an item.</w:t>
                </w:r>
              </w:p>
            </w:sdtContent>
          </w:sdt>
        </w:tc>
      </w:tr>
      <w:tr w:rsidR="00EE7097" w:rsidRPr="001C60B5" w14:paraId="5F74B950" w14:textId="77777777" w:rsidTr="00480353">
        <w:tc>
          <w:tcPr>
            <w:tcW w:w="3192" w:type="dxa"/>
          </w:tcPr>
          <w:p w14:paraId="5F74B94E" w14:textId="77777777" w:rsidR="00EE7097" w:rsidRPr="001C60B5" w:rsidRDefault="00EE7097">
            <w:pPr>
              <w:rPr>
                <w:b/>
                <w:szCs w:val="24"/>
              </w:rPr>
            </w:pPr>
            <w:r w:rsidRPr="001C60B5">
              <w:rPr>
                <w:b/>
                <w:szCs w:val="24"/>
              </w:rPr>
              <w:t>Financial implications</w:t>
            </w:r>
          </w:p>
        </w:tc>
        <w:tc>
          <w:tcPr>
            <w:tcW w:w="5834" w:type="dxa"/>
          </w:tcPr>
          <w:p w14:paraId="5F74B94F" w14:textId="4F8A1802" w:rsidR="00EE7097" w:rsidRPr="00126327" w:rsidRDefault="00D85A97" w:rsidP="00C57D69">
            <w:pPr>
              <w:rPr>
                <w:szCs w:val="24"/>
              </w:rPr>
            </w:pPr>
            <w:r w:rsidRPr="00C57D69">
              <w:rPr>
                <w:szCs w:val="24"/>
              </w:rPr>
              <w:t xml:space="preserve">The financial implications are laid out in section </w:t>
            </w:r>
            <w:r w:rsidR="00C57D69" w:rsidRPr="00C57D69">
              <w:rPr>
                <w:szCs w:val="24"/>
              </w:rPr>
              <w:t>3.3</w:t>
            </w:r>
            <w:r w:rsidRPr="00C57D69">
              <w:rPr>
                <w:szCs w:val="24"/>
              </w:rPr>
              <w:t xml:space="preserve"> of the paper.</w:t>
            </w:r>
          </w:p>
        </w:tc>
      </w:tr>
      <w:tr w:rsidR="00EE7097" w:rsidRPr="001C60B5" w14:paraId="5F74B953" w14:textId="77777777" w:rsidTr="00480353">
        <w:tc>
          <w:tcPr>
            <w:tcW w:w="3192" w:type="dxa"/>
          </w:tcPr>
          <w:p w14:paraId="5F74B951"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5F74B952" w14:textId="17A63C92" w:rsidR="00EE7097" w:rsidRPr="00126327" w:rsidRDefault="00D85A97" w:rsidP="00D85A97">
            <w:pPr>
              <w:rPr>
                <w:color w:val="FF0000"/>
                <w:szCs w:val="24"/>
              </w:rPr>
            </w:pPr>
            <w:r w:rsidRPr="00C269F1">
              <w:rPr>
                <w:szCs w:val="24"/>
              </w:rPr>
              <w:t>No impact</w:t>
            </w:r>
          </w:p>
        </w:tc>
      </w:tr>
    </w:tbl>
    <w:p w14:paraId="5F74B954" w14:textId="77777777" w:rsidR="007D03B8" w:rsidRPr="001C60B5" w:rsidRDefault="007D03B8" w:rsidP="006F654D">
      <w:pPr>
        <w:pStyle w:val="ListBullet"/>
        <w:rPr>
          <w:b/>
          <w:color w:val="FF0000"/>
          <w:szCs w:val="24"/>
        </w:rPr>
        <w:sectPr w:rsidR="007D03B8" w:rsidRPr="001C60B5" w:rsidSect="008902AA">
          <w:footerReference w:type="default" r:id="rId14"/>
          <w:pgSz w:w="11906" w:h="16838"/>
          <w:pgMar w:top="1440" w:right="1440" w:bottom="1440" w:left="1440" w:header="708" w:footer="708" w:gutter="0"/>
          <w:cols w:space="708"/>
          <w:docGrid w:linePitch="360"/>
        </w:sectPr>
      </w:pPr>
    </w:p>
    <w:p w14:paraId="5F74B955"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14:paraId="5F74B956" w14:textId="77777777" w:rsidR="0087331D" w:rsidRPr="001C60B5" w:rsidRDefault="0087331D" w:rsidP="0087331D">
      <w:pPr>
        <w:pStyle w:val="ListParagraph"/>
        <w:rPr>
          <w:szCs w:val="24"/>
        </w:rPr>
      </w:pPr>
    </w:p>
    <w:p w14:paraId="2C892916" w14:textId="3962AE13" w:rsidR="00D85A97" w:rsidRPr="00D85A97" w:rsidRDefault="00D85A97" w:rsidP="002A3295">
      <w:pPr>
        <w:spacing w:after="200"/>
        <w:jc w:val="both"/>
      </w:pPr>
      <w:r w:rsidRPr="00D85A97">
        <w:rPr>
          <w:szCs w:val="24"/>
        </w:rPr>
        <w:t>This paper provide</w:t>
      </w:r>
      <w:r>
        <w:rPr>
          <w:szCs w:val="24"/>
        </w:rPr>
        <w:t>s</w:t>
      </w:r>
      <w:r w:rsidRPr="00D85A97">
        <w:rPr>
          <w:szCs w:val="24"/>
        </w:rPr>
        <w:t xml:space="preserve"> information on the Public Health Merit Award scheme, which has been coproduced with partners in established youth organisations. The aim of the scheme is to </w:t>
      </w:r>
      <w:r w:rsidRPr="00D85A97">
        <w:t xml:space="preserve">equip children &amp; young people with the public health skills and knowledge to make informed decisions to protect and improve their own health, thus protecting and improving the health of the community and narrowing health inequalities. </w:t>
      </w:r>
      <w:r w:rsidR="00C269F1">
        <w:t>Children &amp; young people will work through a curriculum with their youth leaders and when they can demonstrate they have achieved all of the assessment criteria, they will be awarded with a public health badge.</w:t>
      </w:r>
    </w:p>
    <w:p w14:paraId="24FA0D9B" w14:textId="425256AC" w:rsidR="00D85A97" w:rsidRDefault="00D85A97" w:rsidP="002A3295">
      <w:pPr>
        <w:spacing w:after="200"/>
        <w:jc w:val="both"/>
      </w:pPr>
      <w:r w:rsidRPr="00D85A97">
        <w:t>The scheme has made good progress</w:t>
      </w:r>
      <w:r w:rsidR="00C269F1">
        <w:t>. The co-production of</w:t>
      </w:r>
      <w:r w:rsidRPr="00D85A97">
        <w:t xml:space="preserve"> </w:t>
      </w:r>
      <w:r w:rsidR="00C269F1">
        <w:t xml:space="preserve">the </w:t>
      </w:r>
      <w:r w:rsidRPr="00D85A97">
        <w:t xml:space="preserve">curriculum </w:t>
      </w:r>
      <w:r w:rsidR="00C269F1">
        <w:t xml:space="preserve">has been led by St John Ambulance and it is </w:t>
      </w:r>
      <w:r w:rsidRPr="00D85A97">
        <w:t xml:space="preserve">now </w:t>
      </w:r>
      <w:r w:rsidR="007671C9">
        <w:t>being piloted</w:t>
      </w:r>
      <w:r w:rsidRPr="00D85A97">
        <w:t xml:space="preserve"> by our delivery partners (St John Ambulance, Scouts Cymru and the Army Cadets). </w:t>
      </w:r>
      <w:r w:rsidR="00C269F1">
        <w:t>The</w:t>
      </w:r>
      <w:r>
        <w:t xml:space="preserve"> badge has been designed in collaboration with young people</w:t>
      </w:r>
      <w:r w:rsidR="00C269F1">
        <w:t>, through a design competition which has been judged by PHW Young Ambassadors</w:t>
      </w:r>
      <w:r>
        <w:t>.</w:t>
      </w:r>
    </w:p>
    <w:p w14:paraId="5F74B958" w14:textId="29BB71B6" w:rsidR="0087331D" w:rsidRPr="001C60B5" w:rsidRDefault="0087331D" w:rsidP="002A3295">
      <w:pPr>
        <w:pStyle w:val="Heading1"/>
        <w:numPr>
          <w:ilvl w:val="0"/>
          <w:numId w:val="2"/>
        </w:numPr>
        <w:ind w:left="567" w:hanging="567"/>
        <w:jc w:val="both"/>
        <w:rPr>
          <w:szCs w:val="24"/>
        </w:rPr>
      </w:pPr>
      <w:r w:rsidRPr="001C60B5">
        <w:rPr>
          <w:szCs w:val="24"/>
        </w:rPr>
        <w:t>Background</w:t>
      </w:r>
    </w:p>
    <w:p w14:paraId="5F74B959" w14:textId="77777777" w:rsidR="0087331D" w:rsidRPr="001C60B5" w:rsidRDefault="0087331D" w:rsidP="002A3295">
      <w:pPr>
        <w:pStyle w:val="ListParagraph"/>
        <w:jc w:val="both"/>
        <w:rPr>
          <w:szCs w:val="24"/>
        </w:rPr>
      </w:pPr>
    </w:p>
    <w:p w14:paraId="4D2E8E05" w14:textId="77777777" w:rsidR="00D85A97" w:rsidRDefault="00D85A97" w:rsidP="002A3295">
      <w:pPr>
        <w:jc w:val="both"/>
      </w:pPr>
      <w:r>
        <w:t>In the context of the pandemic, health literacy and awareness of the role of public health institutes has increased. Young people have experienced a historic public health event at an early stage in their lives and there is an opportunity to build on this to equip and empower young people to play their role in protecting and improving public health.</w:t>
      </w:r>
    </w:p>
    <w:p w14:paraId="034152B5" w14:textId="77777777" w:rsidR="00D85A97" w:rsidRDefault="00D85A97" w:rsidP="002A3295">
      <w:pPr>
        <w:jc w:val="both"/>
      </w:pPr>
    </w:p>
    <w:p w14:paraId="5F74B95A" w14:textId="7D1D2375" w:rsidR="0087331D" w:rsidRPr="00D85A97" w:rsidRDefault="00D85A97" w:rsidP="002A3295">
      <w:pPr>
        <w:jc w:val="both"/>
      </w:pPr>
      <w:r>
        <w:t xml:space="preserve">Through established youth organisations, there is a route to provide an age-appropriate, interactive introduction to public health through a Public Health </w:t>
      </w:r>
      <w:r w:rsidR="007671C9">
        <w:t>Merit Award</w:t>
      </w:r>
      <w:r>
        <w:t xml:space="preserve">. There are examples of how this would work internationally, notably the </w:t>
      </w:r>
      <w:hyperlink r:id="rId15" w:history="1">
        <w:r w:rsidRPr="00C0661B">
          <w:rPr>
            <w:rStyle w:val="Hyperlink"/>
          </w:rPr>
          <w:t>Public Health Merit Badge</w:t>
        </w:r>
      </w:hyperlink>
      <w:r>
        <w:t xml:space="preserve"> from the Boy Scouts of America. There are elements of public health in a number of existing badges in Welsh youth organisations, but feedback from these indicates that there would be value in a specific public health badge to bring together and reinforce public health knowledge and skills.</w:t>
      </w:r>
    </w:p>
    <w:p w14:paraId="7F511AB5" w14:textId="77777777" w:rsidR="003F30B3" w:rsidRDefault="0087331D" w:rsidP="002A3295">
      <w:pPr>
        <w:pStyle w:val="Heading1"/>
        <w:numPr>
          <w:ilvl w:val="0"/>
          <w:numId w:val="2"/>
        </w:numPr>
        <w:ind w:left="567" w:hanging="567"/>
        <w:jc w:val="both"/>
        <w:rPr>
          <w:szCs w:val="24"/>
        </w:rPr>
      </w:pPr>
      <w:r w:rsidRPr="001C60B5">
        <w:rPr>
          <w:szCs w:val="24"/>
        </w:rPr>
        <w:t>Description/Assessment</w:t>
      </w:r>
    </w:p>
    <w:p w14:paraId="680BF395" w14:textId="0A587AB2" w:rsidR="003F30B3" w:rsidRDefault="003F30B3" w:rsidP="002A3295">
      <w:pPr>
        <w:pStyle w:val="Heading1"/>
        <w:numPr>
          <w:ilvl w:val="1"/>
          <w:numId w:val="2"/>
        </w:numPr>
        <w:jc w:val="both"/>
      </w:pPr>
      <w:r>
        <w:t>Progress to date</w:t>
      </w:r>
    </w:p>
    <w:p w14:paraId="7F67BFEC" w14:textId="3E249B06" w:rsidR="003F30B3" w:rsidRDefault="003F30B3" w:rsidP="002A3295">
      <w:pPr>
        <w:jc w:val="both"/>
      </w:pPr>
    </w:p>
    <w:p w14:paraId="45B61A02" w14:textId="29ACDA2F" w:rsidR="003F30B3" w:rsidRDefault="003F30B3" w:rsidP="002A3295">
      <w:pPr>
        <w:pStyle w:val="ListParagraph"/>
        <w:numPr>
          <w:ilvl w:val="0"/>
          <w:numId w:val="22"/>
        </w:numPr>
        <w:jc w:val="both"/>
      </w:pPr>
      <w:r>
        <w:t xml:space="preserve">A steering group made up of representatives from Public Health Wales, St John Ambulance, Scouts Cymru and the Army Cadets has overseen the project so far. Internally, we have </w:t>
      </w:r>
      <w:r w:rsidR="00C269F1">
        <w:t>sought the views of colleagues</w:t>
      </w:r>
      <w:r>
        <w:t xml:space="preserve"> with</w:t>
      </w:r>
      <w:r w:rsidR="00C269F1">
        <w:t>in a number of directorates, including</w:t>
      </w:r>
      <w:r>
        <w:t xml:space="preserve"> WHO CC, Health &amp; Well-being and Public Health Services to inform the format and content of the curriculum.</w:t>
      </w:r>
    </w:p>
    <w:p w14:paraId="59E2147A" w14:textId="77777777" w:rsidR="00C57D69" w:rsidRDefault="00C57D69" w:rsidP="002A3295">
      <w:pPr>
        <w:pStyle w:val="ListParagraph"/>
        <w:jc w:val="both"/>
      </w:pPr>
    </w:p>
    <w:p w14:paraId="1649A6D8" w14:textId="34F5EF17" w:rsidR="00C57D69" w:rsidRDefault="003F30B3" w:rsidP="002A3295">
      <w:pPr>
        <w:pStyle w:val="ListParagraph"/>
        <w:numPr>
          <w:ilvl w:val="0"/>
          <w:numId w:val="22"/>
        </w:numPr>
        <w:jc w:val="both"/>
      </w:pPr>
      <w:r>
        <w:t xml:space="preserve">The curriculum is attached. </w:t>
      </w:r>
      <w:r w:rsidR="00B158D6">
        <w:t xml:space="preserve">It has been co-produced between St John Ambulance &amp; Public Health Wales, with advice from other Steering Group members to ensure it is appropriate for use in a range of youth settings. </w:t>
      </w:r>
      <w:r>
        <w:t>It aims to provide a broad introduction to public health topics in an</w:t>
      </w:r>
      <w:r w:rsidR="00C269F1">
        <w:t xml:space="preserve"> age-appropriate,</w:t>
      </w:r>
      <w:r>
        <w:t xml:space="preserve"> interactive and engaging way. In particular, the project element is designed to encourage some element of peer-to-peer or community sharing that will broaden the impact of the course.</w:t>
      </w:r>
    </w:p>
    <w:p w14:paraId="5D6AD1C1" w14:textId="77777777" w:rsidR="00C57D69" w:rsidRDefault="00C57D69" w:rsidP="002A3295">
      <w:pPr>
        <w:pStyle w:val="ListParagraph"/>
        <w:jc w:val="both"/>
      </w:pPr>
    </w:p>
    <w:p w14:paraId="1D5C01D5" w14:textId="4448954A" w:rsidR="003F30B3" w:rsidRDefault="00C57D69" w:rsidP="002A3295">
      <w:pPr>
        <w:pStyle w:val="ListParagraph"/>
        <w:numPr>
          <w:ilvl w:val="0"/>
          <w:numId w:val="22"/>
        </w:numPr>
        <w:jc w:val="both"/>
      </w:pPr>
      <w:r>
        <w:t>Our delivery partners have identified suitable groups of young people to be ‘early adopters’ of the merit award scheme, in a range of settings. This includes a residential event with the Army Cadets</w:t>
      </w:r>
      <w:r w:rsidR="003F30B3">
        <w:t xml:space="preserve"> </w:t>
      </w:r>
      <w:r w:rsidR="007671C9">
        <w:t>which took place during</w:t>
      </w:r>
      <w:r>
        <w:t xml:space="preserve"> October half-term, day events planned for the autumn with St John Ambulance and groups meeting regularly with both Scouts Cymru, and into 2023, St John Ambulance.</w:t>
      </w:r>
    </w:p>
    <w:p w14:paraId="7284617B" w14:textId="77777777" w:rsidR="00C57D69" w:rsidRDefault="00C57D69" w:rsidP="002A3295">
      <w:pPr>
        <w:pStyle w:val="ListParagraph"/>
        <w:jc w:val="both"/>
      </w:pPr>
    </w:p>
    <w:p w14:paraId="0F51696A" w14:textId="2AB4BB5B" w:rsidR="00B158D6" w:rsidRDefault="00B158D6" w:rsidP="002A3295">
      <w:pPr>
        <w:pStyle w:val="ListParagraph"/>
        <w:numPr>
          <w:ilvl w:val="0"/>
          <w:numId w:val="22"/>
        </w:numPr>
        <w:jc w:val="both"/>
      </w:pPr>
      <w:r>
        <w:t xml:space="preserve">The curriculum and other project materials will continue to be developed following feedback from young people and youth leaders who complete the award as part of </w:t>
      </w:r>
      <w:r w:rsidR="00C57D69">
        <w:t>this</w:t>
      </w:r>
      <w:r>
        <w:t xml:space="preserve"> pilot phase.</w:t>
      </w:r>
    </w:p>
    <w:p w14:paraId="0CF2574C" w14:textId="77777777" w:rsidR="00C57D69" w:rsidRDefault="00C57D69" w:rsidP="002A3295">
      <w:pPr>
        <w:pStyle w:val="ListParagraph"/>
        <w:jc w:val="both"/>
      </w:pPr>
    </w:p>
    <w:p w14:paraId="1CAFAD5E" w14:textId="5A664924" w:rsidR="00C57D69" w:rsidRDefault="00C57D69" w:rsidP="002A3295">
      <w:pPr>
        <w:pStyle w:val="ListParagraph"/>
        <w:numPr>
          <w:ilvl w:val="0"/>
          <w:numId w:val="22"/>
        </w:numPr>
        <w:jc w:val="both"/>
      </w:pPr>
      <w:r>
        <w:t xml:space="preserve">A promotional video </w:t>
      </w:r>
      <w:r w:rsidR="0007509D">
        <w:t xml:space="preserve">featuring young people and the project’s partners </w:t>
      </w:r>
      <w:r w:rsidR="007671C9">
        <w:t>has been developed by</w:t>
      </w:r>
      <w:r>
        <w:t xml:space="preserve"> PHW Communications to: </w:t>
      </w:r>
    </w:p>
    <w:p w14:paraId="44448DAA" w14:textId="02003440" w:rsidR="00C57D69" w:rsidRDefault="00C57D69" w:rsidP="002A3295">
      <w:pPr>
        <w:pStyle w:val="ListParagraph"/>
        <w:numPr>
          <w:ilvl w:val="1"/>
          <w:numId w:val="22"/>
        </w:numPr>
        <w:jc w:val="both"/>
      </w:pPr>
      <w:r>
        <w:t>Promote the merit award to young people as an exciting opportunity to gain vital skills and knowledge to enable them to promote public health and make a difference in their community.</w:t>
      </w:r>
    </w:p>
    <w:p w14:paraId="14FB8A80" w14:textId="0F384CDA" w:rsidR="00C57D69" w:rsidRDefault="00C57D69" w:rsidP="002A3295">
      <w:pPr>
        <w:pStyle w:val="ListParagraph"/>
        <w:numPr>
          <w:ilvl w:val="1"/>
          <w:numId w:val="22"/>
        </w:numPr>
        <w:jc w:val="both"/>
      </w:pPr>
      <w:r>
        <w:t xml:space="preserve">Illustrate the breadth of the field of public health and the potential impact that enabling and empowering young people as advocates for public health could have on improving their own health, that of their communities and addressing health inequalities. </w:t>
      </w:r>
    </w:p>
    <w:p w14:paraId="10FD1EE1" w14:textId="22C1CB4D" w:rsidR="00C57D69" w:rsidRDefault="00C57D69" w:rsidP="002A3295">
      <w:pPr>
        <w:pStyle w:val="ListParagraph"/>
        <w:numPr>
          <w:ilvl w:val="1"/>
          <w:numId w:val="22"/>
        </w:numPr>
        <w:jc w:val="both"/>
      </w:pPr>
      <w:r>
        <w:t>Drive youth leaders and young people to the published curriculum to increase uptake of the merit award.</w:t>
      </w:r>
    </w:p>
    <w:p w14:paraId="2CEA23F2" w14:textId="4F15BD7F" w:rsidR="00C57D69" w:rsidRDefault="00C57D69" w:rsidP="002A3295">
      <w:pPr>
        <w:pStyle w:val="ListParagraph"/>
        <w:jc w:val="both"/>
      </w:pPr>
    </w:p>
    <w:p w14:paraId="143E4FFD" w14:textId="6B9FC624" w:rsidR="00C269F1" w:rsidRDefault="00C269F1" w:rsidP="002A3295">
      <w:pPr>
        <w:pStyle w:val="ListParagraph"/>
        <w:numPr>
          <w:ilvl w:val="0"/>
          <w:numId w:val="22"/>
        </w:numPr>
        <w:jc w:val="both"/>
      </w:pPr>
      <w:r>
        <w:t xml:space="preserve">Addressing health inequalities is an important aspect of the project. The Equality &amp; Health Impact Assessment identified the risk of widening health inequalities in groups who are under-represented in established youth organisations. Our delivery partners have told us about their strategies to increase the diversity of their membership, including recruitment strategies and in some cases grant funding available to widen access to people in a lower socio-economic position. We have also designed the curriculum in a user-friendly format to encourage its use in other youth settings in the future e.g. community groups. </w:t>
      </w:r>
    </w:p>
    <w:p w14:paraId="2944D129" w14:textId="3A55EF48" w:rsidR="00B158D6" w:rsidRDefault="00B158D6" w:rsidP="002A3295">
      <w:pPr>
        <w:pStyle w:val="Heading1"/>
        <w:numPr>
          <w:ilvl w:val="1"/>
          <w:numId w:val="2"/>
        </w:numPr>
        <w:jc w:val="both"/>
      </w:pPr>
      <w:r>
        <w:t>Evaluation</w:t>
      </w:r>
    </w:p>
    <w:p w14:paraId="0DC978F2" w14:textId="3A7D6EB2" w:rsidR="00B158D6" w:rsidRDefault="00B158D6" w:rsidP="002A3295">
      <w:pPr>
        <w:jc w:val="both"/>
      </w:pPr>
    </w:p>
    <w:p w14:paraId="790C7EBF" w14:textId="3FD19B7A" w:rsidR="00B158D6" w:rsidRDefault="007671C9" w:rsidP="002A3295">
      <w:pPr>
        <w:pStyle w:val="ListParagraph"/>
        <w:numPr>
          <w:ilvl w:val="0"/>
          <w:numId w:val="25"/>
        </w:numPr>
        <w:jc w:val="both"/>
      </w:pPr>
      <w:r w:rsidRPr="007671C9">
        <w:t>Investment has been secured to finance an external evaluation led by an academic partner. This will ensure a rigorous evaluation that will guide the next phase of the scheme’s roll-out.</w:t>
      </w:r>
    </w:p>
    <w:p w14:paraId="44E71090" w14:textId="77777777" w:rsidR="007F0A6E" w:rsidRPr="007671C9" w:rsidRDefault="007F0A6E" w:rsidP="002A3295">
      <w:pPr>
        <w:pStyle w:val="ListParagraph"/>
        <w:jc w:val="both"/>
      </w:pPr>
    </w:p>
    <w:p w14:paraId="2D22E945" w14:textId="3D24C3A5" w:rsidR="007671C9" w:rsidRDefault="007671C9" w:rsidP="002A3295">
      <w:pPr>
        <w:pStyle w:val="ListParagraph"/>
        <w:numPr>
          <w:ilvl w:val="0"/>
          <w:numId w:val="25"/>
        </w:numPr>
        <w:jc w:val="both"/>
      </w:pPr>
      <w:r w:rsidRPr="007671C9">
        <w:t xml:space="preserve">Steering Group members </w:t>
      </w:r>
      <w:r w:rsidR="00385F67">
        <w:t xml:space="preserve">collaboratively </w:t>
      </w:r>
      <w:r w:rsidRPr="007671C9">
        <w:t xml:space="preserve">developed a logic model to identify key outcomes that will be the focus of the evaluation. </w:t>
      </w:r>
    </w:p>
    <w:p w14:paraId="5BE47E7F" w14:textId="688AB3F3" w:rsidR="007F0A6E" w:rsidRPr="007671C9" w:rsidRDefault="007F0A6E" w:rsidP="002A3295">
      <w:pPr>
        <w:jc w:val="both"/>
      </w:pPr>
    </w:p>
    <w:p w14:paraId="6968B37E" w14:textId="05BCBB21" w:rsidR="007671C9" w:rsidRPr="007671C9" w:rsidRDefault="007671C9" w:rsidP="002A3295">
      <w:pPr>
        <w:pStyle w:val="ListParagraph"/>
        <w:numPr>
          <w:ilvl w:val="0"/>
          <w:numId w:val="25"/>
        </w:numPr>
        <w:jc w:val="both"/>
      </w:pPr>
      <w:r w:rsidRPr="007671C9">
        <w:t>At this early stage in the project, it is anticipated that this will focus on:</w:t>
      </w:r>
    </w:p>
    <w:p w14:paraId="34639BCF" w14:textId="69DC9772" w:rsidR="007671C9" w:rsidRPr="007671C9" w:rsidRDefault="007671C9" w:rsidP="002A3295">
      <w:pPr>
        <w:pStyle w:val="ListParagraph"/>
        <w:numPr>
          <w:ilvl w:val="1"/>
          <w:numId w:val="25"/>
        </w:numPr>
        <w:jc w:val="both"/>
      </w:pPr>
      <w:r w:rsidRPr="007671C9">
        <w:t>Participation, including barriers and reach across different population groups (e.g. deprivation, ethnicity, additional learning needs etc.)</w:t>
      </w:r>
    </w:p>
    <w:p w14:paraId="1EAFB07A" w14:textId="6ACEE1E5" w:rsidR="007671C9" w:rsidRPr="007671C9" w:rsidRDefault="007671C9" w:rsidP="002A3295">
      <w:pPr>
        <w:pStyle w:val="ListParagraph"/>
        <w:numPr>
          <w:ilvl w:val="1"/>
          <w:numId w:val="25"/>
        </w:numPr>
        <w:jc w:val="both"/>
      </w:pPr>
      <w:r w:rsidRPr="007671C9">
        <w:t>Acceptability of the curriculum</w:t>
      </w:r>
    </w:p>
    <w:p w14:paraId="1DBD0E65" w14:textId="2150001B" w:rsidR="007671C9" w:rsidRPr="007671C9" w:rsidRDefault="007671C9" w:rsidP="002A3295">
      <w:pPr>
        <w:pStyle w:val="ListParagraph"/>
        <w:numPr>
          <w:ilvl w:val="1"/>
          <w:numId w:val="25"/>
        </w:numPr>
        <w:jc w:val="both"/>
      </w:pPr>
      <w:r w:rsidRPr="007671C9">
        <w:t>Learning</w:t>
      </w:r>
    </w:p>
    <w:p w14:paraId="1520DB3C" w14:textId="3773C8BE" w:rsidR="007671C9" w:rsidRPr="007671C9" w:rsidRDefault="007671C9" w:rsidP="002A3295">
      <w:pPr>
        <w:pStyle w:val="ListParagraph"/>
        <w:numPr>
          <w:ilvl w:val="1"/>
          <w:numId w:val="25"/>
        </w:numPr>
        <w:jc w:val="both"/>
      </w:pPr>
      <w:r w:rsidRPr="007671C9">
        <w:t>Motivation</w:t>
      </w:r>
    </w:p>
    <w:p w14:paraId="6FE8E7E7" w14:textId="79D718B4" w:rsidR="007671C9" w:rsidRDefault="007671C9" w:rsidP="002A3295">
      <w:pPr>
        <w:pStyle w:val="ListParagraph"/>
        <w:numPr>
          <w:ilvl w:val="1"/>
          <w:numId w:val="25"/>
        </w:numPr>
        <w:jc w:val="both"/>
      </w:pPr>
      <w:r w:rsidRPr="007671C9">
        <w:t>Personal development/behaviour change</w:t>
      </w:r>
    </w:p>
    <w:p w14:paraId="4BDB9B90" w14:textId="77777777" w:rsidR="00385F67" w:rsidRDefault="00385F67" w:rsidP="002A3295">
      <w:pPr>
        <w:pStyle w:val="ListParagraph"/>
        <w:ind w:left="1440"/>
        <w:jc w:val="both"/>
      </w:pPr>
    </w:p>
    <w:p w14:paraId="5E480CD8" w14:textId="0FCFFBD2" w:rsidR="00385F67" w:rsidRDefault="00385F67" w:rsidP="002A3295">
      <w:pPr>
        <w:pStyle w:val="ListParagraph"/>
        <w:numPr>
          <w:ilvl w:val="0"/>
          <w:numId w:val="25"/>
        </w:numPr>
        <w:jc w:val="both"/>
      </w:pPr>
      <w:r>
        <w:t>The findings of this evaluation will inform any further improvement to the scheme before wider roll-out to make it accessible to any youth setting in Wales.</w:t>
      </w:r>
    </w:p>
    <w:p w14:paraId="24C338C9" w14:textId="77777777" w:rsidR="007F0A6E" w:rsidRDefault="007F0A6E" w:rsidP="002A3295">
      <w:pPr>
        <w:jc w:val="both"/>
      </w:pPr>
    </w:p>
    <w:p w14:paraId="64663257" w14:textId="648E35F5" w:rsidR="007671C9" w:rsidRPr="007671C9" w:rsidRDefault="007671C9" w:rsidP="002A3295">
      <w:pPr>
        <w:pStyle w:val="ListParagraph"/>
        <w:numPr>
          <w:ilvl w:val="0"/>
          <w:numId w:val="25"/>
        </w:numPr>
        <w:jc w:val="both"/>
      </w:pPr>
      <w:r>
        <w:t>It is planned in the wider roll-out that the curriculum will be freely available on the Public Health Wales website, subject to those who wish to download it supplying basic contact information. This will enable us to reach out to users to undertake ongoing quality assurance and further evaluation as the project develops.</w:t>
      </w:r>
    </w:p>
    <w:p w14:paraId="37E19778" w14:textId="3B72416D" w:rsidR="00C269F1" w:rsidRDefault="00C269F1" w:rsidP="002A3295">
      <w:pPr>
        <w:pStyle w:val="Heading1"/>
        <w:numPr>
          <w:ilvl w:val="1"/>
          <w:numId w:val="2"/>
        </w:numPr>
        <w:jc w:val="both"/>
      </w:pPr>
      <w:r>
        <w:t>Financial implications</w:t>
      </w:r>
    </w:p>
    <w:p w14:paraId="6610D62D" w14:textId="3FF91776" w:rsidR="00C269F1" w:rsidRDefault="00C269F1" w:rsidP="002A3295">
      <w:pPr>
        <w:jc w:val="both"/>
      </w:pPr>
    </w:p>
    <w:p w14:paraId="5205F0E5" w14:textId="46194E02" w:rsidR="00C269F1" w:rsidRDefault="00C269F1" w:rsidP="002A3295">
      <w:pPr>
        <w:pStyle w:val="ListParagraph"/>
        <w:numPr>
          <w:ilvl w:val="0"/>
          <w:numId w:val="24"/>
        </w:numPr>
        <w:jc w:val="both"/>
      </w:pPr>
      <w:r>
        <w:t>To date, all partners have taken part in this project free of charge.</w:t>
      </w:r>
    </w:p>
    <w:p w14:paraId="7020831B" w14:textId="77777777" w:rsidR="00C57D69" w:rsidRDefault="00C57D69" w:rsidP="002A3295">
      <w:pPr>
        <w:pStyle w:val="ListParagraph"/>
        <w:jc w:val="both"/>
      </w:pPr>
    </w:p>
    <w:p w14:paraId="4A4F8CB8" w14:textId="17D9FF8C" w:rsidR="007671C9" w:rsidRDefault="007671C9" w:rsidP="002A3295">
      <w:pPr>
        <w:pStyle w:val="ListParagraph"/>
        <w:numPr>
          <w:ilvl w:val="0"/>
          <w:numId w:val="24"/>
        </w:numPr>
        <w:jc w:val="both"/>
      </w:pPr>
      <w:r>
        <w:t>Investment funding of £20,000 has been secured to undertake a rigorous, independent evaluation of the pilot phase.</w:t>
      </w:r>
    </w:p>
    <w:p w14:paraId="1912F567" w14:textId="77777777" w:rsidR="007671C9" w:rsidRDefault="007671C9" w:rsidP="002A3295">
      <w:pPr>
        <w:pStyle w:val="ListParagraph"/>
        <w:jc w:val="both"/>
      </w:pPr>
    </w:p>
    <w:p w14:paraId="53D26AE2" w14:textId="2DFC7CE1" w:rsidR="00C269F1" w:rsidRDefault="00C269F1" w:rsidP="002A3295">
      <w:pPr>
        <w:pStyle w:val="ListParagraph"/>
        <w:numPr>
          <w:ilvl w:val="0"/>
          <w:numId w:val="24"/>
        </w:numPr>
        <w:jc w:val="both"/>
      </w:pPr>
      <w:r>
        <w:t>Public Health Wales would look to provide an initial batch of badges for award. These are more cost-effective if bought in large quantities</w:t>
      </w:r>
      <w:r w:rsidR="00B158D6">
        <w:t>. For example, one supplier has provided the following costs</w:t>
      </w:r>
      <w:r>
        <w:t>:</w:t>
      </w:r>
    </w:p>
    <w:p w14:paraId="3CA3BF1E" w14:textId="77777777" w:rsidR="00B158D6" w:rsidRDefault="00B158D6" w:rsidP="002A3295">
      <w:pPr>
        <w:pStyle w:val="ListParagraph"/>
        <w:jc w:val="both"/>
      </w:pPr>
    </w:p>
    <w:tbl>
      <w:tblPr>
        <w:tblStyle w:val="GridTable1Light"/>
        <w:tblW w:w="0" w:type="auto"/>
        <w:tblInd w:w="704" w:type="dxa"/>
        <w:tblLook w:val="04A0" w:firstRow="1" w:lastRow="0" w:firstColumn="1" w:lastColumn="0" w:noHBand="0" w:noVBand="1"/>
      </w:tblPr>
      <w:tblGrid>
        <w:gridCol w:w="2972"/>
        <w:gridCol w:w="2552"/>
        <w:gridCol w:w="2646"/>
      </w:tblGrid>
      <w:tr w:rsidR="00B158D6" w14:paraId="2968DDCA" w14:textId="77777777" w:rsidTr="00B15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E61B34" w14:textId="6FD640B4" w:rsidR="00B158D6" w:rsidRDefault="00B158D6" w:rsidP="00C269F1">
            <w:r>
              <w:t>Number of badges</w:t>
            </w:r>
          </w:p>
        </w:tc>
        <w:tc>
          <w:tcPr>
            <w:tcW w:w="2552" w:type="dxa"/>
          </w:tcPr>
          <w:p w14:paraId="60AE6E2F" w14:textId="370F877D" w:rsidR="00B158D6" w:rsidRDefault="00B158D6" w:rsidP="00C269F1">
            <w:pPr>
              <w:cnfStyle w:val="100000000000" w:firstRow="1" w:lastRow="0" w:firstColumn="0" w:lastColumn="0" w:oddVBand="0" w:evenVBand="0" w:oddHBand="0" w:evenHBand="0" w:firstRowFirstColumn="0" w:firstRowLastColumn="0" w:lastRowFirstColumn="0" w:lastRowLastColumn="0"/>
            </w:pPr>
            <w:r>
              <w:t>Cost per badge</w:t>
            </w:r>
          </w:p>
        </w:tc>
        <w:tc>
          <w:tcPr>
            <w:tcW w:w="2646" w:type="dxa"/>
          </w:tcPr>
          <w:p w14:paraId="1EC5E82E" w14:textId="1055C76D" w:rsidR="00B158D6" w:rsidRDefault="00B158D6" w:rsidP="00C269F1">
            <w:pPr>
              <w:cnfStyle w:val="100000000000" w:firstRow="1" w:lastRow="0" w:firstColumn="0" w:lastColumn="0" w:oddVBand="0" w:evenVBand="0" w:oddHBand="0" w:evenHBand="0" w:firstRowFirstColumn="0" w:firstRowLastColumn="0" w:lastRowFirstColumn="0" w:lastRowLastColumn="0"/>
            </w:pPr>
            <w:r>
              <w:t>Total cost</w:t>
            </w:r>
          </w:p>
        </w:tc>
      </w:tr>
      <w:tr w:rsidR="00B158D6" w14:paraId="0DB6B5BB" w14:textId="38130CB3" w:rsidTr="00B158D6">
        <w:tc>
          <w:tcPr>
            <w:cnfStyle w:val="001000000000" w:firstRow="0" w:lastRow="0" w:firstColumn="1" w:lastColumn="0" w:oddVBand="0" w:evenVBand="0" w:oddHBand="0" w:evenHBand="0" w:firstRowFirstColumn="0" w:firstRowLastColumn="0" w:lastRowFirstColumn="0" w:lastRowLastColumn="0"/>
            <w:tcW w:w="2972" w:type="dxa"/>
          </w:tcPr>
          <w:p w14:paraId="4F5BFFE9" w14:textId="253C0EFF" w:rsidR="00B158D6" w:rsidRDefault="00B158D6" w:rsidP="00C269F1">
            <w:r>
              <w:t>100</w:t>
            </w:r>
          </w:p>
        </w:tc>
        <w:tc>
          <w:tcPr>
            <w:tcW w:w="2552" w:type="dxa"/>
          </w:tcPr>
          <w:p w14:paraId="1775652A" w14:textId="67DB1514" w:rsidR="00B158D6" w:rsidRDefault="00B158D6" w:rsidP="00C269F1">
            <w:pPr>
              <w:cnfStyle w:val="000000000000" w:firstRow="0" w:lastRow="0" w:firstColumn="0" w:lastColumn="0" w:oddVBand="0" w:evenVBand="0" w:oddHBand="0" w:evenHBand="0" w:firstRowFirstColumn="0" w:firstRowLastColumn="0" w:lastRowFirstColumn="0" w:lastRowLastColumn="0"/>
            </w:pPr>
            <w:r>
              <w:t>£1.19</w:t>
            </w:r>
          </w:p>
        </w:tc>
        <w:tc>
          <w:tcPr>
            <w:tcW w:w="2646" w:type="dxa"/>
          </w:tcPr>
          <w:p w14:paraId="4DDAEF77" w14:textId="7FF9A8B4" w:rsidR="00B158D6" w:rsidRDefault="00B158D6" w:rsidP="00C269F1">
            <w:pPr>
              <w:cnfStyle w:val="000000000000" w:firstRow="0" w:lastRow="0" w:firstColumn="0" w:lastColumn="0" w:oddVBand="0" w:evenVBand="0" w:oddHBand="0" w:evenHBand="0" w:firstRowFirstColumn="0" w:firstRowLastColumn="0" w:lastRowFirstColumn="0" w:lastRowLastColumn="0"/>
            </w:pPr>
            <w:r>
              <w:t>£119</w:t>
            </w:r>
          </w:p>
        </w:tc>
      </w:tr>
      <w:tr w:rsidR="00B158D6" w14:paraId="03D69A7F" w14:textId="63218A29" w:rsidTr="00B158D6">
        <w:tc>
          <w:tcPr>
            <w:cnfStyle w:val="001000000000" w:firstRow="0" w:lastRow="0" w:firstColumn="1" w:lastColumn="0" w:oddVBand="0" w:evenVBand="0" w:oddHBand="0" w:evenHBand="0" w:firstRowFirstColumn="0" w:firstRowLastColumn="0" w:lastRowFirstColumn="0" w:lastRowLastColumn="0"/>
            <w:tcW w:w="2972" w:type="dxa"/>
          </w:tcPr>
          <w:p w14:paraId="356686A0" w14:textId="4EDFCBDA" w:rsidR="00B158D6" w:rsidRDefault="00B158D6" w:rsidP="00C269F1">
            <w:r>
              <w:t>500</w:t>
            </w:r>
          </w:p>
        </w:tc>
        <w:tc>
          <w:tcPr>
            <w:tcW w:w="2552" w:type="dxa"/>
          </w:tcPr>
          <w:p w14:paraId="39476ABD" w14:textId="60BB68C9" w:rsidR="00B158D6" w:rsidRDefault="00B158D6" w:rsidP="00C269F1">
            <w:pPr>
              <w:cnfStyle w:val="000000000000" w:firstRow="0" w:lastRow="0" w:firstColumn="0" w:lastColumn="0" w:oddVBand="0" w:evenVBand="0" w:oddHBand="0" w:evenHBand="0" w:firstRowFirstColumn="0" w:firstRowLastColumn="0" w:lastRowFirstColumn="0" w:lastRowLastColumn="0"/>
            </w:pPr>
            <w:r>
              <w:t>£0.52</w:t>
            </w:r>
          </w:p>
        </w:tc>
        <w:tc>
          <w:tcPr>
            <w:tcW w:w="2646" w:type="dxa"/>
          </w:tcPr>
          <w:p w14:paraId="18BE303F" w14:textId="31204861" w:rsidR="00B158D6" w:rsidRDefault="00B158D6" w:rsidP="00C269F1">
            <w:pPr>
              <w:cnfStyle w:val="000000000000" w:firstRow="0" w:lastRow="0" w:firstColumn="0" w:lastColumn="0" w:oddVBand="0" w:evenVBand="0" w:oddHBand="0" w:evenHBand="0" w:firstRowFirstColumn="0" w:firstRowLastColumn="0" w:lastRowFirstColumn="0" w:lastRowLastColumn="0"/>
            </w:pPr>
            <w:r>
              <w:t>£260</w:t>
            </w:r>
          </w:p>
        </w:tc>
      </w:tr>
      <w:tr w:rsidR="00B158D6" w14:paraId="3DB8C3C2" w14:textId="77777777" w:rsidTr="00B158D6">
        <w:tc>
          <w:tcPr>
            <w:cnfStyle w:val="001000000000" w:firstRow="0" w:lastRow="0" w:firstColumn="1" w:lastColumn="0" w:oddVBand="0" w:evenVBand="0" w:oddHBand="0" w:evenHBand="0" w:firstRowFirstColumn="0" w:firstRowLastColumn="0" w:lastRowFirstColumn="0" w:lastRowLastColumn="0"/>
            <w:tcW w:w="2972" w:type="dxa"/>
          </w:tcPr>
          <w:p w14:paraId="35EE789A" w14:textId="646659E3" w:rsidR="00B158D6" w:rsidRDefault="00B158D6" w:rsidP="00C269F1">
            <w:r>
              <w:t>1000</w:t>
            </w:r>
          </w:p>
        </w:tc>
        <w:tc>
          <w:tcPr>
            <w:tcW w:w="2552" w:type="dxa"/>
          </w:tcPr>
          <w:p w14:paraId="18956C63" w14:textId="38274FE7" w:rsidR="00B158D6" w:rsidRDefault="00B158D6" w:rsidP="00C269F1">
            <w:pPr>
              <w:cnfStyle w:val="000000000000" w:firstRow="0" w:lastRow="0" w:firstColumn="0" w:lastColumn="0" w:oddVBand="0" w:evenVBand="0" w:oddHBand="0" w:evenHBand="0" w:firstRowFirstColumn="0" w:firstRowLastColumn="0" w:lastRowFirstColumn="0" w:lastRowLastColumn="0"/>
            </w:pPr>
            <w:r>
              <w:t>£0.39</w:t>
            </w:r>
          </w:p>
        </w:tc>
        <w:tc>
          <w:tcPr>
            <w:tcW w:w="2646" w:type="dxa"/>
          </w:tcPr>
          <w:p w14:paraId="376BCD89" w14:textId="2B9B58EF" w:rsidR="00B158D6" w:rsidRDefault="00B158D6" w:rsidP="00C269F1">
            <w:pPr>
              <w:cnfStyle w:val="000000000000" w:firstRow="0" w:lastRow="0" w:firstColumn="0" w:lastColumn="0" w:oddVBand="0" w:evenVBand="0" w:oddHBand="0" w:evenHBand="0" w:firstRowFirstColumn="0" w:firstRowLastColumn="0" w:lastRowFirstColumn="0" w:lastRowLastColumn="0"/>
            </w:pPr>
            <w:r>
              <w:t>£390</w:t>
            </w:r>
          </w:p>
        </w:tc>
      </w:tr>
      <w:tr w:rsidR="00B158D6" w14:paraId="4D131179" w14:textId="77777777" w:rsidTr="00B158D6">
        <w:tc>
          <w:tcPr>
            <w:cnfStyle w:val="001000000000" w:firstRow="0" w:lastRow="0" w:firstColumn="1" w:lastColumn="0" w:oddVBand="0" w:evenVBand="0" w:oddHBand="0" w:evenHBand="0" w:firstRowFirstColumn="0" w:firstRowLastColumn="0" w:lastRowFirstColumn="0" w:lastRowLastColumn="0"/>
            <w:tcW w:w="2972" w:type="dxa"/>
          </w:tcPr>
          <w:p w14:paraId="3EE3C395" w14:textId="0D9B747D" w:rsidR="00B158D6" w:rsidRDefault="00B158D6" w:rsidP="00C269F1">
            <w:r>
              <w:t>5000</w:t>
            </w:r>
          </w:p>
        </w:tc>
        <w:tc>
          <w:tcPr>
            <w:tcW w:w="2552" w:type="dxa"/>
          </w:tcPr>
          <w:p w14:paraId="42D2F1DD" w14:textId="712EE2E0" w:rsidR="00B158D6" w:rsidRDefault="00B158D6" w:rsidP="00C269F1">
            <w:pPr>
              <w:cnfStyle w:val="000000000000" w:firstRow="0" w:lastRow="0" w:firstColumn="0" w:lastColumn="0" w:oddVBand="0" w:evenVBand="0" w:oddHBand="0" w:evenHBand="0" w:firstRowFirstColumn="0" w:firstRowLastColumn="0" w:lastRowFirstColumn="0" w:lastRowLastColumn="0"/>
            </w:pPr>
            <w:r>
              <w:t>£0.32</w:t>
            </w:r>
          </w:p>
        </w:tc>
        <w:tc>
          <w:tcPr>
            <w:tcW w:w="2646" w:type="dxa"/>
          </w:tcPr>
          <w:p w14:paraId="319570BF" w14:textId="2DCB1D5A" w:rsidR="00B158D6" w:rsidRDefault="00B158D6" w:rsidP="00C269F1">
            <w:pPr>
              <w:cnfStyle w:val="000000000000" w:firstRow="0" w:lastRow="0" w:firstColumn="0" w:lastColumn="0" w:oddVBand="0" w:evenVBand="0" w:oddHBand="0" w:evenHBand="0" w:firstRowFirstColumn="0" w:firstRowLastColumn="0" w:lastRowFirstColumn="0" w:lastRowLastColumn="0"/>
            </w:pPr>
            <w:r>
              <w:t>£1600</w:t>
            </w:r>
          </w:p>
        </w:tc>
      </w:tr>
    </w:tbl>
    <w:p w14:paraId="3BF272CD" w14:textId="77777777" w:rsidR="00C269F1" w:rsidRPr="00C269F1" w:rsidRDefault="00C269F1" w:rsidP="00C269F1"/>
    <w:p w14:paraId="5F74B967" w14:textId="33D9B669" w:rsidR="00680CAE" w:rsidRPr="00B158D6" w:rsidRDefault="00680CAE" w:rsidP="00B158D6">
      <w:pPr>
        <w:jc w:val="both"/>
        <w:rPr>
          <w:color w:val="FF0000"/>
          <w:szCs w:val="24"/>
        </w:rPr>
      </w:pPr>
    </w:p>
    <w:p w14:paraId="5F74B968" w14:textId="77777777" w:rsidR="00051E74" w:rsidRPr="001C60B5" w:rsidRDefault="00B936DE" w:rsidP="002B712E">
      <w:pPr>
        <w:pStyle w:val="Heading2"/>
        <w:numPr>
          <w:ilvl w:val="1"/>
          <w:numId w:val="19"/>
        </w:numPr>
        <w:ind w:left="567" w:hanging="567"/>
        <w:rPr>
          <w:szCs w:val="24"/>
        </w:rPr>
      </w:pPr>
      <w:r w:rsidRPr="001C60B5">
        <w:rPr>
          <w:szCs w:val="24"/>
        </w:rPr>
        <w:t>Well</w:t>
      </w:r>
      <w:r w:rsidR="00EA23FA" w:rsidRPr="001C60B5">
        <w:rPr>
          <w:szCs w:val="24"/>
        </w:rPr>
        <w:t>-</w:t>
      </w:r>
      <w:r w:rsidRPr="001C60B5">
        <w:rPr>
          <w:szCs w:val="24"/>
        </w:rPr>
        <w:t xml:space="preserve">being of Future Generations </w:t>
      </w:r>
      <w:r w:rsidR="00371966">
        <w:rPr>
          <w:szCs w:val="24"/>
        </w:rPr>
        <w:t xml:space="preserve">(Wales) </w:t>
      </w:r>
      <w:r w:rsidRPr="001C60B5">
        <w:rPr>
          <w:szCs w:val="24"/>
        </w:rPr>
        <w:t>Act</w:t>
      </w:r>
      <w:r w:rsidR="00371966">
        <w:rPr>
          <w:szCs w:val="24"/>
        </w:rPr>
        <w:t xml:space="preserve"> 2015</w:t>
      </w:r>
    </w:p>
    <w:p w14:paraId="5F74B969" w14:textId="77777777" w:rsidR="00B936DE" w:rsidRPr="00B158D6" w:rsidRDefault="00B936DE" w:rsidP="00B936DE">
      <w:pPr>
        <w:rPr>
          <w:szCs w:val="24"/>
        </w:rPr>
      </w:pPr>
    </w:p>
    <w:p w14:paraId="5F74B96E" w14:textId="77777777" w:rsidR="00D26E48" w:rsidRPr="00B158D6" w:rsidRDefault="00D26E48" w:rsidP="00B936DE">
      <w:pPr>
        <w:rPr>
          <w:szCs w:val="24"/>
        </w:rPr>
      </w:pPr>
      <w:r w:rsidRPr="00B158D6">
        <w:rPr>
          <w:szCs w:val="24"/>
        </w:rPr>
        <w:t>This work has been put together following the five ways</w:t>
      </w:r>
      <w:r w:rsidR="00FC7FAE" w:rsidRPr="00B158D6">
        <w:rPr>
          <w:szCs w:val="24"/>
        </w:rPr>
        <w:t xml:space="preserve"> of working</w:t>
      </w:r>
      <w:r w:rsidRPr="00B158D6">
        <w:rPr>
          <w:szCs w:val="24"/>
        </w:rPr>
        <w:t>,</w:t>
      </w:r>
      <w:r w:rsidR="00FC7FAE" w:rsidRPr="00B158D6">
        <w:rPr>
          <w:szCs w:val="24"/>
        </w:rPr>
        <w:t xml:space="preserve"> as defined within the sustainable developme</w:t>
      </w:r>
      <w:r w:rsidR="00660772" w:rsidRPr="00B158D6">
        <w:rPr>
          <w:szCs w:val="24"/>
        </w:rPr>
        <w:t>nt principle in the Act</w:t>
      </w:r>
      <w:r w:rsidRPr="00B158D6">
        <w:rPr>
          <w:szCs w:val="24"/>
        </w:rPr>
        <w:t>,</w:t>
      </w:r>
      <w:r w:rsidR="00660772" w:rsidRPr="00B158D6">
        <w:rPr>
          <w:szCs w:val="24"/>
        </w:rPr>
        <w:t xml:space="preserve"> in </w:t>
      </w:r>
      <w:r w:rsidRPr="00B158D6">
        <w:rPr>
          <w:szCs w:val="24"/>
        </w:rPr>
        <w:t>the following ways</w:t>
      </w:r>
      <w:r w:rsidR="00893619" w:rsidRPr="00B158D6">
        <w:rPr>
          <w:szCs w:val="24"/>
        </w:rPr>
        <w:t>:</w:t>
      </w:r>
    </w:p>
    <w:p w14:paraId="5F74B96F" w14:textId="77777777" w:rsidR="0046169C" w:rsidRDefault="0046169C" w:rsidP="00B936DE">
      <w:pPr>
        <w:rPr>
          <w:i/>
          <w:color w:val="FF0000"/>
          <w:szCs w:val="24"/>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73"/>
      </w:tblGrid>
      <w:tr w:rsidR="00893619" w:rsidRPr="00277F27" w14:paraId="5F74B972" w14:textId="77777777" w:rsidTr="00893619">
        <w:tc>
          <w:tcPr>
            <w:tcW w:w="3369" w:type="dxa"/>
          </w:tcPr>
          <w:p w14:paraId="5F74B970" w14:textId="77777777" w:rsidR="00893619" w:rsidRPr="00277F27" w:rsidRDefault="00893619" w:rsidP="00A62FD1">
            <w:pPr>
              <w:spacing w:before="120" w:after="120"/>
              <w:jc w:val="center"/>
              <w:rPr>
                <w:rFonts w:cs="Arial"/>
                <w:szCs w:val="24"/>
              </w:rPr>
            </w:pPr>
            <w:r w:rsidRPr="00277F27">
              <w:rPr>
                <w:rFonts w:cs="Arial"/>
                <w:noProof/>
                <w:szCs w:val="24"/>
                <w:lang w:eastAsia="en-GB"/>
              </w:rPr>
              <w:drawing>
                <wp:inline distT="0" distB="0" distL="0" distR="0" wp14:anchorId="5F74B98B" wp14:editId="5F74B98C">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6"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873" w:type="dxa"/>
          </w:tcPr>
          <w:p w14:paraId="20B94EFB" w14:textId="79785E1E" w:rsidR="008143BD" w:rsidRDefault="008143BD" w:rsidP="00893619">
            <w:pPr>
              <w:spacing w:line="276" w:lineRule="auto"/>
              <w:rPr>
                <w:rFonts w:cs="Arial"/>
                <w:szCs w:val="24"/>
              </w:rPr>
            </w:pPr>
            <w:r>
              <w:rPr>
                <w:rFonts w:cs="Arial"/>
                <w:szCs w:val="24"/>
              </w:rPr>
              <w:t>Working with delivery partners we have created a merit award scheme that is flexible and adaptable to future contexts. Youth leaders of the future will be able to work with the curriculum without the need for in-depth training. This means it will be available to children and young people in the long-term without any need for major investment.</w:t>
            </w:r>
          </w:p>
          <w:p w14:paraId="5F74B971" w14:textId="11E531EF" w:rsidR="00893619" w:rsidRPr="008143BD" w:rsidRDefault="00893619" w:rsidP="00893619">
            <w:pPr>
              <w:spacing w:line="276" w:lineRule="auto"/>
              <w:rPr>
                <w:rFonts w:cs="Arial"/>
                <w:szCs w:val="24"/>
              </w:rPr>
            </w:pPr>
            <w:r w:rsidRPr="008143BD">
              <w:rPr>
                <w:rFonts w:cs="Arial"/>
                <w:szCs w:val="24"/>
              </w:rPr>
              <w:t xml:space="preserve"> </w:t>
            </w:r>
          </w:p>
        </w:tc>
      </w:tr>
      <w:tr w:rsidR="00893619" w:rsidRPr="00277F27" w14:paraId="5F74B975" w14:textId="77777777" w:rsidTr="00893619">
        <w:tc>
          <w:tcPr>
            <w:tcW w:w="3369" w:type="dxa"/>
          </w:tcPr>
          <w:p w14:paraId="5F74B973"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5F74B98D" wp14:editId="5F74B98E">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7"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873" w:type="dxa"/>
          </w:tcPr>
          <w:p w14:paraId="1DD06055" w14:textId="77777777" w:rsidR="008143BD" w:rsidRDefault="008143BD" w:rsidP="00893619">
            <w:pPr>
              <w:spacing w:line="276" w:lineRule="auto"/>
              <w:rPr>
                <w:rFonts w:cs="Arial"/>
                <w:szCs w:val="24"/>
              </w:rPr>
            </w:pPr>
            <w:r>
              <w:rPr>
                <w:rFonts w:cs="Arial"/>
                <w:szCs w:val="24"/>
              </w:rPr>
              <w:t>The merit award scheme offers the opportunity to reach people early in their lives with important public health information and messages. This offers an important opportunity for prevention, such as raising awareness of the importance of physical activity, or the risks of drug or tobacco use at an early age, and embed healthy behaviours that are crucial for prevention.</w:t>
            </w:r>
          </w:p>
          <w:p w14:paraId="5F74B974" w14:textId="7F0FD7A2" w:rsidR="00893619" w:rsidRPr="008143BD" w:rsidRDefault="00893619" w:rsidP="00893619">
            <w:pPr>
              <w:spacing w:line="276" w:lineRule="auto"/>
              <w:rPr>
                <w:rFonts w:cs="Arial"/>
                <w:szCs w:val="24"/>
              </w:rPr>
            </w:pPr>
            <w:r w:rsidRPr="008143BD">
              <w:rPr>
                <w:rFonts w:cs="Arial"/>
                <w:szCs w:val="24"/>
              </w:rPr>
              <w:t xml:space="preserve"> </w:t>
            </w:r>
          </w:p>
        </w:tc>
      </w:tr>
      <w:tr w:rsidR="00893619" w:rsidRPr="00277F27" w14:paraId="5F74B978" w14:textId="77777777" w:rsidTr="00893619">
        <w:tc>
          <w:tcPr>
            <w:tcW w:w="3369" w:type="dxa"/>
          </w:tcPr>
          <w:p w14:paraId="5F74B976"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5F74B98F" wp14:editId="5F74B990">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8"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873" w:type="dxa"/>
          </w:tcPr>
          <w:p w14:paraId="28AC20C7" w14:textId="77777777" w:rsidR="008143BD" w:rsidRDefault="008143BD" w:rsidP="00893619">
            <w:pPr>
              <w:spacing w:line="276" w:lineRule="auto"/>
              <w:rPr>
                <w:rFonts w:cs="Arial"/>
                <w:szCs w:val="24"/>
              </w:rPr>
            </w:pPr>
            <w:r>
              <w:rPr>
                <w:rFonts w:cs="Arial"/>
                <w:szCs w:val="24"/>
              </w:rPr>
              <w:t>The merit award looks at public health holistically, including elements from across multiple public health topics and domains. The curriculum also interfaces naturally with other youth merit awards, demonstrating the links between public health competencies and other skill areas e.g. Environmental Conservation, First Aid, Physical Activity badges.</w:t>
            </w:r>
          </w:p>
          <w:p w14:paraId="5F74B977" w14:textId="1EFE9BCF" w:rsidR="00893619" w:rsidRPr="008143BD" w:rsidRDefault="00893619" w:rsidP="00893619">
            <w:pPr>
              <w:spacing w:line="276" w:lineRule="auto"/>
              <w:rPr>
                <w:rFonts w:cs="Arial"/>
                <w:szCs w:val="24"/>
              </w:rPr>
            </w:pPr>
            <w:r w:rsidRPr="008143BD">
              <w:rPr>
                <w:rFonts w:cs="Arial"/>
                <w:szCs w:val="24"/>
              </w:rPr>
              <w:t xml:space="preserve"> </w:t>
            </w:r>
          </w:p>
        </w:tc>
      </w:tr>
      <w:tr w:rsidR="00893619" w:rsidRPr="00277F27" w14:paraId="5F74B97B" w14:textId="77777777" w:rsidTr="00893619">
        <w:tc>
          <w:tcPr>
            <w:tcW w:w="3369" w:type="dxa"/>
          </w:tcPr>
          <w:p w14:paraId="5F74B979"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5F74B991" wp14:editId="5F74B992">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9"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873" w:type="dxa"/>
            <w:shd w:val="clear" w:color="auto" w:fill="auto"/>
          </w:tcPr>
          <w:p w14:paraId="1C21594C" w14:textId="77777777" w:rsidR="00893619" w:rsidRDefault="008143BD" w:rsidP="00893619">
            <w:pPr>
              <w:spacing w:line="276" w:lineRule="auto"/>
              <w:rPr>
                <w:rFonts w:cs="Arial"/>
                <w:szCs w:val="24"/>
              </w:rPr>
            </w:pPr>
            <w:r w:rsidRPr="008143BD">
              <w:rPr>
                <w:rFonts w:cs="Arial"/>
                <w:szCs w:val="24"/>
              </w:rPr>
              <w:t>We have worked with</w:t>
            </w:r>
            <w:r w:rsidR="00893619" w:rsidRPr="008143BD">
              <w:rPr>
                <w:rFonts w:cs="Arial"/>
                <w:szCs w:val="24"/>
              </w:rPr>
              <w:t xml:space="preserve"> </w:t>
            </w:r>
            <w:r>
              <w:rPr>
                <w:rFonts w:cs="Arial"/>
                <w:szCs w:val="24"/>
              </w:rPr>
              <w:t>three established youth organisations in the development of this scheme, who are expertly placed to advise on working with children and young people and the opportunities for engagement presented by existing youth structures.</w:t>
            </w:r>
          </w:p>
          <w:p w14:paraId="5F74B97A" w14:textId="40A885C9" w:rsidR="008143BD" w:rsidRPr="008143BD" w:rsidRDefault="008143BD" w:rsidP="00893619">
            <w:pPr>
              <w:spacing w:line="276" w:lineRule="auto"/>
              <w:rPr>
                <w:rFonts w:cs="Arial"/>
                <w:szCs w:val="24"/>
              </w:rPr>
            </w:pPr>
          </w:p>
        </w:tc>
      </w:tr>
      <w:tr w:rsidR="00893619" w:rsidRPr="00277F27" w14:paraId="5F74B97E" w14:textId="77777777" w:rsidTr="00893619">
        <w:tc>
          <w:tcPr>
            <w:tcW w:w="3369" w:type="dxa"/>
          </w:tcPr>
          <w:p w14:paraId="5F74B97C"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5F74B993" wp14:editId="5F74B994">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20"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873" w:type="dxa"/>
          </w:tcPr>
          <w:p w14:paraId="5F74B97D" w14:textId="0D889036" w:rsidR="00893619" w:rsidRPr="008143BD" w:rsidRDefault="008143BD" w:rsidP="00893619">
            <w:pPr>
              <w:spacing w:line="276" w:lineRule="auto"/>
              <w:rPr>
                <w:rFonts w:cs="Arial"/>
                <w:szCs w:val="24"/>
              </w:rPr>
            </w:pPr>
            <w:r>
              <w:rPr>
                <w:rFonts w:cs="Arial"/>
                <w:szCs w:val="24"/>
              </w:rPr>
              <w:t>We have involved children and young people in the design of the badge. Their feedback will be integral to iterative improvements in the curriculum and learning materials.</w:t>
            </w:r>
            <w:r w:rsidR="00893619" w:rsidRPr="008143BD">
              <w:rPr>
                <w:rFonts w:cs="Arial"/>
                <w:szCs w:val="24"/>
              </w:rPr>
              <w:t xml:space="preserve"> </w:t>
            </w:r>
          </w:p>
        </w:tc>
      </w:tr>
    </w:tbl>
    <w:p w14:paraId="5F74B97F" w14:textId="77777777" w:rsidR="00E07F66" w:rsidRPr="001C60B5" w:rsidRDefault="00E07F66" w:rsidP="00C269F1">
      <w:pPr>
        <w:pStyle w:val="Heading1"/>
        <w:numPr>
          <w:ilvl w:val="0"/>
          <w:numId w:val="2"/>
        </w:numPr>
        <w:rPr>
          <w:szCs w:val="24"/>
        </w:rPr>
      </w:pPr>
      <w:r w:rsidRPr="001C60B5">
        <w:rPr>
          <w:szCs w:val="24"/>
        </w:rPr>
        <w:t>Recommendation</w:t>
      </w:r>
    </w:p>
    <w:p w14:paraId="5F74B980" w14:textId="77777777" w:rsidR="00E07F66" w:rsidRPr="001C60B5" w:rsidRDefault="00E07F66" w:rsidP="00E07F66">
      <w:pPr>
        <w:rPr>
          <w:szCs w:val="24"/>
        </w:rPr>
      </w:pPr>
    </w:p>
    <w:p w14:paraId="2D006CB0" w14:textId="651C11C4" w:rsidR="00C57D69" w:rsidRDefault="00C57D69" w:rsidP="00E07F66">
      <w:pPr>
        <w:rPr>
          <w:szCs w:val="24"/>
        </w:rPr>
      </w:pPr>
      <w:r>
        <w:rPr>
          <w:szCs w:val="24"/>
        </w:rPr>
        <w:t>The above paper provides information on the progress on the public health merit award scheme to date and plans for its future roll-out.</w:t>
      </w:r>
    </w:p>
    <w:p w14:paraId="3F1D2227" w14:textId="77777777" w:rsidR="00C57D69" w:rsidRPr="00C57D69" w:rsidRDefault="00C57D69" w:rsidP="00E07F66">
      <w:pPr>
        <w:rPr>
          <w:szCs w:val="24"/>
        </w:rPr>
      </w:pPr>
    </w:p>
    <w:p w14:paraId="5F74B982" w14:textId="4A81160B" w:rsidR="00E07F66" w:rsidRPr="00C57D69" w:rsidRDefault="00E07F66" w:rsidP="00E07F66">
      <w:pPr>
        <w:rPr>
          <w:szCs w:val="24"/>
        </w:rPr>
      </w:pPr>
      <w:r w:rsidRPr="00C57D69">
        <w:rPr>
          <w:szCs w:val="24"/>
        </w:rPr>
        <w:t xml:space="preserve">The </w:t>
      </w:r>
      <w:r w:rsidR="007671C9">
        <w:rPr>
          <w:szCs w:val="24"/>
        </w:rPr>
        <w:t>Board</w:t>
      </w:r>
      <w:r w:rsidRPr="00C57D69">
        <w:rPr>
          <w:szCs w:val="24"/>
        </w:rPr>
        <w:t xml:space="preserve"> is asked to: </w:t>
      </w:r>
    </w:p>
    <w:p w14:paraId="5F74B988" w14:textId="13565BC3" w:rsidR="00506C55" w:rsidRPr="00C57D69" w:rsidRDefault="00213373" w:rsidP="00C57D69">
      <w:pPr>
        <w:pStyle w:val="ListParagraph"/>
        <w:numPr>
          <w:ilvl w:val="0"/>
          <w:numId w:val="26"/>
        </w:numPr>
        <w:rPr>
          <w:szCs w:val="24"/>
        </w:rPr>
      </w:pPr>
      <w:r>
        <w:rPr>
          <w:szCs w:val="24"/>
        </w:rPr>
        <w:t xml:space="preserve">To consider and endorse </w:t>
      </w:r>
      <w:r w:rsidR="00C57D69" w:rsidRPr="00C57D69">
        <w:rPr>
          <w:szCs w:val="24"/>
        </w:rPr>
        <w:t>on the progress of the public health merit award scheme and the co-productive approach taken throughout</w:t>
      </w:r>
    </w:p>
    <w:sectPr w:rsidR="00506C55" w:rsidRPr="00C57D69"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E8CF" w14:textId="77777777" w:rsidR="003E252D" w:rsidRDefault="003E252D" w:rsidP="00497F39">
      <w:r>
        <w:separator/>
      </w:r>
    </w:p>
  </w:endnote>
  <w:endnote w:type="continuationSeparator" w:id="0">
    <w:p w14:paraId="7E2DBB86" w14:textId="77777777" w:rsidR="003E252D" w:rsidRDefault="003E252D"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6"/>
      <w:gridCol w:w="2992"/>
    </w:tblGrid>
    <w:tr w:rsidR="007623DA" w:rsidRPr="00511AFF" w14:paraId="5F74B99C" w14:textId="77777777" w:rsidTr="003B7361">
      <w:tc>
        <w:tcPr>
          <w:tcW w:w="3100" w:type="dxa"/>
        </w:tcPr>
        <w:p w14:paraId="5F74B999" w14:textId="084F98F3" w:rsidR="007623DA" w:rsidRPr="0007509D" w:rsidRDefault="007623DA" w:rsidP="007F0A6E">
          <w:pPr>
            <w:pStyle w:val="Footer"/>
            <w:tabs>
              <w:tab w:val="right" w:pos="9090"/>
            </w:tabs>
            <w:jc w:val="center"/>
            <w:rPr>
              <w:b/>
              <w:sz w:val="20"/>
            </w:rPr>
          </w:pPr>
          <w:r w:rsidRPr="0007509D">
            <w:rPr>
              <w:b/>
              <w:sz w:val="20"/>
            </w:rPr>
            <w:t xml:space="preserve">Date: </w:t>
          </w:r>
          <w:r w:rsidRPr="0007509D">
            <w:rPr>
              <w:sz w:val="20"/>
            </w:rPr>
            <w:t xml:space="preserve"> </w:t>
          </w:r>
          <w:r w:rsidR="007F0A6E">
            <w:rPr>
              <w:sz w:val="20"/>
            </w:rPr>
            <w:t>04/11</w:t>
          </w:r>
          <w:r w:rsidR="0007509D" w:rsidRPr="0007509D">
            <w:rPr>
              <w:sz w:val="20"/>
            </w:rPr>
            <w:t>/2022</w:t>
          </w:r>
        </w:p>
      </w:tc>
      <w:tc>
        <w:tcPr>
          <w:tcW w:w="3100" w:type="dxa"/>
        </w:tcPr>
        <w:p w14:paraId="5F74B99A" w14:textId="05D083F2" w:rsidR="007623DA" w:rsidRPr="0007509D" w:rsidRDefault="007623DA" w:rsidP="0007509D">
          <w:pPr>
            <w:pStyle w:val="Footer"/>
            <w:tabs>
              <w:tab w:val="center" w:pos="1433"/>
              <w:tab w:val="right" w:pos="2866"/>
              <w:tab w:val="right" w:pos="9090"/>
            </w:tabs>
            <w:jc w:val="center"/>
            <w:rPr>
              <w:b/>
              <w:sz w:val="20"/>
            </w:rPr>
          </w:pPr>
          <w:r w:rsidRPr="0007509D">
            <w:rPr>
              <w:b/>
              <w:sz w:val="20"/>
            </w:rPr>
            <w:t>Version:</w:t>
          </w:r>
          <w:r w:rsidRPr="0007509D">
            <w:rPr>
              <w:sz w:val="20"/>
            </w:rPr>
            <w:t xml:space="preserve"> </w:t>
          </w:r>
          <w:r w:rsidR="0007509D" w:rsidRPr="0007509D">
            <w:rPr>
              <w:sz w:val="20"/>
            </w:rPr>
            <w:t>1</w:t>
          </w:r>
        </w:p>
      </w:tc>
      <w:tc>
        <w:tcPr>
          <w:tcW w:w="3101" w:type="dxa"/>
        </w:tcPr>
        <w:p w14:paraId="5F74B99B" w14:textId="63776194"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470E75">
            <w:rPr>
              <w:rStyle w:val="PageNumber"/>
              <w:noProof/>
              <w:sz w:val="20"/>
            </w:rPr>
            <w:t>5</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470E75">
            <w:rPr>
              <w:rStyle w:val="PageNumber"/>
              <w:noProof/>
              <w:sz w:val="20"/>
            </w:rPr>
            <w:t>7</w:t>
          </w:r>
          <w:r w:rsidRPr="00511AFF">
            <w:rPr>
              <w:rStyle w:val="PageNumber"/>
              <w:sz w:val="20"/>
            </w:rPr>
            <w:fldChar w:fldCharType="end"/>
          </w:r>
        </w:p>
      </w:tc>
    </w:tr>
  </w:tbl>
  <w:p w14:paraId="5F74B99D"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A8D1" w14:textId="77777777" w:rsidR="003E252D" w:rsidRDefault="003E252D" w:rsidP="00497F39">
      <w:r>
        <w:separator/>
      </w:r>
    </w:p>
  </w:footnote>
  <w:footnote w:type="continuationSeparator" w:id="0">
    <w:p w14:paraId="5DBFBF52" w14:textId="77777777" w:rsidR="003E252D" w:rsidRDefault="003E252D"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A5DFF"/>
    <w:multiLevelType w:val="hybridMultilevel"/>
    <w:tmpl w:val="84AA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5538D7"/>
    <w:multiLevelType w:val="hybridMultilevel"/>
    <w:tmpl w:val="B5A02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31F5D"/>
    <w:multiLevelType w:val="hybridMultilevel"/>
    <w:tmpl w:val="E05E3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E67C6"/>
    <w:multiLevelType w:val="hybridMultilevel"/>
    <w:tmpl w:val="BE0A0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24E13AD"/>
    <w:multiLevelType w:val="hybridMultilevel"/>
    <w:tmpl w:val="EB68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1A132D"/>
    <w:multiLevelType w:val="hybridMultilevel"/>
    <w:tmpl w:val="96F6CE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B1C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5"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25"/>
  </w:num>
  <w:num w:numId="4">
    <w:abstractNumId w:val="17"/>
  </w:num>
  <w:num w:numId="5">
    <w:abstractNumId w:val="0"/>
  </w:num>
  <w:num w:numId="6">
    <w:abstractNumId w:val="9"/>
  </w:num>
  <w:num w:numId="7">
    <w:abstractNumId w:val="8"/>
  </w:num>
  <w:num w:numId="8">
    <w:abstractNumId w:val="16"/>
  </w:num>
  <w:num w:numId="9">
    <w:abstractNumId w:val="19"/>
  </w:num>
  <w:num w:numId="10">
    <w:abstractNumId w:val="7"/>
  </w:num>
  <w:num w:numId="11">
    <w:abstractNumId w:val="21"/>
  </w:num>
  <w:num w:numId="12">
    <w:abstractNumId w:val="4"/>
  </w:num>
  <w:num w:numId="13">
    <w:abstractNumId w:val="12"/>
  </w:num>
  <w:num w:numId="14">
    <w:abstractNumId w:val="14"/>
  </w:num>
  <w:num w:numId="15">
    <w:abstractNumId w:val="2"/>
  </w:num>
  <w:num w:numId="16">
    <w:abstractNumId w:val="24"/>
  </w:num>
  <w:num w:numId="17">
    <w:abstractNumId w:val="18"/>
  </w:num>
  <w:num w:numId="18">
    <w:abstractNumId w:val="23"/>
  </w:num>
  <w:num w:numId="19">
    <w:abstractNumId w:val="22"/>
  </w:num>
  <w:num w:numId="20">
    <w:abstractNumId w:val="1"/>
  </w:num>
  <w:num w:numId="21">
    <w:abstractNumId w:val="6"/>
  </w:num>
  <w:num w:numId="22">
    <w:abstractNumId w:val="5"/>
  </w:num>
  <w:num w:numId="23">
    <w:abstractNumId w:val="20"/>
  </w:num>
  <w:num w:numId="24">
    <w:abstractNumId w:val="15"/>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300C0"/>
    <w:rsid w:val="00051CDC"/>
    <w:rsid w:val="00051E74"/>
    <w:rsid w:val="0005502D"/>
    <w:rsid w:val="00057CFB"/>
    <w:rsid w:val="000702F4"/>
    <w:rsid w:val="0007509D"/>
    <w:rsid w:val="00097ACD"/>
    <w:rsid w:val="000B306B"/>
    <w:rsid w:val="000F46F4"/>
    <w:rsid w:val="000F5A72"/>
    <w:rsid w:val="001107EE"/>
    <w:rsid w:val="00121679"/>
    <w:rsid w:val="00123FD2"/>
    <w:rsid w:val="00126327"/>
    <w:rsid w:val="001272F6"/>
    <w:rsid w:val="0013075E"/>
    <w:rsid w:val="00133373"/>
    <w:rsid w:val="00141FC5"/>
    <w:rsid w:val="001B2A97"/>
    <w:rsid w:val="001B3428"/>
    <w:rsid w:val="001C02C6"/>
    <w:rsid w:val="001C305C"/>
    <w:rsid w:val="001C60B5"/>
    <w:rsid w:val="001E5B78"/>
    <w:rsid w:val="00202AB8"/>
    <w:rsid w:val="00211B9D"/>
    <w:rsid w:val="00213373"/>
    <w:rsid w:val="00214BA4"/>
    <w:rsid w:val="0022713F"/>
    <w:rsid w:val="00250088"/>
    <w:rsid w:val="00257CD2"/>
    <w:rsid w:val="00273D26"/>
    <w:rsid w:val="002A3295"/>
    <w:rsid w:val="002B0BC9"/>
    <w:rsid w:val="002B712E"/>
    <w:rsid w:val="002C0A83"/>
    <w:rsid w:val="002C170B"/>
    <w:rsid w:val="002D11B1"/>
    <w:rsid w:val="002E6258"/>
    <w:rsid w:val="003018F5"/>
    <w:rsid w:val="00304FD0"/>
    <w:rsid w:val="00305721"/>
    <w:rsid w:val="00322D2E"/>
    <w:rsid w:val="00326EC6"/>
    <w:rsid w:val="00337864"/>
    <w:rsid w:val="00345CAF"/>
    <w:rsid w:val="003461AF"/>
    <w:rsid w:val="00371966"/>
    <w:rsid w:val="00385F67"/>
    <w:rsid w:val="003A3414"/>
    <w:rsid w:val="003B40BB"/>
    <w:rsid w:val="003B7361"/>
    <w:rsid w:val="003B7B09"/>
    <w:rsid w:val="003C6952"/>
    <w:rsid w:val="003E252D"/>
    <w:rsid w:val="003F30B3"/>
    <w:rsid w:val="003F3D59"/>
    <w:rsid w:val="003F3E7F"/>
    <w:rsid w:val="0040037A"/>
    <w:rsid w:val="00407604"/>
    <w:rsid w:val="00427779"/>
    <w:rsid w:val="004375CA"/>
    <w:rsid w:val="0046169C"/>
    <w:rsid w:val="00470E75"/>
    <w:rsid w:val="00480353"/>
    <w:rsid w:val="004939C2"/>
    <w:rsid w:val="00497F39"/>
    <w:rsid w:val="004A4626"/>
    <w:rsid w:val="004A6253"/>
    <w:rsid w:val="004B31A5"/>
    <w:rsid w:val="004D632B"/>
    <w:rsid w:val="004F24A1"/>
    <w:rsid w:val="00504A87"/>
    <w:rsid w:val="00506C55"/>
    <w:rsid w:val="0052328C"/>
    <w:rsid w:val="00536FA4"/>
    <w:rsid w:val="00544C9E"/>
    <w:rsid w:val="00554429"/>
    <w:rsid w:val="0055720E"/>
    <w:rsid w:val="00564789"/>
    <w:rsid w:val="005767ED"/>
    <w:rsid w:val="00577744"/>
    <w:rsid w:val="00590736"/>
    <w:rsid w:val="005B4E75"/>
    <w:rsid w:val="005C7D40"/>
    <w:rsid w:val="005D5FC4"/>
    <w:rsid w:val="005E33CB"/>
    <w:rsid w:val="00607476"/>
    <w:rsid w:val="00611958"/>
    <w:rsid w:val="006310BB"/>
    <w:rsid w:val="00657B25"/>
    <w:rsid w:val="00660772"/>
    <w:rsid w:val="00672175"/>
    <w:rsid w:val="00680248"/>
    <w:rsid w:val="00680CAE"/>
    <w:rsid w:val="0068275A"/>
    <w:rsid w:val="0068334E"/>
    <w:rsid w:val="006C4A51"/>
    <w:rsid w:val="006D0542"/>
    <w:rsid w:val="006F654D"/>
    <w:rsid w:val="00737008"/>
    <w:rsid w:val="00754449"/>
    <w:rsid w:val="007623DA"/>
    <w:rsid w:val="007671C9"/>
    <w:rsid w:val="007774C7"/>
    <w:rsid w:val="007A47F5"/>
    <w:rsid w:val="007D01C9"/>
    <w:rsid w:val="007D03B8"/>
    <w:rsid w:val="007D04C7"/>
    <w:rsid w:val="007D79E4"/>
    <w:rsid w:val="007E45DA"/>
    <w:rsid w:val="007F0A6E"/>
    <w:rsid w:val="007F7EA7"/>
    <w:rsid w:val="008036D5"/>
    <w:rsid w:val="00805FAF"/>
    <w:rsid w:val="008143BD"/>
    <w:rsid w:val="00824D05"/>
    <w:rsid w:val="008524C0"/>
    <w:rsid w:val="00857182"/>
    <w:rsid w:val="008653E0"/>
    <w:rsid w:val="00872DD5"/>
    <w:rsid w:val="0087331D"/>
    <w:rsid w:val="00880111"/>
    <w:rsid w:val="008902AA"/>
    <w:rsid w:val="00890A9D"/>
    <w:rsid w:val="00893619"/>
    <w:rsid w:val="008A2D5F"/>
    <w:rsid w:val="008C12E0"/>
    <w:rsid w:val="008C745A"/>
    <w:rsid w:val="008D4CCD"/>
    <w:rsid w:val="008F1F7E"/>
    <w:rsid w:val="00911572"/>
    <w:rsid w:val="009123CF"/>
    <w:rsid w:val="00912C7B"/>
    <w:rsid w:val="00916053"/>
    <w:rsid w:val="00917380"/>
    <w:rsid w:val="00921F72"/>
    <w:rsid w:val="009233B4"/>
    <w:rsid w:val="00923A14"/>
    <w:rsid w:val="009328E2"/>
    <w:rsid w:val="00932FFD"/>
    <w:rsid w:val="00961E2C"/>
    <w:rsid w:val="00980587"/>
    <w:rsid w:val="00980F99"/>
    <w:rsid w:val="0098365C"/>
    <w:rsid w:val="009878C1"/>
    <w:rsid w:val="00987E54"/>
    <w:rsid w:val="009A0387"/>
    <w:rsid w:val="009B2519"/>
    <w:rsid w:val="009C0B0C"/>
    <w:rsid w:val="009F7F6B"/>
    <w:rsid w:val="00A06B87"/>
    <w:rsid w:val="00A16259"/>
    <w:rsid w:val="00A250EA"/>
    <w:rsid w:val="00A25B36"/>
    <w:rsid w:val="00A279F5"/>
    <w:rsid w:val="00A34009"/>
    <w:rsid w:val="00A435F1"/>
    <w:rsid w:val="00A56D26"/>
    <w:rsid w:val="00A60C7E"/>
    <w:rsid w:val="00A60D6C"/>
    <w:rsid w:val="00AB112A"/>
    <w:rsid w:val="00AC45EB"/>
    <w:rsid w:val="00AC5841"/>
    <w:rsid w:val="00AD7227"/>
    <w:rsid w:val="00AE3D01"/>
    <w:rsid w:val="00AF3146"/>
    <w:rsid w:val="00B00419"/>
    <w:rsid w:val="00B158D6"/>
    <w:rsid w:val="00B47936"/>
    <w:rsid w:val="00B509E3"/>
    <w:rsid w:val="00B52B29"/>
    <w:rsid w:val="00B73DD0"/>
    <w:rsid w:val="00B80218"/>
    <w:rsid w:val="00B936DE"/>
    <w:rsid w:val="00B94BB0"/>
    <w:rsid w:val="00BA3E2A"/>
    <w:rsid w:val="00BC39AE"/>
    <w:rsid w:val="00BC5B9C"/>
    <w:rsid w:val="00BF3E39"/>
    <w:rsid w:val="00C05D9F"/>
    <w:rsid w:val="00C1444B"/>
    <w:rsid w:val="00C17DDB"/>
    <w:rsid w:val="00C269F1"/>
    <w:rsid w:val="00C40EA6"/>
    <w:rsid w:val="00C57D69"/>
    <w:rsid w:val="00C84EE5"/>
    <w:rsid w:val="00C87F23"/>
    <w:rsid w:val="00C9163D"/>
    <w:rsid w:val="00CA4D3A"/>
    <w:rsid w:val="00CA4DA9"/>
    <w:rsid w:val="00CA5841"/>
    <w:rsid w:val="00CA7E0D"/>
    <w:rsid w:val="00CB0E6B"/>
    <w:rsid w:val="00CC764D"/>
    <w:rsid w:val="00CE6807"/>
    <w:rsid w:val="00CE6EB8"/>
    <w:rsid w:val="00CF7674"/>
    <w:rsid w:val="00D25D84"/>
    <w:rsid w:val="00D26E48"/>
    <w:rsid w:val="00D34F08"/>
    <w:rsid w:val="00D41503"/>
    <w:rsid w:val="00D45A01"/>
    <w:rsid w:val="00D55785"/>
    <w:rsid w:val="00D60F40"/>
    <w:rsid w:val="00D64BA8"/>
    <w:rsid w:val="00D713DC"/>
    <w:rsid w:val="00D74461"/>
    <w:rsid w:val="00D85A97"/>
    <w:rsid w:val="00D87080"/>
    <w:rsid w:val="00DA2383"/>
    <w:rsid w:val="00DC594E"/>
    <w:rsid w:val="00DE2218"/>
    <w:rsid w:val="00DE7DF5"/>
    <w:rsid w:val="00DF60B6"/>
    <w:rsid w:val="00E01426"/>
    <w:rsid w:val="00E02A10"/>
    <w:rsid w:val="00E07F66"/>
    <w:rsid w:val="00E11F44"/>
    <w:rsid w:val="00E24001"/>
    <w:rsid w:val="00E263D4"/>
    <w:rsid w:val="00E333F3"/>
    <w:rsid w:val="00E343B1"/>
    <w:rsid w:val="00E371EA"/>
    <w:rsid w:val="00E37B54"/>
    <w:rsid w:val="00E56DBB"/>
    <w:rsid w:val="00E805CD"/>
    <w:rsid w:val="00EA23FA"/>
    <w:rsid w:val="00EA4379"/>
    <w:rsid w:val="00EB0841"/>
    <w:rsid w:val="00EC6188"/>
    <w:rsid w:val="00EE1810"/>
    <w:rsid w:val="00EE7097"/>
    <w:rsid w:val="00EF229F"/>
    <w:rsid w:val="00F2582A"/>
    <w:rsid w:val="00F31C10"/>
    <w:rsid w:val="00F47896"/>
    <w:rsid w:val="00F479A1"/>
    <w:rsid w:val="00F95B15"/>
    <w:rsid w:val="00FA62CB"/>
    <w:rsid w:val="00FA7943"/>
    <w:rsid w:val="00FB67EB"/>
    <w:rsid w:val="00FC2859"/>
    <w:rsid w:val="00FC7FAE"/>
    <w:rsid w:val="00FD1D43"/>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74B8E6"/>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table" w:styleId="GridTable1Light">
    <w:name w:val="Grid Table 1 Light"/>
    <w:basedOn w:val="TableNormal"/>
    <w:uiPriority w:val="46"/>
    <w:rsid w:val="00B158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sscouts.org/mb/worksheets/old/Public-Health-06.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
      <w:docPartPr>
        <w:name w:val="E19A39A2DC34427782303866B501EF52"/>
        <w:category>
          <w:name w:val="General"/>
          <w:gallery w:val="placeholder"/>
        </w:category>
        <w:types>
          <w:type w:val="bbPlcHdr"/>
        </w:types>
        <w:behaviors>
          <w:behavior w:val="content"/>
        </w:behaviors>
        <w:guid w:val="{F7EC3352-105C-477C-838D-AD061A4E5EC1}"/>
      </w:docPartPr>
      <w:docPartBody>
        <w:p w:rsidR="00CF449E" w:rsidRDefault="004838BF" w:rsidP="004838BF">
          <w:pPr>
            <w:pStyle w:val="E19A39A2DC34427782303866B501EF52"/>
          </w:pPr>
          <w:r w:rsidRPr="0013075E">
            <w:rPr>
              <w:rStyle w:val="PlaceholderText"/>
              <w:szCs w:val="24"/>
            </w:rPr>
            <w:t>Choose an item.</w:t>
          </w:r>
        </w:p>
      </w:docPartBody>
    </w:docPart>
    <w:docPart>
      <w:docPartPr>
        <w:name w:val="4037A60F381647269327C3491F818BF7"/>
        <w:category>
          <w:name w:val="General"/>
          <w:gallery w:val="placeholder"/>
        </w:category>
        <w:types>
          <w:type w:val="bbPlcHdr"/>
        </w:types>
        <w:behaviors>
          <w:behavior w:val="content"/>
        </w:behaviors>
        <w:guid w:val="{DEAF250B-3D28-4BAE-AC23-C8CCE9FB5415}"/>
      </w:docPartPr>
      <w:docPartBody>
        <w:p w:rsidR="00CF449E" w:rsidRDefault="004838BF" w:rsidP="004838BF">
          <w:pPr>
            <w:pStyle w:val="4037A60F381647269327C3491F818BF7"/>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3D3909"/>
    <w:rsid w:val="0045397F"/>
    <w:rsid w:val="004838BF"/>
    <w:rsid w:val="005A164A"/>
    <w:rsid w:val="007007C7"/>
    <w:rsid w:val="00760EAF"/>
    <w:rsid w:val="007F3B1B"/>
    <w:rsid w:val="00884126"/>
    <w:rsid w:val="00895D61"/>
    <w:rsid w:val="00942F3C"/>
    <w:rsid w:val="0098440F"/>
    <w:rsid w:val="00A12BED"/>
    <w:rsid w:val="00AA293F"/>
    <w:rsid w:val="00AA4B84"/>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5FF268BA90B241B32BD49B28AD31E7" ma:contentTypeVersion="14" ma:contentTypeDescription="Create a new document." ma:contentTypeScope="" ma:versionID="51682317ae7516f428dc1d352b07c675">
  <xsd:schema xmlns:xsd="http://www.w3.org/2001/XMLSchema" xmlns:xs="http://www.w3.org/2001/XMLSchema" xmlns:p="http://schemas.microsoft.com/office/2006/metadata/properties" xmlns:ns3="21ea3a50-39a4-4c37-8dbc-c31c99163fc8" xmlns:ns4="7f035454-cfb1-4a30-b316-ec8cf61aff3b" targetNamespace="http://schemas.microsoft.com/office/2006/metadata/properties" ma:root="true" ma:fieldsID="16509187ac9a869170e231e80776ab07" ns3:_="" ns4:_="">
    <xsd:import namespace="21ea3a50-39a4-4c37-8dbc-c31c99163fc8"/>
    <xsd:import namespace="7f035454-cfb1-4a30-b316-ec8cf61af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3a50-39a4-4c37-8dbc-c31c99163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35454-cfb1-4a30-b316-ec8cf61aff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2.xml><?xml version="1.0" encoding="utf-8"?>
<ds:datastoreItem xmlns:ds="http://schemas.openxmlformats.org/officeDocument/2006/customXml" ds:itemID="{53675BDA-27BC-4173-BD2F-5E46F5EEB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3a50-39a4-4c37-8dbc-c31c99163fc8"/>
    <ds:schemaRef ds:uri="7f035454-cfb1-4a30-b316-ec8cf61af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E4FD6-408B-48BD-A088-9C453C496D1C}">
  <ds:schemaRefs>
    <ds:schemaRef ds:uri="http://www.w3.org/XML/1998/namespace"/>
    <ds:schemaRef ds:uri="http://schemas.microsoft.com/office/2006/documentManagement/types"/>
    <ds:schemaRef ds:uri="http://purl.org/dc/dcmitype/"/>
    <ds:schemaRef ds:uri="http://purl.org/dc/elements/1.1/"/>
    <ds:schemaRef ds:uri="21ea3a50-39a4-4c37-8dbc-c31c99163fc8"/>
    <ds:schemaRef ds:uri="http://purl.org/dc/terms/"/>
    <ds:schemaRef ds:uri="7f035454-cfb1-4a30-b316-ec8cf61aff3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83E94F4-FAFE-43DE-9FBC-0029B74C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Liz Blayney (Public Health Wales - No. 2 Capital Quarter)</cp:lastModifiedBy>
  <cp:revision>3</cp:revision>
  <cp:lastPrinted>2017-10-16T08:46:00Z</cp:lastPrinted>
  <dcterms:created xsi:type="dcterms:W3CDTF">2022-11-17T15:23:00Z</dcterms:created>
  <dcterms:modified xsi:type="dcterms:W3CDTF">2022-11-17T15:31:00Z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0x010100AF5FF268BA90B241B32BD49B28AD31E7</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