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0" w:type="auto"/>
        <w:tblLook w:val="04A0" w:firstRow="1" w:lastRow="0" w:firstColumn="1" w:lastColumn="0" w:noHBand="0" w:noVBand="1"/>
      </w:tblPr>
      <w:tblGrid>
        <w:gridCol w:w="1848"/>
        <w:gridCol w:w="954"/>
        <w:gridCol w:w="894"/>
        <w:gridCol w:w="1506"/>
        <w:gridCol w:w="334"/>
        <w:gridCol w:w="1662"/>
        <w:gridCol w:w="1818"/>
      </w:tblGrid>
      <w:tr w:rsidR="000A2ADC" w:rsidRPr="00AC7380" w14:paraId="5FE766AC" w14:textId="77777777" w:rsidTr="00B052A7">
        <w:tc>
          <w:tcPr>
            <w:tcW w:w="5202" w:type="dxa"/>
            <w:gridSpan w:val="4"/>
            <w:vMerge w:val="restart"/>
          </w:tcPr>
          <w:p w14:paraId="3BB60906" w14:textId="77777777" w:rsidR="000A2ADC" w:rsidRPr="00AC7380" w:rsidRDefault="000A2ADC" w:rsidP="005D3867">
            <w:pPr>
              <w:rPr>
                <w:rFonts w:ascii="Verdana" w:hAnsi="Verdana"/>
                <w:sz w:val="24"/>
              </w:rPr>
            </w:pPr>
            <w:r w:rsidRPr="00AC7380">
              <w:rPr>
                <w:rFonts w:ascii="Verdana" w:hAnsi="Verdana"/>
                <w:b/>
                <w:noProof/>
                <w:sz w:val="24"/>
                <w:lang w:eastAsia="en-GB"/>
              </w:rPr>
              <w:drawing>
                <wp:inline distT="0" distB="0" distL="0" distR="0" wp14:anchorId="0D7368BF" wp14:editId="1F861E03">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814" w:type="dxa"/>
            <w:gridSpan w:val="3"/>
            <w:tcBorders>
              <w:bottom w:val="nil"/>
            </w:tcBorders>
          </w:tcPr>
          <w:p w14:paraId="5184FFA0" w14:textId="77777777" w:rsidR="000A2ADC" w:rsidRPr="00AC7380" w:rsidRDefault="000A2ADC" w:rsidP="005D3867">
            <w:pPr>
              <w:jc w:val="right"/>
              <w:rPr>
                <w:rFonts w:ascii="Verdana" w:hAnsi="Verdana"/>
                <w:b/>
                <w:sz w:val="24"/>
                <w:szCs w:val="24"/>
              </w:rPr>
            </w:pPr>
            <w:r w:rsidRPr="00AC7380">
              <w:rPr>
                <w:rFonts w:ascii="Verdana" w:hAnsi="Verdana"/>
                <w:b/>
                <w:sz w:val="24"/>
                <w:szCs w:val="24"/>
              </w:rPr>
              <w:t>Name of Meeting</w:t>
            </w:r>
          </w:p>
          <w:sdt>
            <w:sdtPr>
              <w:rPr>
                <w:rFonts w:ascii="Verdana" w:hAnsi="Verdana"/>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Content>
              <w:p w14:paraId="764F6BCC" w14:textId="55391663" w:rsidR="000A2ADC" w:rsidRPr="00AC7380" w:rsidRDefault="00B86BFA" w:rsidP="005D3867">
                <w:pPr>
                  <w:jc w:val="right"/>
                  <w:rPr>
                    <w:rFonts w:ascii="Verdana" w:hAnsi="Verdana"/>
                    <w:b/>
                    <w:sz w:val="24"/>
                    <w:szCs w:val="24"/>
                  </w:rPr>
                </w:pPr>
                <w:r w:rsidRPr="00B86BFA">
                  <w:rPr>
                    <w:rFonts w:ascii="Verdana" w:hAnsi="Verdana"/>
                    <w:szCs w:val="24"/>
                  </w:rPr>
                  <w:t>Board</w:t>
                </w:r>
              </w:p>
            </w:sdtContent>
          </w:sdt>
        </w:tc>
      </w:tr>
      <w:tr w:rsidR="000A2ADC" w:rsidRPr="00AC7380" w14:paraId="32F3DAE4" w14:textId="77777777" w:rsidTr="00B052A7">
        <w:tc>
          <w:tcPr>
            <w:tcW w:w="5202" w:type="dxa"/>
            <w:gridSpan w:val="4"/>
            <w:vMerge/>
          </w:tcPr>
          <w:p w14:paraId="4B5AAE2C" w14:textId="77777777" w:rsidR="000A2ADC" w:rsidRPr="00AC7380" w:rsidRDefault="000A2ADC" w:rsidP="005D3867">
            <w:pPr>
              <w:rPr>
                <w:rFonts w:ascii="Verdana" w:hAnsi="Verdana"/>
                <w:b/>
                <w:noProof/>
                <w:sz w:val="24"/>
                <w:lang w:eastAsia="en-GB"/>
              </w:rPr>
            </w:pPr>
          </w:p>
        </w:tc>
        <w:tc>
          <w:tcPr>
            <w:tcW w:w="3814" w:type="dxa"/>
            <w:gridSpan w:val="3"/>
            <w:tcBorders>
              <w:top w:val="nil"/>
              <w:bottom w:val="nil"/>
            </w:tcBorders>
          </w:tcPr>
          <w:p w14:paraId="70D8B815" w14:textId="77777777" w:rsidR="000A2ADC" w:rsidRPr="00AC7380" w:rsidRDefault="000A2ADC" w:rsidP="005D3867">
            <w:pPr>
              <w:jc w:val="right"/>
              <w:rPr>
                <w:rFonts w:ascii="Verdana" w:hAnsi="Verdana"/>
                <w:b/>
                <w:sz w:val="24"/>
              </w:rPr>
            </w:pPr>
            <w:r w:rsidRPr="00AC7380">
              <w:rPr>
                <w:rFonts w:ascii="Verdana" w:hAnsi="Verdana"/>
                <w:b/>
                <w:sz w:val="24"/>
              </w:rPr>
              <w:t>Date of Meeting</w:t>
            </w:r>
          </w:p>
          <w:p w14:paraId="451ADF43" w14:textId="5AD235CA" w:rsidR="000A2ADC" w:rsidRPr="00AC7380" w:rsidRDefault="00B86BFA" w:rsidP="004C092E">
            <w:pPr>
              <w:jc w:val="right"/>
              <w:rPr>
                <w:rFonts w:ascii="Verdana" w:hAnsi="Verdana"/>
                <w:color w:val="FF0000"/>
                <w:sz w:val="24"/>
              </w:rPr>
            </w:pPr>
            <w:r>
              <w:rPr>
                <w:rFonts w:ascii="Verdana" w:hAnsi="Verdana"/>
                <w:color w:val="000000" w:themeColor="text1"/>
                <w:sz w:val="24"/>
              </w:rPr>
              <w:t>28</w:t>
            </w:r>
            <w:r w:rsidR="00F0615E" w:rsidRPr="00F0615E">
              <w:rPr>
                <w:rFonts w:ascii="Verdana" w:hAnsi="Verdana"/>
                <w:color w:val="000000" w:themeColor="text1"/>
                <w:sz w:val="24"/>
              </w:rPr>
              <w:t xml:space="preserve"> January 2021</w:t>
            </w:r>
          </w:p>
        </w:tc>
      </w:tr>
      <w:tr w:rsidR="000A2ADC" w:rsidRPr="00AC7380" w14:paraId="692D94BC" w14:textId="77777777" w:rsidTr="00B052A7">
        <w:tc>
          <w:tcPr>
            <w:tcW w:w="5202" w:type="dxa"/>
            <w:gridSpan w:val="4"/>
            <w:vMerge/>
            <w:tcBorders>
              <w:bottom w:val="single" w:sz="4" w:space="0" w:color="auto"/>
            </w:tcBorders>
          </w:tcPr>
          <w:p w14:paraId="50213697" w14:textId="77777777" w:rsidR="000A2ADC" w:rsidRPr="00AC7380" w:rsidRDefault="000A2ADC" w:rsidP="005D3867">
            <w:pPr>
              <w:rPr>
                <w:rFonts w:ascii="Verdana" w:hAnsi="Verdana"/>
                <w:b/>
                <w:noProof/>
                <w:sz w:val="24"/>
                <w:lang w:eastAsia="en-GB"/>
              </w:rPr>
            </w:pPr>
          </w:p>
        </w:tc>
        <w:tc>
          <w:tcPr>
            <w:tcW w:w="3814" w:type="dxa"/>
            <w:gridSpan w:val="3"/>
            <w:tcBorders>
              <w:top w:val="nil"/>
              <w:bottom w:val="single" w:sz="4" w:space="0" w:color="auto"/>
            </w:tcBorders>
          </w:tcPr>
          <w:p w14:paraId="25382FED" w14:textId="77777777" w:rsidR="000A2ADC" w:rsidRPr="00C330C4" w:rsidRDefault="000A2ADC" w:rsidP="005D3867">
            <w:pPr>
              <w:jc w:val="right"/>
              <w:rPr>
                <w:rFonts w:ascii="Verdana" w:hAnsi="Verdana"/>
                <w:b/>
                <w:sz w:val="24"/>
              </w:rPr>
            </w:pPr>
            <w:r w:rsidRPr="00C330C4">
              <w:rPr>
                <w:rFonts w:ascii="Verdana" w:hAnsi="Verdana"/>
                <w:b/>
                <w:sz w:val="24"/>
              </w:rPr>
              <w:t>Agenda item:</w:t>
            </w:r>
          </w:p>
          <w:p w14:paraId="77934E3E" w14:textId="68AD82A5" w:rsidR="000A2ADC" w:rsidRPr="001577BB" w:rsidRDefault="00B86BFA" w:rsidP="00DA575D">
            <w:pPr>
              <w:jc w:val="right"/>
              <w:rPr>
                <w:rFonts w:ascii="Verdana" w:hAnsi="Verdana"/>
                <w:color w:val="FF0000"/>
                <w:sz w:val="24"/>
              </w:rPr>
            </w:pPr>
            <w:r>
              <w:rPr>
                <w:rFonts w:ascii="Verdana" w:hAnsi="Verdana"/>
                <w:color w:val="000000" w:themeColor="text1"/>
                <w:sz w:val="24"/>
              </w:rPr>
              <w:t>3.3 280121</w:t>
            </w:r>
          </w:p>
        </w:tc>
      </w:tr>
      <w:tr w:rsidR="000A2ADC" w:rsidRPr="00AC7380" w14:paraId="3B17C247" w14:textId="77777777" w:rsidTr="00B052A7">
        <w:tc>
          <w:tcPr>
            <w:tcW w:w="9016" w:type="dxa"/>
            <w:gridSpan w:val="7"/>
            <w:tcBorders>
              <w:left w:val="nil"/>
              <w:right w:val="nil"/>
            </w:tcBorders>
            <w:vAlign w:val="center"/>
          </w:tcPr>
          <w:p w14:paraId="14AFE603" w14:textId="77777777" w:rsidR="000A2ADC" w:rsidRPr="00AC7380" w:rsidRDefault="000A2ADC" w:rsidP="005D3867">
            <w:pPr>
              <w:rPr>
                <w:rFonts w:ascii="Verdana" w:hAnsi="Verdana"/>
                <w:b/>
                <w:sz w:val="28"/>
              </w:rPr>
            </w:pPr>
          </w:p>
        </w:tc>
      </w:tr>
      <w:tr w:rsidR="000A2ADC" w:rsidRPr="00AC7380" w14:paraId="17EF049B" w14:textId="77777777" w:rsidTr="00B052A7">
        <w:tc>
          <w:tcPr>
            <w:tcW w:w="9016" w:type="dxa"/>
            <w:gridSpan w:val="7"/>
            <w:vAlign w:val="center"/>
          </w:tcPr>
          <w:p w14:paraId="7DC55F89" w14:textId="619096BA" w:rsidR="00FA09FB" w:rsidRPr="00AC7380" w:rsidRDefault="00B04DD6" w:rsidP="00B86BFA">
            <w:pPr>
              <w:jc w:val="center"/>
              <w:rPr>
                <w:rFonts w:ascii="Verdana" w:hAnsi="Verdana"/>
                <w:b/>
                <w:sz w:val="40"/>
                <w:szCs w:val="36"/>
              </w:rPr>
            </w:pPr>
            <w:r>
              <w:rPr>
                <w:rFonts w:ascii="Verdana" w:hAnsi="Verdana"/>
                <w:b/>
                <w:sz w:val="40"/>
                <w:szCs w:val="36"/>
              </w:rPr>
              <w:t>2020/21 Financial Position</w:t>
            </w:r>
          </w:p>
        </w:tc>
      </w:tr>
      <w:tr w:rsidR="000A2ADC" w:rsidRPr="00210AF6" w14:paraId="09DC2D03" w14:textId="77777777" w:rsidTr="00B052A7">
        <w:tc>
          <w:tcPr>
            <w:tcW w:w="2802" w:type="dxa"/>
            <w:gridSpan w:val="2"/>
          </w:tcPr>
          <w:p w14:paraId="47906F45" w14:textId="77777777" w:rsidR="000A2ADC" w:rsidRPr="00210AF6" w:rsidRDefault="000A2ADC" w:rsidP="005D3867">
            <w:pPr>
              <w:rPr>
                <w:rFonts w:ascii="Verdana" w:hAnsi="Verdana"/>
                <w:b/>
                <w:sz w:val="24"/>
                <w:szCs w:val="24"/>
              </w:rPr>
            </w:pPr>
            <w:r w:rsidRPr="00210AF6">
              <w:rPr>
                <w:rFonts w:ascii="Verdana" w:hAnsi="Verdana"/>
                <w:b/>
                <w:sz w:val="24"/>
                <w:szCs w:val="24"/>
              </w:rPr>
              <w:t>Executive lead:</w:t>
            </w:r>
          </w:p>
        </w:tc>
        <w:tc>
          <w:tcPr>
            <w:tcW w:w="6214" w:type="dxa"/>
            <w:gridSpan w:val="5"/>
          </w:tcPr>
          <w:p w14:paraId="0B09966B" w14:textId="77777777" w:rsidR="000A2ADC" w:rsidRPr="00210AF6" w:rsidRDefault="00DC30EB" w:rsidP="005D3867">
            <w:pPr>
              <w:rPr>
                <w:rFonts w:ascii="Verdana" w:eastAsia="Verdana" w:hAnsi="Verdana"/>
                <w:sz w:val="24"/>
                <w:szCs w:val="24"/>
              </w:rPr>
            </w:pPr>
            <w:r>
              <w:rPr>
                <w:rFonts w:ascii="Verdana" w:eastAsia="Verdana" w:hAnsi="Verdana"/>
                <w:sz w:val="24"/>
                <w:szCs w:val="24"/>
              </w:rPr>
              <w:t>Huw George</w:t>
            </w:r>
            <w:r w:rsidR="00210AF6" w:rsidRPr="00210AF6">
              <w:rPr>
                <w:rFonts w:ascii="Verdana" w:eastAsia="Verdana" w:hAnsi="Verdana"/>
                <w:sz w:val="24"/>
                <w:szCs w:val="24"/>
              </w:rPr>
              <w:t xml:space="preserve">, </w:t>
            </w:r>
            <w:r w:rsidR="00B052A7">
              <w:rPr>
                <w:rFonts w:ascii="Verdana" w:eastAsia="Verdana" w:hAnsi="Verdana"/>
                <w:sz w:val="24"/>
                <w:szCs w:val="24"/>
              </w:rPr>
              <w:t xml:space="preserve">Deputy </w:t>
            </w:r>
            <w:r w:rsidR="00210AF6" w:rsidRPr="00210AF6">
              <w:rPr>
                <w:rFonts w:ascii="Verdana" w:eastAsia="Verdana" w:hAnsi="Verdana"/>
                <w:sz w:val="24"/>
                <w:szCs w:val="24"/>
              </w:rPr>
              <w:t>Chief Executive</w:t>
            </w:r>
            <w:r w:rsidR="00B052A7">
              <w:rPr>
                <w:rFonts w:ascii="Verdana" w:eastAsia="Verdana" w:hAnsi="Verdana"/>
                <w:sz w:val="24"/>
                <w:szCs w:val="24"/>
              </w:rPr>
              <w:t xml:space="preserve"> and Executive Defector of Finance and Operations </w:t>
            </w:r>
            <w:r w:rsidR="00210AF6" w:rsidRPr="00210AF6">
              <w:rPr>
                <w:rFonts w:ascii="Verdana" w:eastAsia="Verdana" w:hAnsi="Verdana"/>
                <w:sz w:val="24"/>
                <w:szCs w:val="24"/>
              </w:rPr>
              <w:t xml:space="preserve"> </w:t>
            </w:r>
          </w:p>
        </w:tc>
      </w:tr>
      <w:tr w:rsidR="000A2ADC" w:rsidRPr="00210AF6" w14:paraId="237AD00E" w14:textId="77777777" w:rsidTr="00B052A7">
        <w:tc>
          <w:tcPr>
            <w:tcW w:w="2802" w:type="dxa"/>
            <w:gridSpan w:val="2"/>
          </w:tcPr>
          <w:p w14:paraId="5EB79106" w14:textId="77777777" w:rsidR="000A2ADC" w:rsidRPr="00210AF6" w:rsidRDefault="000A2ADC" w:rsidP="005D3867">
            <w:pPr>
              <w:rPr>
                <w:rFonts w:ascii="Verdana" w:hAnsi="Verdana"/>
                <w:b/>
                <w:sz w:val="24"/>
                <w:szCs w:val="24"/>
              </w:rPr>
            </w:pPr>
            <w:r w:rsidRPr="00210AF6">
              <w:rPr>
                <w:rFonts w:ascii="Verdana" w:hAnsi="Verdana"/>
                <w:b/>
                <w:sz w:val="24"/>
                <w:szCs w:val="24"/>
              </w:rPr>
              <w:t>Author:</w:t>
            </w:r>
          </w:p>
        </w:tc>
        <w:tc>
          <w:tcPr>
            <w:tcW w:w="6214" w:type="dxa"/>
            <w:gridSpan w:val="5"/>
          </w:tcPr>
          <w:p w14:paraId="43437137" w14:textId="77777777" w:rsidR="00D24212" w:rsidRDefault="00DC30EB" w:rsidP="00D24212">
            <w:pPr>
              <w:rPr>
                <w:rFonts w:ascii="Verdana" w:eastAsia="Verdana" w:hAnsi="Verdana"/>
                <w:sz w:val="24"/>
                <w:szCs w:val="24"/>
              </w:rPr>
            </w:pPr>
            <w:r>
              <w:rPr>
                <w:rFonts w:ascii="Verdana" w:eastAsia="Verdana" w:hAnsi="Verdana"/>
                <w:sz w:val="24"/>
                <w:szCs w:val="24"/>
              </w:rPr>
              <w:t xml:space="preserve">Angela Fisher, Deputy Director and </w:t>
            </w:r>
            <w:r w:rsidR="00D24212">
              <w:rPr>
                <w:rFonts w:ascii="Verdana" w:eastAsia="Verdana" w:hAnsi="Verdana"/>
                <w:sz w:val="24"/>
                <w:szCs w:val="24"/>
              </w:rPr>
              <w:t>Head of Finance</w:t>
            </w:r>
          </w:p>
          <w:p w14:paraId="0D5B2340" w14:textId="77777777" w:rsidR="00B931D2" w:rsidRDefault="00B931D2" w:rsidP="00D24212">
            <w:pPr>
              <w:rPr>
                <w:rFonts w:ascii="Verdana" w:eastAsia="Verdana" w:hAnsi="Verdana"/>
                <w:sz w:val="24"/>
                <w:szCs w:val="24"/>
              </w:rPr>
            </w:pPr>
            <w:r>
              <w:rPr>
                <w:rFonts w:ascii="Verdana" w:eastAsia="Verdana" w:hAnsi="Verdana"/>
                <w:sz w:val="24"/>
                <w:szCs w:val="24"/>
              </w:rPr>
              <w:t>Ruth Maddern, Head of Financial Management &amp; Business Partnering</w:t>
            </w:r>
          </w:p>
          <w:p w14:paraId="7C6400AC" w14:textId="77777777" w:rsidR="00DC30EB" w:rsidRPr="00210AF6" w:rsidRDefault="00D24212" w:rsidP="00D24212">
            <w:pPr>
              <w:rPr>
                <w:rFonts w:ascii="Verdana" w:eastAsia="Verdana" w:hAnsi="Verdana"/>
                <w:sz w:val="24"/>
                <w:szCs w:val="24"/>
              </w:rPr>
            </w:pPr>
            <w:r>
              <w:rPr>
                <w:rFonts w:ascii="Verdana" w:eastAsia="Verdana" w:hAnsi="Verdana"/>
                <w:sz w:val="24"/>
                <w:szCs w:val="24"/>
              </w:rPr>
              <w:t>Suzanne David, Senior Finance Business Partner</w:t>
            </w:r>
            <w:r w:rsidR="00DC30EB">
              <w:rPr>
                <w:rFonts w:ascii="Verdana" w:eastAsia="Verdana" w:hAnsi="Verdana"/>
                <w:sz w:val="24"/>
                <w:szCs w:val="24"/>
              </w:rPr>
              <w:t xml:space="preserve"> </w:t>
            </w:r>
          </w:p>
        </w:tc>
      </w:tr>
      <w:tr w:rsidR="000A2ADC" w:rsidRPr="00210AF6" w14:paraId="121FC663" w14:textId="77777777" w:rsidTr="00B052A7">
        <w:trPr>
          <w:trHeight w:val="149"/>
        </w:trPr>
        <w:tc>
          <w:tcPr>
            <w:tcW w:w="2802" w:type="dxa"/>
            <w:gridSpan w:val="2"/>
            <w:tcBorders>
              <w:left w:val="nil"/>
              <w:right w:val="nil"/>
            </w:tcBorders>
          </w:tcPr>
          <w:p w14:paraId="398C6F72" w14:textId="77777777" w:rsidR="000A2ADC" w:rsidRPr="00210AF6" w:rsidRDefault="000A2ADC" w:rsidP="005D3867">
            <w:pPr>
              <w:rPr>
                <w:rFonts w:ascii="Verdana" w:hAnsi="Verdana"/>
                <w:b/>
                <w:sz w:val="24"/>
                <w:szCs w:val="24"/>
              </w:rPr>
            </w:pPr>
          </w:p>
        </w:tc>
        <w:tc>
          <w:tcPr>
            <w:tcW w:w="6214" w:type="dxa"/>
            <w:gridSpan w:val="5"/>
            <w:tcBorders>
              <w:left w:val="nil"/>
              <w:right w:val="nil"/>
            </w:tcBorders>
          </w:tcPr>
          <w:p w14:paraId="5B9C3165" w14:textId="77777777" w:rsidR="000A2ADC" w:rsidRPr="00210AF6" w:rsidRDefault="000A2ADC" w:rsidP="005D3867">
            <w:pPr>
              <w:rPr>
                <w:rFonts w:ascii="Verdana" w:hAnsi="Verdana"/>
                <w:sz w:val="24"/>
                <w:szCs w:val="24"/>
              </w:rPr>
            </w:pPr>
          </w:p>
        </w:tc>
      </w:tr>
      <w:tr w:rsidR="00B86BFA" w:rsidRPr="00210AF6" w14:paraId="76D142BD" w14:textId="77777777" w:rsidTr="00B052A7">
        <w:tc>
          <w:tcPr>
            <w:tcW w:w="2802" w:type="dxa"/>
            <w:gridSpan w:val="2"/>
          </w:tcPr>
          <w:p w14:paraId="680A7D82" w14:textId="77777777" w:rsidR="00B86BFA" w:rsidRPr="00210AF6" w:rsidRDefault="00B86BFA" w:rsidP="00B86BFA">
            <w:pPr>
              <w:rPr>
                <w:rFonts w:ascii="Verdana" w:hAnsi="Verdana"/>
                <w:b/>
                <w:sz w:val="24"/>
                <w:szCs w:val="24"/>
              </w:rPr>
            </w:pPr>
            <w:r w:rsidRPr="00210AF6">
              <w:rPr>
                <w:rFonts w:ascii="Verdana" w:hAnsi="Verdana"/>
                <w:b/>
                <w:sz w:val="24"/>
                <w:szCs w:val="24"/>
              </w:rPr>
              <w:t>Approval/Scrutiny route:</w:t>
            </w:r>
          </w:p>
        </w:tc>
        <w:tc>
          <w:tcPr>
            <w:tcW w:w="6214" w:type="dxa"/>
            <w:gridSpan w:val="5"/>
          </w:tcPr>
          <w:p w14:paraId="03C00CC4" w14:textId="3F40D5DD" w:rsidR="00B86BFA" w:rsidRDefault="00B86BFA" w:rsidP="00B86BFA">
            <w:pPr>
              <w:rPr>
                <w:rFonts w:ascii="Verdana" w:eastAsia="Verdana" w:hAnsi="Verdana"/>
                <w:sz w:val="24"/>
                <w:szCs w:val="24"/>
              </w:rPr>
            </w:pPr>
            <w:r>
              <w:rPr>
                <w:rFonts w:ascii="Verdana" w:eastAsia="Verdana" w:hAnsi="Verdana"/>
                <w:sz w:val="24"/>
                <w:szCs w:val="24"/>
              </w:rPr>
              <w:t>Huw George</w:t>
            </w:r>
            <w:r w:rsidRPr="00210AF6">
              <w:rPr>
                <w:rFonts w:ascii="Verdana" w:eastAsia="Verdana" w:hAnsi="Verdana"/>
                <w:sz w:val="24"/>
                <w:szCs w:val="24"/>
              </w:rPr>
              <w:t xml:space="preserve">, </w:t>
            </w:r>
            <w:r>
              <w:rPr>
                <w:rFonts w:ascii="Verdana" w:eastAsia="Verdana" w:hAnsi="Verdana"/>
                <w:sz w:val="24"/>
                <w:szCs w:val="24"/>
              </w:rPr>
              <w:t xml:space="preserve">Deputy </w:t>
            </w:r>
            <w:r w:rsidRPr="00210AF6">
              <w:rPr>
                <w:rFonts w:ascii="Verdana" w:eastAsia="Verdana" w:hAnsi="Verdana"/>
                <w:sz w:val="24"/>
                <w:szCs w:val="24"/>
              </w:rPr>
              <w:t>Chief Executive</w:t>
            </w:r>
            <w:r>
              <w:rPr>
                <w:rFonts w:ascii="Verdana" w:eastAsia="Verdana" w:hAnsi="Verdana"/>
                <w:sz w:val="24"/>
                <w:szCs w:val="24"/>
              </w:rPr>
              <w:t xml:space="preserve"> and Executive Director of Finance and Operations </w:t>
            </w:r>
            <w:r w:rsidRPr="00210AF6">
              <w:rPr>
                <w:rFonts w:ascii="Verdana" w:eastAsia="Verdana" w:hAnsi="Verdana"/>
                <w:sz w:val="24"/>
                <w:szCs w:val="24"/>
              </w:rPr>
              <w:t xml:space="preserve"> </w:t>
            </w:r>
          </w:p>
          <w:p w14:paraId="724610F1" w14:textId="77777777" w:rsidR="00B86BFA" w:rsidRDefault="00B86BFA" w:rsidP="00B86BFA">
            <w:pPr>
              <w:rPr>
                <w:rFonts w:ascii="Verdana" w:eastAsia="Verdana" w:hAnsi="Verdana"/>
                <w:sz w:val="24"/>
                <w:szCs w:val="24"/>
              </w:rPr>
            </w:pPr>
          </w:p>
          <w:p w14:paraId="757DD13F" w14:textId="096246A0" w:rsidR="00B86BFA" w:rsidRPr="00DC30EB" w:rsidRDefault="00B86BFA" w:rsidP="00B86BFA">
            <w:pPr>
              <w:rPr>
                <w:rFonts w:ascii="Verdana" w:eastAsia="Verdana" w:hAnsi="Verdana"/>
                <w:b/>
                <w:sz w:val="24"/>
                <w:szCs w:val="24"/>
              </w:rPr>
            </w:pPr>
            <w:r>
              <w:rPr>
                <w:rFonts w:ascii="Verdana" w:eastAsia="Verdana" w:hAnsi="Verdana"/>
                <w:sz w:val="24"/>
                <w:szCs w:val="24"/>
              </w:rPr>
              <w:t>Business Executive Team – 18 January 2021</w:t>
            </w:r>
          </w:p>
        </w:tc>
      </w:tr>
      <w:tr w:rsidR="00B86BFA" w:rsidRPr="00210AF6" w14:paraId="1E782DA9" w14:textId="77777777" w:rsidTr="00B052A7">
        <w:tc>
          <w:tcPr>
            <w:tcW w:w="9016" w:type="dxa"/>
            <w:gridSpan w:val="7"/>
            <w:tcBorders>
              <w:left w:val="nil"/>
              <w:bottom w:val="single" w:sz="4" w:space="0" w:color="auto"/>
              <w:right w:val="nil"/>
            </w:tcBorders>
          </w:tcPr>
          <w:p w14:paraId="54FA3961" w14:textId="77777777" w:rsidR="00B86BFA" w:rsidRPr="00210AF6" w:rsidRDefault="00B86BFA" w:rsidP="00B86BFA">
            <w:pPr>
              <w:rPr>
                <w:rFonts w:ascii="Verdana" w:hAnsi="Verdana"/>
                <w:b/>
                <w:sz w:val="24"/>
                <w:szCs w:val="24"/>
              </w:rPr>
            </w:pPr>
          </w:p>
        </w:tc>
      </w:tr>
      <w:tr w:rsidR="00B86BFA" w:rsidRPr="00210AF6" w14:paraId="56095916" w14:textId="77777777" w:rsidTr="00B052A7">
        <w:tc>
          <w:tcPr>
            <w:tcW w:w="9016" w:type="dxa"/>
            <w:gridSpan w:val="7"/>
            <w:tcBorders>
              <w:left w:val="single" w:sz="4" w:space="0" w:color="auto"/>
              <w:right w:val="single" w:sz="4" w:space="0" w:color="auto"/>
            </w:tcBorders>
          </w:tcPr>
          <w:p w14:paraId="037C63B2" w14:textId="77777777" w:rsidR="00B86BFA" w:rsidRPr="00210AF6" w:rsidRDefault="00B86BFA" w:rsidP="00B86BFA">
            <w:pPr>
              <w:rPr>
                <w:rFonts w:ascii="Verdana" w:hAnsi="Verdana"/>
                <w:b/>
                <w:sz w:val="24"/>
                <w:szCs w:val="24"/>
              </w:rPr>
            </w:pPr>
            <w:r w:rsidRPr="00210AF6">
              <w:rPr>
                <w:rFonts w:ascii="Verdana" w:hAnsi="Verdana"/>
                <w:b/>
                <w:sz w:val="24"/>
                <w:szCs w:val="24"/>
              </w:rPr>
              <w:t>Purpose</w:t>
            </w:r>
          </w:p>
        </w:tc>
      </w:tr>
      <w:tr w:rsidR="00B86BFA" w:rsidRPr="00210AF6" w14:paraId="28DC3494" w14:textId="77777777" w:rsidTr="00B052A7">
        <w:tc>
          <w:tcPr>
            <w:tcW w:w="9016" w:type="dxa"/>
            <w:gridSpan w:val="7"/>
            <w:tcBorders>
              <w:left w:val="single" w:sz="4" w:space="0" w:color="auto"/>
              <w:right w:val="single" w:sz="4" w:space="0" w:color="auto"/>
            </w:tcBorders>
          </w:tcPr>
          <w:p w14:paraId="3FAB8E63" w14:textId="77777777" w:rsidR="00B86BFA" w:rsidRDefault="00B86BFA" w:rsidP="00B86BFA">
            <w:pPr>
              <w:tabs>
                <w:tab w:val="left" w:pos="447"/>
              </w:tabs>
              <w:contextualSpacing/>
              <w:jc w:val="both"/>
              <w:rPr>
                <w:rFonts w:ascii="Verdana" w:eastAsia="Verdana" w:hAnsi="Verdana"/>
                <w:sz w:val="24"/>
                <w:szCs w:val="24"/>
              </w:rPr>
            </w:pPr>
            <w:r>
              <w:rPr>
                <w:rFonts w:ascii="Verdana" w:eastAsia="Verdana" w:hAnsi="Verdana"/>
                <w:sz w:val="24"/>
                <w:szCs w:val="24"/>
              </w:rPr>
              <w:t>The purpose of this report is to outline to the Executive Team and the Board the revenue and capital position for Public Health Wales as at 31st December 2020, which includes the position on COVID-19.</w:t>
            </w:r>
          </w:p>
          <w:p w14:paraId="33824D4C" w14:textId="77777777" w:rsidR="00B86BFA" w:rsidRPr="00210AF6" w:rsidRDefault="00B86BFA" w:rsidP="00B86BFA">
            <w:pPr>
              <w:tabs>
                <w:tab w:val="left" w:pos="447"/>
              </w:tabs>
              <w:contextualSpacing/>
              <w:jc w:val="both"/>
              <w:rPr>
                <w:rFonts w:ascii="Verdana" w:eastAsia="Symbol" w:hAnsi="Verdana"/>
                <w:b/>
                <w:sz w:val="24"/>
                <w:szCs w:val="24"/>
              </w:rPr>
            </w:pPr>
            <w:r>
              <w:rPr>
                <w:rFonts w:ascii="Verdana" w:eastAsia="Verdana" w:hAnsi="Verdana"/>
                <w:sz w:val="24"/>
                <w:szCs w:val="24"/>
              </w:rPr>
              <w:t xml:space="preserve">  </w:t>
            </w:r>
          </w:p>
        </w:tc>
      </w:tr>
      <w:tr w:rsidR="00B86BFA" w:rsidRPr="00210AF6" w14:paraId="18DADCE7" w14:textId="77777777" w:rsidTr="00B052A7">
        <w:tc>
          <w:tcPr>
            <w:tcW w:w="9016" w:type="dxa"/>
            <w:gridSpan w:val="7"/>
            <w:tcBorders>
              <w:left w:val="nil"/>
              <w:right w:val="nil"/>
            </w:tcBorders>
          </w:tcPr>
          <w:p w14:paraId="22D9CEAF" w14:textId="77777777" w:rsidR="00B86BFA" w:rsidRPr="00210AF6" w:rsidRDefault="00B86BFA" w:rsidP="00B86BFA">
            <w:pPr>
              <w:rPr>
                <w:rFonts w:ascii="Verdana" w:hAnsi="Verdana"/>
                <w:b/>
                <w:sz w:val="24"/>
                <w:szCs w:val="24"/>
              </w:rPr>
            </w:pPr>
          </w:p>
        </w:tc>
      </w:tr>
      <w:tr w:rsidR="00B86BFA" w:rsidRPr="00210AF6" w14:paraId="402FFF5C" w14:textId="77777777" w:rsidTr="00B052A7">
        <w:tc>
          <w:tcPr>
            <w:tcW w:w="9016" w:type="dxa"/>
            <w:gridSpan w:val="7"/>
          </w:tcPr>
          <w:p w14:paraId="1F594EC8" w14:textId="77777777" w:rsidR="00B86BFA" w:rsidRPr="00210AF6" w:rsidRDefault="00B86BFA" w:rsidP="00B86BFA">
            <w:pPr>
              <w:rPr>
                <w:rFonts w:ascii="Verdana" w:hAnsi="Verdana"/>
                <w:b/>
                <w:sz w:val="24"/>
                <w:szCs w:val="24"/>
              </w:rPr>
            </w:pPr>
            <w:r w:rsidRPr="00210AF6">
              <w:rPr>
                <w:rFonts w:ascii="Verdana" w:hAnsi="Verdana"/>
                <w:b/>
                <w:sz w:val="24"/>
                <w:szCs w:val="24"/>
              </w:rPr>
              <w:t>Recommendation:</w:t>
            </w:r>
          </w:p>
        </w:tc>
      </w:tr>
      <w:tr w:rsidR="00B86BFA" w:rsidRPr="00210AF6" w14:paraId="3833F49B" w14:textId="77777777" w:rsidTr="00B052A7">
        <w:tc>
          <w:tcPr>
            <w:tcW w:w="1848" w:type="dxa"/>
            <w:tcBorders>
              <w:bottom w:val="single" w:sz="4" w:space="0" w:color="auto"/>
            </w:tcBorders>
          </w:tcPr>
          <w:p w14:paraId="0C6448D0" w14:textId="77777777" w:rsidR="00B86BFA" w:rsidRPr="00210AF6" w:rsidRDefault="00B86BFA" w:rsidP="00B86BFA">
            <w:pPr>
              <w:jc w:val="center"/>
              <w:rPr>
                <w:rFonts w:ascii="Verdana" w:hAnsi="Verdana"/>
                <w:sz w:val="24"/>
                <w:szCs w:val="24"/>
              </w:rPr>
            </w:pPr>
            <w:r w:rsidRPr="00210AF6">
              <w:rPr>
                <w:rFonts w:ascii="Verdana" w:hAnsi="Verdana"/>
                <w:sz w:val="24"/>
                <w:szCs w:val="24"/>
              </w:rPr>
              <w:t>APPROVE</w:t>
            </w:r>
          </w:p>
          <w:p w14:paraId="7E4A059C" w14:textId="77777777" w:rsidR="00B86BFA" w:rsidRPr="00210AF6" w:rsidRDefault="00B86BFA" w:rsidP="00B86BFA">
            <w:pPr>
              <w:jc w:val="center"/>
              <w:rPr>
                <w:rFonts w:ascii="Verdana" w:hAnsi="Verdana"/>
                <w:sz w:val="24"/>
                <w:szCs w:val="24"/>
              </w:rPr>
            </w:pPr>
            <w:r>
              <w:rPr>
                <w:rFonts w:ascii="Verdana" w:hAnsi="Verdana"/>
                <w:sz w:val="24"/>
                <w:szCs w:val="24"/>
              </w:rPr>
              <w:fldChar w:fldCharType="begin">
                <w:ffData>
                  <w:name w:val="Check1"/>
                  <w:enabled w:val="0"/>
                  <w:calcOnExit w:val="0"/>
                  <w:checkBox>
                    <w:sizeAuto/>
                    <w:default w:val="0"/>
                  </w:checkBox>
                </w:ffData>
              </w:fldChar>
            </w:r>
            <w:bookmarkStart w:id="0" w:name="Check1"/>
            <w:r>
              <w:rPr>
                <w:rFonts w:ascii="Verdana" w:hAnsi="Verdana"/>
                <w:sz w:val="24"/>
                <w:szCs w:val="24"/>
              </w:rPr>
              <w:instrText xml:space="preserve"> FORMCHECKBOX </w:instrText>
            </w:r>
            <w:r>
              <w:rPr>
                <w:rFonts w:ascii="Verdana" w:hAnsi="Verdana"/>
                <w:sz w:val="24"/>
                <w:szCs w:val="24"/>
              </w:rPr>
            </w:r>
            <w:r>
              <w:rPr>
                <w:rFonts w:ascii="Verdana" w:hAnsi="Verdana"/>
                <w:sz w:val="24"/>
                <w:szCs w:val="24"/>
              </w:rPr>
              <w:fldChar w:fldCharType="separate"/>
            </w:r>
            <w:r>
              <w:rPr>
                <w:rFonts w:ascii="Verdana" w:hAnsi="Verdana"/>
                <w:sz w:val="24"/>
                <w:szCs w:val="24"/>
              </w:rPr>
              <w:fldChar w:fldCharType="end"/>
            </w:r>
            <w:bookmarkEnd w:id="0"/>
          </w:p>
        </w:tc>
        <w:tc>
          <w:tcPr>
            <w:tcW w:w="1848" w:type="dxa"/>
            <w:gridSpan w:val="2"/>
            <w:tcBorders>
              <w:bottom w:val="single" w:sz="4" w:space="0" w:color="auto"/>
            </w:tcBorders>
          </w:tcPr>
          <w:p w14:paraId="78C63EC2" w14:textId="77777777" w:rsidR="00B86BFA" w:rsidRPr="00210AF6" w:rsidRDefault="00B86BFA" w:rsidP="00B86BFA">
            <w:pPr>
              <w:jc w:val="center"/>
              <w:rPr>
                <w:rFonts w:ascii="Verdana" w:hAnsi="Verdana"/>
                <w:sz w:val="24"/>
                <w:szCs w:val="24"/>
              </w:rPr>
            </w:pPr>
            <w:r w:rsidRPr="00210AF6">
              <w:rPr>
                <w:rFonts w:ascii="Verdana" w:hAnsi="Verdana"/>
                <w:sz w:val="24"/>
                <w:szCs w:val="24"/>
              </w:rPr>
              <w:t>CONSIDER</w:t>
            </w:r>
          </w:p>
          <w:p w14:paraId="686299E0" w14:textId="77777777" w:rsidR="00B86BFA" w:rsidRPr="00210AF6" w:rsidRDefault="00B86BFA" w:rsidP="00B86BFA">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r>
              <w:rPr>
                <w:rFonts w:ascii="Verdana" w:hAnsi="Verdana"/>
                <w:sz w:val="24"/>
                <w:szCs w:val="24"/>
              </w:rPr>
              <w:instrText xml:space="preserve"> </w:instrText>
            </w:r>
            <w:bookmarkStart w:id="1" w:name="Check2"/>
            <w:r>
              <w:rPr>
                <w:rFonts w:ascii="Verdana" w:hAnsi="Verdana"/>
                <w:sz w:val="24"/>
                <w:szCs w:val="24"/>
              </w:rPr>
              <w:instrText xml:space="preserve">FORMCHECKBOX </w:instrText>
            </w:r>
            <w:r>
              <w:rPr>
                <w:rFonts w:ascii="Verdana" w:hAnsi="Verdana"/>
                <w:sz w:val="24"/>
                <w:szCs w:val="24"/>
              </w:rPr>
            </w:r>
            <w:r>
              <w:rPr>
                <w:rFonts w:ascii="Verdana" w:hAnsi="Verdana"/>
                <w:sz w:val="24"/>
                <w:szCs w:val="24"/>
              </w:rPr>
              <w:fldChar w:fldCharType="separate"/>
            </w:r>
            <w:r>
              <w:rPr>
                <w:rFonts w:ascii="Verdana" w:hAnsi="Verdana"/>
                <w:sz w:val="24"/>
                <w:szCs w:val="24"/>
              </w:rPr>
              <w:fldChar w:fldCharType="end"/>
            </w:r>
            <w:bookmarkEnd w:id="1"/>
          </w:p>
        </w:tc>
        <w:tc>
          <w:tcPr>
            <w:tcW w:w="1840" w:type="dxa"/>
            <w:gridSpan w:val="2"/>
            <w:tcBorders>
              <w:bottom w:val="single" w:sz="4" w:space="0" w:color="auto"/>
            </w:tcBorders>
          </w:tcPr>
          <w:p w14:paraId="29B61AE4" w14:textId="77777777" w:rsidR="00B86BFA" w:rsidRPr="00210AF6" w:rsidRDefault="00B86BFA" w:rsidP="00B86BFA">
            <w:pPr>
              <w:jc w:val="center"/>
              <w:rPr>
                <w:rFonts w:ascii="Verdana" w:hAnsi="Verdana"/>
                <w:sz w:val="24"/>
                <w:szCs w:val="24"/>
              </w:rPr>
            </w:pPr>
            <w:r w:rsidRPr="00210AF6">
              <w:rPr>
                <w:rFonts w:ascii="Verdana" w:hAnsi="Verdana"/>
                <w:sz w:val="24"/>
                <w:szCs w:val="24"/>
              </w:rPr>
              <w:t>RECOMMEND</w:t>
            </w:r>
          </w:p>
          <w:p w14:paraId="4A32619D" w14:textId="77777777" w:rsidR="00B86BFA" w:rsidRPr="00210AF6" w:rsidRDefault="00B86BFA" w:rsidP="00B86BFA">
            <w:pPr>
              <w:jc w:val="center"/>
              <w:rPr>
                <w:rFonts w:ascii="Verdana" w:hAnsi="Verdana"/>
                <w:sz w:val="24"/>
                <w:szCs w:val="24"/>
              </w:rPr>
            </w:pPr>
            <w:r w:rsidRPr="00210AF6">
              <w:rPr>
                <w:rFonts w:ascii="Verdana" w:hAnsi="Verdana"/>
                <w:sz w:val="24"/>
                <w:szCs w:val="24"/>
              </w:rPr>
              <w:fldChar w:fldCharType="begin">
                <w:ffData>
                  <w:name w:val="Check3"/>
                  <w:enabled/>
                  <w:calcOnExit w:val="0"/>
                  <w:checkBox>
                    <w:sizeAuto/>
                    <w:default w:val="0"/>
                  </w:checkBox>
                </w:ffData>
              </w:fldChar>
            </w:r>
            <w:bookmarkStart w:id="2" w:name="Check3"/>
            <w:r w:rsidRPr="00210AF6">
              <w:rPr>
                <w:rFonts w:ascii="Verdana" w:hAnsi="Verdana"/>
                <w:sz w:val="24"/>
                <w:szCs w:val="24"/>
              </w:rPr>
              <w:instrText xml:space="preserve"> FORMCHECKBOX </w:instrText>
            </w:r>
            <w:r>
              <w:rPr>
                <w:rFonts w:ascii="Verdana" w:hAnsi="Verdana"/>
                <w:sz w:val="24"/>
                <w:szCs w:val="24"/>
              </w:rPr>
            </w:r>
            <w:r>
              <w:rPr>
                <w:rFonts w:ascii="Verdana" w:hAnsi="Verdana"/>
                <w:sz w:val="24"/>
                <w:szCs w:val="24"/>
              </w:rPr>
              <w:fldChar w:fldCharType="separate"/>
            </w:r>
            <w:r w:rsidRPr="00210AF6">
              <w:rPr>
                <w:rFonts w:ascii="Verdana" w:hAnsi="Verdana"/>
                <w:sz w:val="24"/>
                <w:szCs w:val="24"/>
              </w:rPr>
              <w:fldChar w:fldCharType="end"/>
            </w:r>
            <w:bookmarkEnd w:id="2"/>
          </w:p>
        </w:tc>
        <w:tc>
          <w:tcPr>
            <w:tcW w:w="1662" w:type="dxa"/>
            <w:tcBorders>
              <w:bottom w:val="single" w:sz="4" w:space="0" w:color="auto"/>
            </w:tcBorders>
          </w:tcPr>
          <w:p w14:paraId="09D79423" w14:textId="77777777" w:rsidR="00B86BFA" w:rsidRPr="00210AF6" w:rsidRDefault="00B86BFA" w:rsidP="00B86BFA">
            <w:pPr>
              <w:jc w:val="center"/>
              <w:rPr>
                <w:rFonts w:ascii="Verdana" w:hAnsi="Verdana"/>
                <w:sz w:val="24"/>
                <w:szCs w:val="24"/>
              </w:rPr>
            </w:pPr>
            <w:r w:rsidRPr="00210AF6">
              <w:rPr>
                <w:rFonts w:ascii="Verdana" w:hAnsi="Verdana"/>
                <w:sz w:val="24"/>
                <w:szCs w:val="24"/>
              </w:rPr>
              <w:t>ADOPT</w:t>
            </w:r>
          </w:p>
          <w:p w14:paraId="2E5ABCDC" w14:textId="77777777" w:rsidR="00B86BFA" w:rsidRPr="00210AF6" w:rsidRDefault="00B86BFA" w:rsidP="00B86BFA">
            <w:pPr>
              <w:jc w:val="center"/>
              <w:rPr>
                <w:rFonts w:ascii="Verdana" w:hAnsi="Verdana"/>
                <w:sz w:val="24"/>
                <w:szCs w:val="24"/>
              </w:rPr>
            </w:pPr>
            <w:r w:rsidRPr="00210AF6">
              <w:rPr>
                <w:rFonts w:ascii="Verdana" w:hAnsi="Verdana"/>
                <w:sz w:val="24"/>
                <w:szCs w:val="24"/>
              </w:rPr>
              <w:fldChar w:fldCharType="begin">
                <w:ffData>
                  <w:name w:val="Check4"/>
                  <w:enabled/>
                  <w:calcOnExit w:val="0"/>
                  <w:checkBox>
                    <w:sizeAuto/>
                    <w:default w:val="0"/>
                  </w:checkBox>
                </w:ffData>
              </w:fldChar>
            </w:r>
            <w:bookmarkStart w:id="3" w:name="Check4"/>
            <w:r w:rsidRPr="00210AF6">
              <w:rPr>
                <w:rFonts w:ascii="Verdana" w:hAnsi="Verdana"/>
                <w:sz w:val="24"/>
                <w:szCs w:val="24"/>
              </w:rPr>
              <w:instrText xml:space="preserve"> FORMCHECKBOX </w:instrText>
            </w:r>
            <w:r>
              <w:rPr>
                <w:rFonts w:ascii="Verdana" w:hAnsi="Verdana"/>
                <w:sz w:val="24"/>
                <w:szCs w:val="24"/>
              </w:rPr>
            </w:r>
            <w:r>
              <w:rPr>
                <w:rFonts w:ascii="Verdana" w:hAnsi="Verdana"/>
                <w:sz w:val="24"/>
                <w:szCs w:val="24"/>
              </w:rPr>
              <w:fldChar w:fldCharType="separate"/>
            </w:r>
            <w:r w:rsidRPr="00210AF6">
              <w:rPr>
                <w:rFonts w:ascii="Verdana" w:hAnsi="Verdana"/>
                <w:sz w:val="24"/>
                <w:szCs w:val="24"/>
              </w:rPr>
              <w:fldChar w:fldCharType="end"/>
            </w:r>
            <w:bookmarkEnd w:id="3"/>
          </w:p>
        </w:tc>
        <w:tc>
          <w:tcPr>
            <w:tcW w:w="1818" w:type="dxa"/>
            <w:tcBorders>
              <w:bottom w:val="single" w:sz="4" w:space="0" w:color="auto"/>
            </w:tcBorders>
          </w:tcPr>
          <w:p w14:paraId="6A0C1BF6" w14:textId="77777777" w:rsidR="00B86BFA" w:rsidRPr="00210AF6" w:rsidRDefault="00B86BFA" w:rsidP="00B86BFA">
            <w:pPr>
              <w:jc w:val="center"/>
              <w:rPr>
                <w:rFonts w:ascii="Verdana" w:hAnsi="Verdana"/>
                <w:sz w:val="24"/>
                <w:szCs w:val="24"/>
              </w:rPr>
            </w:pPr>
            <w:r w:rsidRPr="00210AF6">
              <w:rPr>
                <w:rFonts w:ascii="Verdana" w:hAnsi="Verdana"/>
                <w:sz w:val="24"/>
                <w:szCs w:val="24"/>
              </w:rPr>
              <w:t>ASSURANCE</w:t>
            </w:r>
          </w:p>
          <w:p w14:paraId="6D99969D" w14:textId="77777777" w:rsidR="00B86BFA" w:rsidRPr="00210AF6" w:rsidRDefault="00B86BFA" w:rsidP="00B86BFA">
            <w:pPr>
              <w:jc w:val="center"/>
              <w:rPr>
                <w:rFonts w:ascii="Verdana" w:hAnsi="Verdana"/>
                <w:sz w:val="24"/>
                <w:szCs w:val="24"/>
              </w:rPr>
            </w:pPr>
            <w:r w:rsidRPr="00210AF6">
              <w:rPr>
                <w:rFonts w:ascii="Verdana" w:hAnsi="Verdana"/>
                <w:sz w:val="24"/>
                <w:szCs w:val="24"/>
              </w:rPr>
              <w:fldChar w:fldCharType="begin">
                <w:ffData>
                  <w:name w:val="Check5"/>
                  <w:enabled/>
                  <w:calcOnExit w:val="0"/>
                  <w:checkBox>
                    <w:sizeAuto/>
                    <w:default w:val="0"/>
                  </w:checkBox>
                </w:ffData>
              </w:fldChar>
            </w:r>
            <w:bookmarkStart w:id="4" w:name="Check5"/>
            <w:r w:rsidRPr="00210AF6">
              <w:rPr>
                <w:rFonts w:ascii="Verdana" w:hAnsi="Verdana"/>
                <w:sz w:val="24"/>
                <w:szCs w:val="24"/>
              </w:rPr>
              <w:instrText xml:space="preserve"> FORMCHECKBOX </w:instrText>
            </w:r>
            <w:r>
              <w:rPr>
                <w:rFonts w:ascii="Verdana" w:hAnsi="Verdana"/>
                <w:sz w:val="24"/>
                <w:szCs w:val="24"/>
              </w:rPr>
            </w:r>
            <w:r>
              <w:rPr>
                <w:rFonts w:ascii="Verdana" w:hAnsi="Verdana"/>
                <w:sz w:val="24"/>
                <w:szCs w:val="24"/>
              </w:rPr>
              <w:fldChar w:fldCharType="separate"/>
            </w:r>
            <w:r w:rsidRPr="00210AF6">
              <w:rPr>
                <w:rFonts w:ascii="Verdana" w:hAnsi="Verdana"/>
                <w:sz w:val="24"/>
                <w:szCs w:val="24"/>
              </w:rPr>
              <w:fldChar w:fldCharType="end"/>
            </w:r>
            <w:bookmarkEnd w:id="4"/>
          </w:p>
        </w:tc>
      </w:tr>
      <w:tr w:rsidR="00B86BFA" w:rsidRPr="00430F51" w14:paraId="4ACF39A3" w14:textId="77777777" w:rsidTr="00B052A7">
        <w:tc>
          <w:tcPr>
            <w:tcW w:w="9016" w:type="dxa"/>
            <w:gridSpan w:val="7"/>
            <w:tcBorders>
              <w:bottom w:val="single" w:sz="4" w:space="0" w:color="auto"/>
            </w:tcBorders>
          </w:tcPr>
          <w:p w14:paraId="0954F13E" w14:textId="7394643B" w:rsidR="007F76F5" w:rsidRDefault="007F76F5" w:rsidP="007F76F5">
            <w:pPr>
              <w:jc w:val="both"/>
              <w:rPr>
                <w:rFonts w:ascii="Verdana" w:hAnsi="Verdana" w:cs="Arial"/>
                <w:sz w:val="24"/>
                <w:szCs w:val="24"/>
              </w:rPr>
            </w:pPr>
            <w:r w:rsidRPr="0057789B">
              <w:rPr>
                <w:rFonts w:ascii="Verdana" w:hAnsi="Verdana" w:cs="Arial"/>
                <w:sz w:val="24"/>
                <w:szCs w:val="24"/>
              </w:rPr>
              <w:t xml:space="preserve">The Board is asked to </w:t>
            </w:r>
            <w:r>
              <w:rPr>
                <w:rFonts w:ascii="Verdana" w:hAnsi="Verdana" w:cs="Arial"/>
                <w:b/>
                <w:sz w:val="24"/>
                <w:szCs w:val="24"/>
              </w:rPr>
              <w:t>consider</w:t>
            </w:r>
            <w:r w:rsidRPr="007F76F5">
              <w:rPr>
                <w:rFonts w:ascii="Verdana" w:hAnsi="Verdana" w:cs="Arial"/>
                <w:b/>
                <w:sz w:val="24"/>
                <w:szCs w:val="24"/>
              </w:rPr>
              <w:t xml:space="preserve"> </w:t>
            </w:r>
            <w:r w:rsidRPr="0057789B">
              <w:rPr>
                <w:rFonts w:ascii="Verdana" w:hAnsi="Verdana" w:cs="Arial"/>
                <w:sz w:val="24"/>
                <w:szCs w:val="24"/>
              </w:rPr>
              <w:t>the following:</w:t>
            </w:r>
          </w:p>
          <w:p w14:paraId="1ED60E6B" w14:textId="77777777" w:rsidR="007F76F5" w:rsidRPr="0057789B" w:rsidRDefault="007F76F5" w:rsidP="007F76F5">
            <w:pPr>
              <w:jc w:val="both"/>
              <w:rPr>
                <w:rFonts w:ascii="Verdana" w:hAnsi="Verdana" w:cs="Arial"/>
                <w:sz w:val="24"/>
                <w:szCs w:val="24"/>
              </w:rPr>
            </w:pPr>
          </w:p>
          <w:p w14:paraId="1AB792CB" w14:textId="77777777" w:rsidR="007F76F5" w:rsidRPr="0057789B" w:rsidRDefault="007F76F5" w:rsidP="007F76F5">
            <w:pPr>
              <w:pStyle w:val="ListParagraph"/>
              <w:numPr>
                <w:ilvl w:val="0"/>
                <w:numId w:val="2"/>
              </w:numPr>
              <w:rPr>
                <w:rFonts w:ascii="Verdana" w:hAnsi="Verdana" w:cs="Arial"/>
              </w:rPr>
            </w:pPr>
            <w:r w:rsidRPr="0057789B">
              <w:rPr>
                <w:rFonts w:ascii="Verdana" w:hAnsi="Verdana" w:cs="Arial"/>
              </w:rPr>
              <w:t>A surplus financial position</w:t>
            </w:r>
            <w:r>
              <w:rPr>
                <w:rFonts w:ascii="Verdana" w:hAnsi="Verdana" w:cs="Arial"/>
              </w:rPr>
              <w:t xml:space="preserve"> of £36</w:t>
            </w:r>
            <w:r w:rsidRPr="0057789B">
              <w:rPr>
                <w:rFonts w:ascii="Verdana" w:hAnsi="Verdana" w:cs="Arial"/>
              </w:rPr>
              <w:t>k, along with the assumed allocations,</w:t>
            </w:r>
            <w:r>
              <w:rPr>
                <w:rFonts w:ascii="Verdana" w:hAnsi="Verdana" w:cs="Arial"/>
              </w:rPr>
              <w:t xml:space="preserve"> reported at month 9</w:t>
            </w:r>
            <w:r w:rsidRPr="0057789B">
              <w:rPr>
                <w:rFonts w:ascii="Verdana" w:hAnsi="Verdana" w:cs="Arial"/>
              </w:rPr>
              <w:t>;</w:t>
            </w:r>
          </w:p>
          <w:p w14:paraId="0F87433A" w14:textId="77777777" w:rsidR="007F76F5" w:rsidRPr="0057789B" w:rsidRDefault="007F76F5" w:rsidP="007F76F5">
            <w:pPr>
              <w:pStyle w:val="ListParagraph"/>
              <w:ind w:left="1080"/>
              <w:rPr>
                <w:rFonts w:ascii="Verdana" w:hAnsi="Verdana" w:cs="Arial"/>
              </w:rPr>
            </w:pPr>
          </w:p>
          <w:p w14:paraId="532AB480" w14:textId="77777777" w:rsidR="007F76F5" w:rsidRPr="0057789B" w:rsidRDefault="007F76F5" w:rsidP="007F76F5">
            <w:pPr>
              <w:pStyle w:val="ListParagraph"/>
              <w:numPr>
                <w:ilvl w:val="0"/>
                <w:numId w:val="2"/>
              </w:numPr>
              <w:rPr>
                <w:rFonts w:ascii="Verdana" w:hAnsi="Verdana" w:cs="Arial"/>
              </w:rPr>
            </w:pPr>
            <w:r w:rsidRPr="0057789B">
              <w:rPr>
                <w:rFonts w:ascii="Verdana" w:hAnsi="Verdana" w:cs="Arial"/>
              </w:rPr>
              <w:t xml:space="preserve">A forecast year-end break-even position, which includes the month </w:t>
            </w:r>
            <w:r>
              <w:rPr>
                <w:rFonts w:ascii="Verdana" w:hAnsi="Verdana" w:cs="Arial"/>
              </w:rPr>
              <w:t>10</w:t>
            </w:r>
            <w:r w:rsidRPr="0057789B">
              <w:rPr>
                <w:rFonts w:ascii="Verdana" w:hAnsi="Verdana" w:cs="Arial"/>
              </w:rPr>
              <w:t xml:space="preserve"> to month 12 projections for Covid-19 testing capacity;</w:t>
            </w:r>
          </w:p>
          <w:p w14:paraId="285B87B1" w14:textId="77777777" w:rsidR="007F76F5" w:rsidRPr="0057789B" w:rsidRDefault="007F76F5" w:rsidP="007F76F5">
            <w:pPr>
              <w:ind w:left="1166"/>
              <w:contextualSpacing/>
              <w:rPr>
                <w:rFonts w:ascii="Verdana" w:hAnsi="Verdana" w:cs="Arial"/>
                <w:sz w:val="24"/>
                <w:szCs w:val="24"/>
              </w:rPr>
            </w:pPr>
          </w:p>
          <w:p w14:paraId="5A714812" w14:textId="77777777" w:rsidR="007F76F5" w:rsidRPr="0057789B" w:rsidRDefault="007F76F5" w:rsidP="007F76F5">
            <w:pPr>
              <w:pStyle w:val="ListParagraph"/>
              <w:numPr>
                <w:ilvl w:val="0"/>
                <w:numId w:val="2"/>
              </w:numPr>
              <w:rPr>
                <w:rFonts w:ascii="Verdana" w:hAnsi="Verdana" w:cs="Arial"/>
              </w:rPr>
            </w:pPr>
            <w:r w:rsidRPr="0057789B">
              <w:rPr>
                <w:rFonts w:ascii="Verdana" w:hAnsi="Verdana" w:cs="Arial"/>
              </w:rPr>
              <w:t>Status of the Capital Programme, strategic and discretionary, for 2020/21, and</w:t>
            </w:r>
          </w:p>
          <w:p w14:paraId="46E6D246" w14:textId="77777777" w:rsidR="007F76F5" w:rsidRPr="0057789B" w:rsidRDefault="007F76F5" w:rsidP="007F76F5">
            <w:pPr>
              <w:pStyle w:val="ListParagraph"/>
              <w:rPr>
                <w:rFonts w:ascii="Verdana" w:hAnsi="Verdana" w:cs="Arial"/>
              </w:rPr>
            </w:pPr>
          </w:p>
          <w:p w14:paraId="201DAB50" w14:textId="77777777" w:rsidR="007F76F5" w:rsidRPr="00AB2BD9" w:rsidRDefault="007F76F5" w:rsidP="007F76F5">
            <w:pPr>
              <w:pStyle w:val="ListParagraph"/>
              <w:numPr>
                <w:ilvl w:val="0"/>
                <w:numId w:val="2"/>
              </w:numPr>
              <w:ind w:left="1166"/>
              <w:jc w:val="both"/>
              <w:rPr>
                <w:rFonts w:ascii="Verdana" w:hAnsi="Verdana" w:cs="Arial"/>
                <w:b/>
              </w:rPr>
            </w:pPr>
            <w:r w:rsidRPr="00AB2BD9">
              <w:rPr>
                <w:rFonts w:ascii="Verdana" w:hAnsi="Verdana"/>
              </w:rPr>
              <w:t>Balance Sheet, or Statement of Financial Position, which includes the cash balance of £1.6m at month 9</w:t>
            </w:r>
            <w:r>
              <w:rPr>
                <w:rFonts w:ascii="Verdana" w:hAnsi="Verdana"/>
              </w:rPr>
              <w:t>.</w:t>
            </w:r>
          </w:p>
          <w:p w14:paraId="4E41BBD2" w14:textId="77777777" w:rsidR="00B86BFA" w:rsidRPr="007F76F5" w:rsidRDefault="00B86BFA" w:rsidP="007F76F5">
            <w:pPr>
              <w:jc w:val="both"/>
              <w:rPr>
                <w:rFonts w:ascii="Verdana" w:eastAsia="Times New Roman" w:hAnsi="Verdana"/>
                <w:b/>
                <w:highlight w:val="magenta"/>
              </w:rPr>
            </w:pPr>
          </w:p>
        </w:tc>
      </w:tr>
    </w:tbl>
    <w:p w14:paraId="0AE2ED99" w14:textId="77777777" w:rsidR="000A2ADC" w:rsidRPr="00430F51" w:rsidRDefault="000A2ADC" w:rsidP="00210AF6">
      <w:pPr>
        <w:spacing w:after="0" w:line="240" w:lineRule="auto"/>
        <w:rPr>
          <w:rFonts w:ascii="Verdana" w:hAnsi="Verdana"/>
          <w:sz w:val="24"/>
          <w:szCs w:val="24"/>
          <w:highlight w:val="magenta"/>
        </w:rPr>
        <w:sectPr w:rsidR="000A2ADC" w:rsidRPr="00430F51" w:rsidSect="005D3867">
          <w:footerReference w:type="default" r:id="rId12"/>
          <w:pgSz w:w="11906" w:h="16838"/>
          <w:pgMar w:top="1440" w:right="1440" w:bottom="1440" w:left="1440" w:header="708" w:footer="708" w:gutter="0"/>
          <w:cols w:space="708"/>
          <w:docGrid w:linePitch="360"/>
        </w:sectPr>
      </w:pPr>
    </w:p>
    <w:p w14:paraId="277EF4F8" w14:textId="7F077665" w:rsidR="004321BE" w:rsidRDefault="00C32013" w:rsidP="007F76F5">
      <w:pPr>
        <w:pStyle w:val="ListParagraph"/>
        <w:numPr>
          <w:ilvl w:val="0"/>
          <w:numId w:val="10"/>
        </w:numPr>
        <w:rPr>
          <w:rFonts w:ascii="Verdana" w:eastAsia="Times New Roman" w:hAnsi="Verdana"/>
          <w:b/>
          <w:u w:val="single"/>
        </w:rPr>
      </w:pPr>
      <w:r w:rsidRPr="00F00B6F">
        <w:rPr>
          <w:rFonts w:ascii="Verdana" w:eastAsia="Times New Roman" w:hAnsi="Verdana"/>
          <w:b/>
          <w:u w:val="single"/>
        </w:rPr>
        <w:lastRenderedPageBreak/>
        <w:t>Introduction and Context</w:t>
      </w:r>
    </w:p>
    <w:p w14:paraId="5C560550" w14:textId="77777777" w:rsidR="007F76F5" w:rsidRPr="007F76F5" w:rsidRDefault="007F76F5" w:rsidP="007F76F5">
      <w:pPr>
        <w:pStyle w:val="ListParagraph"/>
        <w:ind w:left="360"/>
        <w:rPr>
          <w:rFonts w:ascii="Verdana" w:eastAsia="Times New Roman" w:hAnsi="Verdana"/>
          <w:b/>
          <w:u w:val="single"/>
        </w:rPr>
      </w:pPr>
    </w:p>
    <w:p w14:paraId="4C88A0BD" w14:textId="77777777" w:rsidR="002D34FE" w:rsidRPr="00F00B6F" w:rsidRDefault="00CB3487" w:rsidP="002D34FE">
      <w:pPr>
        <w:spacing w:before="120" w:after="120"/>
        <w:jc w:val="both"/>
        <w:rPr>
          <w:rFonts w:ascii="Verdana" w:eastAsia="Times New Roman" w:hAnsi="Verdana" w:cs="Times New Roman"/>
          <w:color w:val="000000" w:themeColor="text1"/>
          <w:kern w:val="24"/>
          <w:sz w:val="24"/>
          <w:szCs w:val="24"/>
          <w:lang w:eastAsia="en-GB"/>
        </w:rPr>
      </w:pPr>
      <w:r w:rsidRPr="00F00B6F">
        <w:rPr>
          <w:rFonts w:ascii="Verdana" w:eastAsia="Times New Roman" w:hAnsi="Verdana" w:cs="Times New Roman"/>
          <w:color w:val="000000" w:themeColor="text1"/>
          <w:kern w:val="24"/>
          <w:sz w:val="24"/>
          <w:szCs w:val="24"/>
          <w:lang w:eastAsia="en-GB"/>
        </w:rPr>
        <w:t>The purpose of this report is to outline to the Executive Team and the Board the revenue and capital position for Public Health Wales</w:t>
      </w:r>
      <w:r w:rsidR="00A71841" w:rsidRPr="00F00B6F">
        <w:rPr>
          <w:rFonts w:ascii="Verdana" w:eastAsia="Times New Roman" w:hAnsi="Verdana" w:cs="Times New Roman"/>
          <w:color w:val="000000" w:themeColor="text1"/>
          <w:kern w:val="24"/>
          <w:sz w:val="24"/>
          <w:szCs w:val="24"/>
          <w:lang w:eastAsia="en-GB"/>
        </w:rPr>
        <w:t xml:space="preserve"> as at 3</w:t>
      </w:r>
      <w:r w:rsidR="00F00B6F" w:rsidRPr="00F00B6F">
        <w:rPr>
          <w:rFonts w:ascii="Verdana" w:eastAsia="Times New Roman" w:hAnsi="Verdana" w:cs="Times New Roman"/>
          <w:color w:val="000000" w:themeColor="text1"/>
          <w:kern w:val="24"/>
          <w:sz w:val="24"/>
          <w:szCs w:val="24"/>
          <w:lang w:eastAsia="en-GB"/>
        </w:rPr>
        <w:t>1st</w:t>
      </w:r>
      <w:r w:rsidR="005335E0" w:rsidRPr="00F00B6F">
        <w:rPr>
          <w:rFonts w:ascii="Verdana" w:eastAsia="Times New Roman" w:hAnsi="Verdana" w:cs="Times New Roman"/>
          <w:color w:val="000000" w:themeColor="text1"/>
          <w:kern w:val="24"/>
          <w:sz w:val="24"/>
          <w:szCs w:val="24"/>
          <w:lang w:eastAsia="en-GB"/>
        </w:rPr>
        <w:t xml:space="preserve"> </w:t>
      </w:r>
      <w:r w:rsidR="00F00B6F" w:rsidRPr="00F00B6F">
        <w:rPr>
          <w:rFonts w:ascii="Verdana" w:eastAsia="Times New Roman" w:hAnsi="Verdana" w:cs="Times New Roman"/>
          <w:color w:val="000000" w:themeColor="text1"/>
          <w:kern w:val="24"/>
          <w:sz w:val="24"/>
          <w:szCs w:val="24"/>
          <w:lang w:eastAsia="en-GB"/>
        </w:rPr>
        <w:t>December 2020 (M9</w:t>
      </w:r>
      <w:r w:rsidR="001C653D" w:rsidRPr="00F00B6F">
        <w:rPr>
          <w:rFonts w:ascii="Verdana" w:eastAsia="Times New Roman" w:hAnsi="Verdana" w:cs="Times New Roman"/>
          <w:color w:val="000000" w:themeColor="text1"/>
          <w:kern w:val="24"/>
          <w:sz w:val="24"/>
          <w:szCs w:val="24"/>
          <w:lang w:eastAsia="en-GB"/>
        </w:rPr>
        <w:t>). The report</w:t>
      </w:r>
      <w:r w:rsidRPr="00F00B6F">
        <w:rPr>
          <w:rFonts w:ascii="Verdana" w:eastAsia="Times New Roman" w:hAnsi="Verdana" w:cs="Times New Roman"/>
          <w:color w:val="000000" w:themeColor="text1"/>
          <w:kern w:val="24"/>
          <w:sz w:val="24"/>
          <w:szCs w:val="24"/>
          <w:lang w:eastAsia="en-GB"/>
        </w:rPr>
        <w:t xml:space="preserve"> is also circulated to the Audit and Corporate Governance Committee. The content of this report is reflected in the Director of Finance commentary that has been sub</w:t>
      </w:r>
      <w:r w:rsidR="005335E0" w:rsidRPr="00F00B6F">
        <w:rPr>
          <w:rFonts w:ascii="Verdana" w:eastAsia="Times New Roman" w:hAnsi="Verdana" w:cs="Times New Roman"/>
          <w:color w:val="000000" w:themeColor="text1"/>
          <w:kern w:val="24"/>
          <w:sz w:val="24"/>
          <w:szCs w:val="24"/>
          <w:lang w:eastAsia="en-GB"/>
        </w:rPr>
        <w:t xml:space="preserve">mitted to Welsh Government on </w:t>
      </w:r>
      <w:r w:rsidR="005335E0" w:rsidRPr="00547F0E">
        <w:rPr>
          <w:rFonts w:ascii="Verdana" w:eastAsia="Times New Roman" w:hAnsi="Verdana" w:cs="Times New Roman"/>
          <w:color w:val="000000" w:themeColor="text1"/>
          <w:kern w:val="24"/>
          <w:sz w:val="24"/>
          <w:szCs w:val="24"/>
          <w:lang w:eastAsia="en-GB"/>
        </w:rPr>
        <w:t>1</w:t>
      </w:r>
      <w:r w:rsidR="00547F0E" w:rsidRPr="00547F0E">
        <w:rPr>
          <w:rFonts w:ascii="Verdana" w:eastAsia="Times New Roman" w:hAnsi="Verdana" w:cs="Times New Roman"/>
          <w:color w:val="000000" w:themeColor="text1"/>
          <w:kern w:val="24"/>
          <w:sz w:val="24"/>
          <w:szCs w:val="24"/>
          <w:lang w:eastAsia="en-GB"/>
        </w:rPr>
        <w:t>4</w:t>
      </w:r>
      <w:r w:rsidR="00A71841" w:rsidRPr="00547F0E">
        <w:rPr>
          <w:rFonts w:ascii="Verdana" w:eastAsia="Times New Roman" w:hAnsi="Verdana" w:cs="Times New Roman"/>
          <w:color w:val="000000" w:themeColor="text1"/>
          <w:kern w:val="24"/>
          <w:sz w:val="24"/>
          <w:szCs w:val="24"/>
          <w:lang w:eastAsia="en-GB"/>
        </w:rPr>
        <w:t>th</w:t>
      </w:r>
      <w:r w:rsidR="00A71841" w:rsidRPr="00F00B6F">
        <w:rPr>
          <w:rFonts w:ascii="Verdana" w:eastAsia="Times New Roman" w:hAnsi="Verdana" w:cs="Times New Roman"/>
          <w:color w:val="000000" w:themeColor="text1"/>
          <w:kern w:val="24"/>
          <w:sz w:val="24"/>
          <w:szCs w:val="24"/>
          <w:lang w:eastAsia="en-GB"/>
        </w:rPr>
        <w:t xml:space="preserve"> </w:t>
      </w:r>
      <w:r w:rsidR="00F00B6F">
        <w:rPr>
          <w:rFonts w:ascii="Verdana" w:eastAsia="Times New Roman" w:hAnsi="Verdana" w:cs="Times New Roman"/>
          <w:color w:val="000000" w:themeColor="text1"/>
          <w:kern w:val="24"/>
          <w:sz w:val="24"/>
          <w:szCs w:val="24"/>
          <w:lang w:eastAsia="en-GB"/>
        </w:rPr>
        <w:t>January</w:t>
      </w:r>
      <w:r w:rsidRPr="00F00B6F">
        <w:rPr>
          <w:rFonts w:ascii="Verdana" w:eastAsia="Times New Roman" w:hAnsi="Verdana" w:cs="Times New Roman"/>
          <w:color w:val="000000" w:themeColor="text1"/>
          <w:kern w:val="24"/>
          <w:sz w:val="24"/>
          <w:szCs w:val="24"/>
          <w:lang w:eastAsia="en-GB"/>
        </w:rPr>
        <w:t xml:space="preserve"> 2020 as part of the full financi</w:t>
      </w:r>
      <w:r w:rsidR="005335E0" w:rsidRPr="00F00B6F">
        <w:rPr>
          <w:rFonts w:ascii="Verdana" w:eastAsia="Times New Roman" w:hAnsi="Verdana" w:cs="Times New Roman"/>
          <w:color w:val="000000" w:themeColor="text1"/>
          <w:kern w:val="24"/>
          <w:sz w:val="24"/>
          <w:szCs w:val="24"/>
          <w:lang w:eastAsia="en-GB"/>
        </w:rPr>
        <w:t>al monitoring re</w:t>
      </w:r>
      <w:r w:rsidR="00F00B6F">
        <w:rPr>
          <w:rFonts w:ascii="Verdana" w:eastAsia="Times New Roman" w:hAnsi="Verdana" w:cs="Times New Roman"/>
          <w:color w:val="000000" w:themeColor="text1"/>
          <w:kern w:val="24"/>
          <w:sz w:val="24"/>
          <w:szCs w:val="24"/>
          <w:lang w:eastAsia="en-GB"/>
        </w:rPr>
        <w:t>turn for Month 9</w:t>
      </w:r>
      <w:r w:rsidRPr="00F00B6F">
        <w:rPr>
          <w:rFonts w:ascii="Verdana" w:eastAsia="Times New Roman" w:hAnsi="Verdana" w:cs="Times New Roman"/>
          <w:color w:val="000000" w:themeColor="text1"/>
          <w:kern w:val="24"/>
          <w:sz w:val="24"/>
          <w:szCs w:val="24"/>
          <w:lang w:eastAsia="en-GB"/>
        </w:rPr>
        <w:t xml:space="preserve">.  </w:t>
      </w:r>
    </w:p>
    <w:p w14:paraId="308B59EA" w14:textId="77777777" w:rsidR="00CB3487" w:rsidRPr="00F00B6F" w:rsidRDefault="00CB3487" w:rsidP="00CB3487">
      <w:pPr>
        <w:spacing w:before="120" w:after="120" w:line="240" w:lineRule="auto"/>
        <w:jc w:val="both"/>
        <w:rPr>
          <w:rFonts w:ascii="Verdana" w:eastAsia="Times New Roman" w:hAnsi="Verdana" w:cs="Times New Roman"/>
          <w:color w:val="000000" w:themeColor="text1"/>
          <w:kern w:val="24"/>
          <w:sz w:val="24"/>
          <w:szCs w:val="24"/>
          <w:lang w:eastAsia="en-GB"/>
        </w:rPr>
      </w:pPr>
      <w:r w:rsidRPr="00F00B6F">
        <w:rPr>
          <w:rFonts w:ascii="Verdana" w:eastAsia="Times New Roman" w:hAnsi="Verdana" w:cs="Times New Roman"/>
          <w:color w:val="000000" w:themeColor="text1"/>
          <w:kern w:val="24"/>
          <w:sz w:val="24"/>
          <w:szCs w:val="24"/>
          <w:lang w:eastAsia="en-GB"/>
        </w:rPr>
        <w:t xml:space="preserve">The following table highlights the performance against the key revenue and capital financial targets. </w:t>
      </w:r>
    </w:p>
    <w:tbl>
      <w:tblPr>
        <w:tblW w:w="0" w:type="auto"/>
        <w:tblInd w:w="-5" w:type="dxa"/>
        <w:tblLook w:val="04A0" w:firstRow="1" w:lastRow="0" w:firstColumn="1" w:lastColumn="0" w:noHBand="0" w:noVBand="1"/>
      </w:tblPr>
      <w:tblGrid>
        <w:gridCol w:w="3942"/>
        <w:gridCol w:w="1673"/>
        <w:gridCol w:w="1432"/>
        <w:gridCol w:w="1974"/>
      </w:tblGrid>
      <w:tr w:rsidR="00EC58CE" w:rsidRPr="005F3065" w14:paraId="39036FB4" w14:textId="77777777" w:rsidTr="00EC58CE">
        <w:trPr>
          <w:trHeight w:val="624"/>
        </w:trPr>
        <w:tc>
          <w:tcPr>
            <w:tcW w:w="0" w:type="auto"/>
            <w:tcBorders>
              <w:top w:val="single" w:sz="4" w:space="0" w:color="0070C0"/>
              <w:left w:val="single" w:sz="4" w:space="0" w:color="0070C0"/>
              <w:bottom w:val="single" w:sz="4" w:space="0" w:color="0070C0"/>
              <w:right w:val="single" w:sz="4" w:space="0" w:color="0070C0"/>
            </w:tcBorders>
            <w:shd w:val="clear" w:color="000000" w:fill="2F75B5"/>
            <w:hideMark/>
          </w:tcPr>
          <w:p w14:paraId="6D052505" w14:textId="77777777" w:rsidR="00EC58CE" w:rsidRPr="00F00B6F" w:rsidRDefault="00EC58CE" w:rsidP="00EC58CE">
            <w:pPr>
              <w:spacing w:after="0" w:line="240" w:lineRule="auto"/>
              <w:jc w:val="center"/>
              <w:rPr>
                <w:rFonts w:ascii="Calibri" w:eastAsia="Times New Roman" w:hAnsi="Calibri" w:cs="Calibri"/>
                <w:b/>
                <w:bCs/>
                <w:color w:val="FFFFFF"/>
                <w:sz w:val="24"/>
                <w:szCs w:val="24"/>
                <w:lang w:eastAsia="en-GB"/>
              </w:rPr>
            </w:pPr>
            <w:r w:rsidRPr="00F00B6F">
              <w:rPr>
                <w:rFonts w:ascii="Calibri" w:eastAsia="Times New Roman" w:hAnsi="Calibri" w:cs="Calibri"/>
                <w:b/>
                <w:bCs/>
                <w:color w:val="FFFFFF"/>
                <w:sz w:val="24"/>
                <w:szCs w:val="24"/>
                <w:lang w:eastAsia="en-GB"/>
              </w:rPr>
              <w:t>Target</w:t>
            </w:r>
          </w:p>
        </w:tc>
        <w:tc>
          <w:tcPr>
            <w:tcW w:w="0" w:type="auto"/>
            <w:tcBorders>
              <w:top w:val="single" w:sz="4" w:space="0" w:color="0070C0"/>
              <w:left w:val="nil"/>
              <w:bottom w:val="single" w:sz="4" w:space="0" w:color="0070C0"/>
              <w:right w:val="single" w:sz="4" w:space="0" w:color="0070C0"/>
            </w:tcBorders>
            <w:shd w:val="clear" w:color="000000" w:fill="2F75B5"/>
            <w:hideMark/>
          </w:tcPr>
          <w:p w14:paraId="796A27CD" w14:textId="77777777" w:rsidR="00EC58CE" w:rsidRPr="00F00B6F" w:rsidRDefault="00EC58CE" w:rsidP="00EC58CE">
            <w:pPr>
              <w:spacing w:after="0" w:line="240" w:lineRule="auto"/>
              <w:jc w:val="center"/>
              <w:rPr>
                <w:rFonts w:ascii="Calibri" w:eastAsia="Times New Roman" w:hAnsi="Calibri" w:cs="Calibri"/>
                <w:b/>
                <w:bCs/>
                <w:color w:val="FFFFFF"/>
                <w:sz w:val="24"/>
                <w:szCs w:val="24"/>
                <w:lang w:eastAsia="en-GB"/>
              </w:rPr>
            </w:pPr>
            <w:r w:rsidRPr="00F00B6F">
              <w:rPr>
                <w:rFonts w:ascii="Calibri" w:eastAsia="Times New Roman" w:hAnsi="Calibri" w:cs="Calibri"/>
                <w:b/>
                <w:bCs/>
                <w:color w:val="FFFFFF"/>
                <w:sz w:val="24"/>
                <w:szCs w:val="24"/>
                <w:lang w:eastAsia="en-GB"/>
              </w:rPr>
              <w:t>Current Month</w:t>
            </w:r>
          </w:p>
        </w:tc>
        <w:tc>
          <w:tcPr>
            <w:tcW w:w="0" w:type="auto"/>
            <w:tcBorders>
              <w:top w:val="single" w:sz="4" w:space="0" w:color="0070C0"/>
              <w:left w:val="nil"/>
              <w:bottom w:val="single" w:sz="4" w:space="0" w:color="0070C0"/>
              <w:right w:val="single" w:sz="4" w:space="0" w:color="0070C0"/>
            </w:tcBorders>
            <w:shd w:val="clear" w:color="000000" w:fill="2F75B5"/>
            <w:hideMark/>
          </w:tcPr>
          <w:p w14:paraId="7885CE64" w14:textId="77777777" w:rsidR="00EC58CE" w:rsidRPr="00F00B6F" w:rsidRDefault="00EC58CE" w:rsidP="00EC58CE">
            <w:pPr>
              <w:spacing w:after="0" w:line="240" w:lineRule="auto"/>
              <w:jc w:val="center"/>
              <w:rPr>
                <w:rFonts w:ascii="Calibri" w:eastAsia="Times New Roman" w:hAnsi="Calibri" w:cs="Calibri"/>
                <w:b/>
                <w:bCs/>
                <w:color w:val="FFFFFF"/>
                <w:sz w:val="24"/>
                <w:szCs w:val="24"/>
                <w:lang w:eastAsia="en-GB"/>
              </w:rPr>
            </w:pPr>
            <w:r w:rsidRPr="00F00B6F">
              <w:rPr>
                <w:rFonts w:ascii="Calibri" w:eastAsia="Times New Roman" w:hAnsi="Calibri" w:cs="Calibri"/>
                <w:b/>
                <w:bCs/>
                <w:color w:val="FFFFFF"/>
                <w:sz w:val="24"/>
                <w:szCs w:val="24"/>
                <w:lang w:eastAsia="en-GB"/>
              </w:rPr>
              <w:t>Year to Date</w:t>
            </w:r>
          </w:p>
        </w:tc>
        <w:tc>
          <w:tcPr>
            <w:tcW w:w="0" w:type="auto"/>
            <w:tcBorders>
              <w:top w:val="single" w:sz="4" w:space="0" w:color="0070C0"/>
              <w:left w:val="nil"/>
              <w:bottom w:val="single" w:sz="4" w:space="0" w:color="0070C0"/>
              <w:right w:val="single" w:sz="4" w:space="0" w:color="0070C0"/>
            </w:tcBorders>
            <w:shd w:val="clear" w:color="000000" w:fill="2F75B5"/>
            <w:hideMark/>
          </w:tcPr>
          <w:p w14:paraId="404BDA53" w14:textId="77777777" w:rsidR="00EC58CE" w:rsidRPr="00F00B6F" w:rsidRDefault="00EC58CE" w:rsidP="00EC58CE">
            <w:pPr>
              <w:spacing w:after="0" w:line="240" w:lineRule="auto"/>
              <w:jc w:val="center"/>
              <w:rPr>
                <w:rFonts w:ascii="Calibri" w:eastAsia="Times New Roman" w:hAnsi="Calibri" w:cs="Calibri"/>
                <w:b/>
                <w:bCs/>
                <w:color w:val="FFFFFF"/>
                <w:sz w:val="24"/>
                <w:szCs w:val="24"/>
                <w:lang w:eastAsia="en-GB"/>
              </w:rPr>
            </w:pPr>
            <w:r w:rsidRPr="00F00B6F">
              <w:rPr>
                <w:rFonts w:ascii="Calibri" w:eastAsia="Times New Roman" w:hAnsi="Calibri" w:cs="Calibri"/>
                <w:b/>
                <w:bCs/>
                <w:color w:val="FFFFFF"/>
                <w:sz w:val="24"/>
                <w:szCs w:val="24"/>
                <w:lang w:eastAsia="en-GB"/>
              </w:rPr>
              <w:t>Year-end Forecast</w:t>
            </w:r>
          </w:p>
        </w:tc>
      </w:tr>
      <w:tr w:rsidR="00EC58CE" w:rsidRPr="005F3065" w14:paraId="17C56A80" w14:textId="77777777"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vAlign w:val="center"/>
            <w:hideMark/>
          </w:tcPr>
          <w:p w14:paraId="53E12627" w14:textId="77777777" w:rsidR="00EC58CE" w:rsidRPr="00F00B6F" w:rsidRDefault="00EC58CE" w:rsidP="00EC58CE">
            <w:pPr>
              <w:spacing w:after="0" w:line="240" w:lineRule="auto"/>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 xml:space="preserve">Revenue financial target Deficit/(Surplus)                                                        </w:t>
            </w:r>
          </w:p>
        </w:tc>
        <w:tc>
          <w:tcPr>
            <w:tcW w:w="0" w:type="auto"/>
            <w:tcBorders>
              <w:top w:val="nil"/>
              <w:left w:val="nil"/>
              <w:bottom w:val="single" w:sz="4" w:space="0" w:color="0070C0"/>
              <w:right w:val="single" w:sz="4" w:space="0" w:color="0070C0"/>
            </w:tcBorders>
            <w:shd w:val="clear" w:color="000000" w:fill="C6E0B4"/>
            <w:noWrap/>
            <w:vAlign w:val="center"/>
            <w:hideMark/>
          </w:tcPr>
          <w:p w14:paraId="7F81973B" w14:textId="77777777" w:rsidR="00EC58CE" w:rsidRPr="00F00B6F" w:rsidRDefault="00EC58CE"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(1</w:t>
            </w:r>
            <w:r w:rsidR="00F00B6F" w:rsidRPr="00F00B6F">
              <w:rPr>
                <w:rFonts w:ascii="Calibri" w:eastAsia="Times New Roman" w:hAnsi="Calibri" w:cs="Calibri"/>
                <w:b/>
                <w:bCs/>
                <w:color w:val="000000"/>
                <w:lang w:eastAsia="en-GB"/>
              </w:rPr>
              <w:t>3</w:t>
            </w:r>
            <w:r w:rsidRPr="00F00B6F">
              <w:rPr>
                <w:rFonts w:ascii="Calibri" w:eastAsia="Times New Roman" w:hAnsi="Calibri" w:cs="Calibri"/>
                <w:b/>
                <w:bCs/>
                <w:color w:val="000000"/>
                <w:lang w:eastAsia="en-GB"/>
              </w:rPr>
              <w:t>K)</w:t>
            </w:r>
          </w:p>
        </w:tc>
        <w:tc>
          <w:tcPr>
            <w:tcW w:w="0" w:type="auto"/>
            <w:tcBorders>
              <w:top w:val="nil"/>
              <w:left w:val="nil"/>
              <w:bottom w:val="single" w:sz="4" w:space="0" w:color="0070C0"/>
              <w:right w:val="single" w:sz="4" w:space="0" w:color="0070C0"/>
            </w:tcBorders>
            <w:shd w:val="clear" w:color="000000" w:fill="FFFFFF"/>
            <w:noWrap/>
            <w:vAlign w:val="center"/>
            <w:hideMark/>
          </w:tcPr>
          <w:p w14:paraId="2993B64F" w14:textId="77777777" w:rsidR="00EC58CE" w:rsidRPr="00F00B6F" w:rsidRDefault="00F00B6F"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w:t>
            </w:r>
            <w:r w:rsidR="00EC58CE" w:rsidRPr="00F00B6F">
              <w:rPr>
                <w:rFonts w:ascii="Calibri" w:eastAsia="Times New Roman" w:hAnsi="Calibri" w:cs="Calibri"/>
                <w:b/>
                <w:bCs/>
                <w:color w:val="000000"/>
                <w:lang w:eastAsia="en-GB"/>
              </w:rPr>
              <w:t>3</w:t>
            </w:r>
            <w:r w:rsidRPr="00F00B6F">
              <w:rPr>
                <w:rFonts w:ascii="Calibri" w:eastAsia="Times New Roman" w:hAnsi="Calibri" w:cs="Calibri"/>
                <w:b/>
                <w:bCs/>
                <w:color w:val="000000"/>
                <w:lang w:eastAsia="en-GB"/>
              </w:rPr>
              <w:t>6</w:t>
            </w:r>
            <w:r w:rsidR="00EC58CE" w:rsidRPr="00F00B6F">
              <w:rPr>
                <w:rFonts w:ascii="Calibri" w:eastAsia="Times New Roman" w:hAnsi="Calibri" w:cs="Calibri"/>
                <w:b/>
                <w:bCs/>
                <w:color w:val="000000"/>
                <w:lang w:eastAsia="en-GB"/>
              </w:rPr>
              <w:t>K)</w:t>
            </w:r>
          </w:p>
        </w:tc>
        <w:tc>
          <w:tcPr>
            <w:tcW w:w="0" w:type="auto"/>
            <w:tcBorders>
              <w:top w:val="nil"/>
              <w:left w:val="nil"/>
              <w:bottom w:val="single" w:sz="4" w:space="0" w:color="0070C0"/>
              <w:right w:val="single" w:sz="4" w:space="0" w:color="0070C0"/>
            </w:tcBorders>
            <w:shd w:val="clear" w:color="000000" w:fill="A9D08E"/>
            <w:vAlign w:val="center"/>
            <w:hideMark/>
          </w:tcPr>
          <w:p w14:paraId="22C5C28D" w14:textId="77777777" w:rsidR="00EC58CE" w:rsidRPr="00F00B6F" w:rsidRDefault="00EC58CE"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Breakeven</w:t>
            </w:r>
          </w:p>
        </w:tc>
      </w:tr>
      <w:tr w:rsidR="00EC58CE" w:rsidRPr="005F3065" w14:paraId="21AE3B29" w14:textId="77777777"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14:paraId="0B936AB9" w14:textId="77777777" w:rsidR="00EC58CE" w:rsidRPr="00D823E5" w:rsidRDefault="00EC58CE" w:rsidP="00EC58CE">
            <w:pPr>
              <w:spacing w:after="0" w:line="240" w:lineRule="auto"/>
              <w:rPr>
                <w:rFonts w:ascii="Calibri" w:eastAsia="Times New Roman" w:hAnsi="Calibri" w:cs="Calibri"/>
                <w:b/>
                <w:bCs/>
                <w:color w:val="000000"/>
                <w:lang w:eastAsia="en-GB"/>
              </w:rPr>
            </w:pPr>
            <w:r w:rsidRPr="00D823E5">
              <w:rPr>
                <w:rFonts w:ascii="Calibri" w:eastAsia="Times New Roman" w:hAnsi="Calibri" w:cs="Calibri"/>
                <w:b/>
                <w:bCs/>
                <w:color w:val="000000"/>
                <w:lang w:eastAsia="en-GB"/>
              </w:rPr>
              <w:t xml:space="preserve">Capital financial target                                  </w:t>
            </w:r>
          </w:p>
        </w:tc>
        <w:tc>
          <w:tcPr>
            <w:tcW w:w="0" w:type="auto"/>
            <w:tcBorders>
              <w:top w:val="nil"/>
              <w:left w:val="nil"/>
              <w:bottom w:val="single" w:sz="4" w:space="0" w:color="0070C0"/>
              <w:right w:val="single" w:sz="4" w:space="0" w:color="0070C0"/>
            </w:tcBorders>
            <w:shd w:val="clear" w:color="000000" w:fill="C6E0B4"/>
            <w:noWrap/>
            <w:vAlign w:val="center"/>
            <w:hideMark/>
          </w:tcPr>
          <w:p w14:paraId="3171F3DB" w14:textId="77777777" w:rsidR="00EC58CE" w:rsidRPr="00D823E5" w:rsidRDefault="00EC58CE" w:rsidP="00D823E5">
            <w:pPr>
              <w:spacing w:after="0" w:line="240" w:lineRule="auto"/>
              <w:jc w:val="center"/>
              <w:rPr>
                <w:rFonts w:ascii="Calibri" w:eastAsia="Times New Roman" w:hAnsi="Calibri" w:cs="Calibri"/>
                <w:b/>
                <w:bCs/>
                <w:color w:val="000000"/>
                <w:lang w:eastAsia="en-GB"/>
              </w:rPr>
            </w:pPr>
            <w:r w:rsidRPr="00D823E5">
              <w:rPr>
                <w:rFonts w:ascii="Calibri" w:eastAsia="Times New Roman" w:hAnsi="Calibri" w:cs="Calibri"/>
                <w:b/>
                <w:bCs/>
                <w:color w:val="000000"/>
                <w:lang w:eastAsia="en-GB"/>
              </w:rPr>
              <w:t>1.</w:t>
            </w:r>
            <w:r w:rsidR="00D823E5" w:rsidRPr="00D823E5">
              <w:rPr>
                <w:rFonts w:ascii="Calibri" w:eastAsia="Times New Roman" w:hAnsi="Calibri" w:cs="Calibri"/>
                <w:b/>
                <w:bCs/>
                <w:color w:val="000000"/>
                <w:lang w:eastAsia="en-GB"/>
              </w:rPr>
              <w:t>489</w:t>
            </w:r>
            <w:r w:rsidRPr="00D823E5">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FFFFFF"/>
            <w:vAlign w:val="center"/>
            <w:hideMark/>
          </w:tcPr>
          <w:p w14:paraId="7BA4D852" w14:textId="77777777" w:rsidR="00EC58CE" w:rsidRPr="00D823E5" w:rsidRDefault="00D823E5" w:rsidP="00EC58CE">
            <w:pPr>
              <w:spacing w:after="0" w:line="240" w:lineRule="auto"/>
              <w:jc w:val="center"/>
              <w:rPr>
                <w:rFonts w:ascii="Calibri" w:eastAsia="Times New Roman" w:hAnsi="Calibri" w:cs="Calibri"/>
                <w:b/>
                <w:bCs/>
                <w:color w:val="000000"/>
                <w:lang w:eastAsia="en-GB"/>
              </w:rPr>
            </w:pPr>
            <w:r w:rsidRPr="00D823E5">
              <w:rPr>
                <w:rFonts w:ascii="Calibri" w:eastAsia="Times New Roman" w:hAnsi="Calibri" w:cs="Calibri"/>
                <w:b/>
                <w:bCs/>
                <w:color w:val="000000"/>
                <w:lang w:eastAsia="en-GB"/>
              </w:rPr>
              <w:t>1.181</w:t>
            </w:r>
            <w:r w:rsidR="00EC58CE" w:rsidRPr="00D823E5">
              <w:rPr>
                <w:rFonts w:ascii="Calibri" w:eastAsia="Times New Roman" w:hAnsi="Calibri" w:cs="Calibri"/>
                <w:b/>
                <w:bCs/>
                <w:color w:val="000000"/>
                <w:lang w:eastAsia="en-GB"/>
              </w:rPr>
              <w:t>m</w:t>
            </w:r>
          </w:p>
        </w:tc>
        <w:tc>
          <w:tcPr>
            <w:tcW w:w="0" w:type="auto"/>
            <w:tcBorders>
              <w:top w:val="nil"/>
              <w:left w:val="nil"/>
              <w:bottom w:val="single" w:sz="4" w:space="0" w:color="0070C0"/>
              <w:right w:val="single" w:sz="4" w:space="0" w:color="0070C0"/>
            </w:tcBorders>
            <w:shd w:val="clear" w:color="000000" w:fill="A9D08E"/>
            <w:vAlign w:val="center"/>
            <w:hideMark/>
          </w:tcPr>
          <w:p w14:paraId="7E0BB1BA" w14:textId="77777777" w:rsidR="00EC58CE" w:rsidRPr="005F3065" w:rsidRDefault="00EC58CE" w:rsidP="00EC58CE">
            <w:pPr>
              <w:spacing w:after="0" w:line="240" w:lineRule="auto"/>
              <w:jc w:val="center"/>
              <w:rPr>
                <w:rFonts w:ascii="Calibri" w:eastAsia="Times New Roman" w:hAnsi="Calibri" w:cs="Calibri"/>
                <w:b/>
                <w:bCs/>
                <w:color w:val="000000"/>
                <w:highlight w:val="magenta"/>
                <w:lang w:eastAsia="en-GB"/>
              </w:rPr>
            </w:pPr>
            <w:r w:rsidRPr="00D823E5">
              <w:rPr>
                <w:rFonts w:ascii="Calibri" w:eastAsia="Times New Roman" w:hAnsi="Calibri" w:cs="Calibri"/>
                <w:b/>
                <w:bCs/>
                <w:color w:val="000000"/>
                <w:lang w:eastAsia="en-GB"/>
              </w:rPr>
              <w:t>Breakeven</w:t>
            </w:r>
          </w:p>
        </w:tc>
      </w:tr>
      <w:tr w:rsidR="00EC58CE" w:rsidRPr="005F3065" w14:paraId="7C63D5B6" w14:textId="77777777" w:rsidTr="00EC58CE">
        <w:trPr>
          <w:trHeight w:val="798"/>
        </w:trPr>
        <w:tc>
          <w:tcPr>
            <w:tcW w:w="0" w:type="auto"/>
            <w:tcBorders>
              <w:top w:val="nil"/>
              <w:left w:val="single" w:sz="4" w:space="0" w:color="0070C0"/>
              <w:bottom w:val="single" w:sz="4" w:space="0" w:color="0070C0"/>
              <w:right w:val="single" w:sz="4" w:space="0" w:color="0070C0"/>
            </w:tcBorders>
            <w:shd w:val="clear" w:color="000000" w:fill="FFFFFF"/>
            <w:noWrap/>
            <w:vAlign w:val="center"/>
            <w:hideMark/>
          </w:tcPr>
          <w:p w14:paraId="342060D9" w14:textId="77777777" w:rsidR="00EC58CE" w:rsidRPr="00F00B6F" w:rsidRDefault="00EC58CE" w:rsidP="00EC58CE">
            <w:pPr>
              <w:spacing w:after="0" w:line="240" w:lineRule="auto"/>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 xml:space="preserve">Public Sector Payment Policy                       </w:t>
            </w:r>
          </w:p>
        </w:tc>
        <w:tc>
          <w:tcPr>
            <w:tcW w:w="0" w:type="auto"/>
            <w:tcBorders>
              <w:top w:val="nil"/>
              <w:left w:val="nil"/>
              <w:bottom w:val="single" w:sz="4" w:space="0" w:color="0070C0"/>
              <w:right w:val="single" w:sz="4" w:space="0" w:color="0070C0"/>
            </w:tcBorders>
            <w:shd w:val="clear" w:color="000000" w:fill="C6E0B4"/>
            <w:noWrap/>
            <w:vAlign w:val="center"/>
            <w:hideMark/>
          </w:tcPr>
          <w:p w14:paraId="59302D36" w14:textId="77777777" w:rsidR="00EC58CE" w:rsidRPr="00F00B6F" w:rsidRDefault="00F00B6F"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97</w:t>
            </w:r>
            <w:r w:rsidR="00EC58CE" w:rsidRPr="00F00B6F">
              <w:rPr>
                <w:rFonts w:ascii="Calibri" w:eastAsia="Times New Roman" w:hAnsi="Calibri" w:cs="Calibri"/>
                <w:b/>
                <w:bCs/>
                <w:color w:val="000000"/>
                <w:lang w:eastAsia="en-GB"/>
              </w:rPr>
              <w:t>%</w:t>
            </w:r>
          </w:p>
        </w:tc>
        <w:tc>
          <w:tcPr>
            <w:tcW w:w="0" w:type="auto"/>
            <w:tcBorders>
              <w:top w:val="nil"/>
              <w:left w:val="nil"/>
              <w:bottom w:val="single" w:sz="4" w:space="0" w:color="0070C0"/>
              <w:right w:val="single" w:sz="4" w:space="0" w:color="0070C0"/>
            </w:tcBorders>
            <w:shd w:val="clear" w:color="000000" w:fill="FFFFFF"/>
            <w:vAlign w:val="center"/>
            <w:hideMark/>
          </w:tcPr>
          <w:p w14:paraId="28435C4A" w14:textId="77777777" w:rsidR="00EC58CE" w:rsidRPr="00F00B6F" w:rsidRDefault="00F00B6F"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96.33</w:t>
            </w:r>
            <w:r w:rsidR="00EC58CE" w:rsidRPr="00F00B6F">
              <w:rPr>
                <w:rFonts w:ascii="Calibri" w:eastAsia="Times New Roman" w:hAnsi="Calibri" w:cs="Calibri"/>
                <w:b/>
                <w:bCs/>
                <w:color w:val="000000"/>
                <w:lang w:eastAsia="en-GB"/>
              </w:rPr>
              <w:t>%</w:t>
            </w:r>
          </w:p>
        </w:tc>
        <w:tc>
          <w:tcPr>
            <w:tcW w:w="0" w:type="auto"/>
            <w:tcBorders>
              <w:top w:val="nil"/>
              <w:left w:val="nil"/>
              <w:bottom w:val="single" w:sz="4" w:space="0" w:color="0070C0"/>
              <w:right w:val="single" w:sz="4" w:space="0" w:color="0070C0"/>
            </w:tcBorders>
            <w:shd w:val="clear" w:color="000000" w:fill="A9D08E"/>
            <w:vAlign w:val="center"/>
            <w:hideMark/>
          </w:tcPr>
          <w:p w14:paraId="3B385D66" w14:textId="77777777" w:rsidR="00EC58CE" w:rsidRPr="00F00B6F" w:rsidRDefault="00EC58CE" w:rsidP="00EC58CE">
            <w:pPr>
              <w:spacing w:after="0" w:line="240" w:lineRule="auto"/>
              <w:jc w:val="center"/>
              <w:rPr>
                <w:rFonts w:ascii="Calibri" w:eastAsia="Times New Roman" w:hAnsi="Calibri" w:cs="Calibri"/>
                <w:b/>
                <w:bCs/>
                <w:color w:val="000000"/>
                <w:lang w:eastAsia="en-GB"/>
              </w:rPr>
            </w:pPr>
            <w:r w:rsidRPr="00F00B6F">
              <w:rPr>
                <w:rFonts w:ascii="Calibri" w:eastAsia="Times New Roman" w:hAnsi="Calibri" w:cs="Calibri"/>
                <w:b/>
                <w:bCs/>
                <w:color w:val="000000"/>
                <w:lang w:eastAsia="en-GB"/>
              </w:rPr>
              <w:t>&gt;95%</w:t>
            </w:r>
          </w:p>
        </w:tc>
      </w:tr>
    </w:tbl>
    <w:p w14:paraId="1D0AA825" w14:textId="77777777" w:rsidR="00CB3487" w:rsidRPr="003050AA" w:rsidRDefault="00CB3487" w:rsidP="00CB3487">
      <w:pPr>
        <w:spacing w:before="120" w:after="120" w:line="240" w:lineRule="auto"/>
        <w:jc w:val="both"/>
        <w:rPr>
          <w:rFonts w:ascii="Verdana" w:eastAsia="Times New Roman" w:hAnsi="Verdana" w:cs="Times New Roman"/>
          <w:color w:val="000000" w:themeColor="text1"/>
          <w:kern w:val="24"/>
          <w:sz w:val="24"/>
          <w:szCs w:val="24"/>
          <w:lang w:eastAsia="en-GB"/>
        </w:rPr>
      </w:pPr>
    </w:p>
    <w:p w14:paraId="3CE16530" w14:textId="77777777" w:rsidR="00750FAB" w:rsidRPr="005D33F8" w:rsidRDefault="00417C5D" w:rsidP="003D446B">
      <w:pPr>
        <w:jc w:val="both"/>
        <w:rPr>
          <w:rFonts w:ascii="Verdana" w:eastAsia="Times New Roman" w:hAnsi="Verdana"/>
          <w:sz w:val="24"/>
          <w:szCs w:val="24"/>
        </w:rPr>
      </w:pPr>
      <w:r w:rsidRPr="003050AA">
        <w:rPr>
          <w:rFonts w:ascii="Verdana" w:eastAsia="Times New Roman" w:hAnsi="Verdana"/>
          <w:sz w:val="24"/>
          <w:szCs w:val="24"/>
        </w:rPr>
        <w:t xml:space="preserve">The Public Health </w:t>
      </w:r>
      <w:r w:rsidR="00EC58CE" w:rsidRPr="003050AA">
        <w:rPr>
          <w:rFonts w:ascii="Verdana" w:eastAsia="Times New Roman" w:hAnsi="Verdana"/>
          <w:sz w:val="24"/>
          <w:szCs w:val="24"/>
        </w:rPr>
        <w:t>W</w:t>
      </w:r>
      <w:r w:rsidR="00D823E5" w:rsidRPr="003050AA">
        <w:rPr>
          <w:rFonts w:ascii="Verdana" w:eastAsia="Times New Roman" w:hAnsi="Verdana"/>
          <w:sz w:val="24"/>
          <w:szCs w:val="24"/>
        </w:rPr>
        <w:t>ales financial position as at 31</w:t>
      </w:r>
      <w:r w:rsidR="00D823E5" w:rsidRPr="003050AA">
        <w:rPr>
          <w:rFonts w:ascii="Verdana" w:eastAsia="Times New Roman" w:hAnsi="Verdana"/>
          <w:sz w:val="24"/>
          <w:szCs w:val="24"/>
          <w:vertAlign w:val="superscript"/>
        </w:rPr>
        <w:t>st</w:t>
      </w:r>
      <w:r w:rsidR="00D823E5" w:rsidRPr="003050AA">
        <w:rPr>
          <w:rFonts w:ascii="Verdana" w:eastAsia="Times New Roman" w:hAnsi="Verdana"/>
          <w:sz w:val="24"/>
          <w:szCs w:val="24"/>
        </w:rPr>
        <w:t xml:space="preserve"> December</w:t>
      </w:r>
      <w:r w:rsidR="003050AA" w:rsidRPr="003050AA">
        <w:rPr>
          <w:rFonts w:ascii="Verdana" w:eastAsia="Times New Roman" w:hAnsi="Verdana"/>
          <w:sz w:val="24"/>
          <w:szCs w:val="24"/>
        </w:rPr>
        <w:t xml:space="preserve"> </w:t>
      </w:r>
      <w:r w:rsidR="0094079D" w:rsidRPr="003050AA">
        <w:rPr>
          <w:rFonts w:ascii="Verdana" w:eastAsia="Times New Roman" w:hAnsi="Verdana"/>
          <w:sz w:val="24"/>
          <w:szCs w:val="24"/>
        </w:rPr>
        <w:t>i</w:t>
      </w:r>
      <w:r w:rsidR="003D446B" w:rsidRPr="003050AA">
        <w:rPr>
          <w:rFonts w:ascii="Verdana" w:eastAsia="Times New Roman" w:hAnsi="Verdana"/>
          <w:sz w:val="24"/>
          <w:szCs w:val="24"/>
        </w:rPr>
        <w:t xml:space="preserve">s </w:t>
      </w:r>
      <w:r w:rsidR="006E4369" w:rsidRPr="003050AA">
        <w:rPr>
          <w:rFonts w:ascii="Verdana" w:eastAsia="Times New Roman" w:hAnsi="Verdana"/>
          <w:sz w:val="24"/>
          <w:szCs w:val="24"/>
        </w:rPr>
        <w:t>a</w:t>
      </w:r>
      <w:r w:rsidR="003050AA" w:rsidRPr="003050AA">
        <w:rPr>
          <w:rFonts w:ascii="Verdana" w:eastAsia="Times New Roman" w:hAnsi="Verdana"/>
          <w:sz w:val="24"/>
          <w:szCs w:val="24"/>
        </w:rPr>
        <w:t xml:space="preserve"> net surplus of £36</w:t>
      </w:r>
      <w:r w:rsidR="00834652" w:rsidRPr="003050AA">
        <w:rPr>
          <w:rFonts w:ascii="Verdana" w:eastAsia="Times New Roman" w:hAnsi="Verdana"/>
          <w:sz w:val="24"/>
          <w:szCs w:val="24"/>
        </w:rPr>
        <w:t>k</w:t>
      </w:r>
      <w:r w:rsidR="00FE66BE" w:rsidRPr="003050AA">
        <w:rPr>
          <w:rFonts w:ascii="Verdana" w:eastAsia="Times New Roman" w:hAnsi="Verdana"/>
          <w:sz w:val="24"/>
          <w:szCs w:val="24"/>
        </w:rPr>
        <w:t xml:space="preserve">. </w:t>
      </w:r>
      <w:r w:rsidR="00FE66BE" w:rsidRPr="005D33F8">
        <w:rPr>
          <w:rFonts w:ascii="Verdana" w:eastAsia="Times New Roman" w:hAnsi="Verdana"/>
          <w:sz w:val="24"/>
          <w:szCs w:val="24"/>
        </w:rPr>
        <w:t>This position includes £</w:t>
      </w:r>
      <w:r w:rsidR="00FB51D5" w:rsidRPr="005D33F8">
        <w:rPr>
          <w:rFonts w:ascii="Verdana" w:eastAsia="Times New Roman" w:hAnsi="Verdana"/>
          <w:sz w:val="24"/>
          <w:szCs w:val="24"/>
        </w:rPr>
        <w:t>2</w:t>
      </w:r>
      <w:r w:rsidR="00617233" w:rsidRPr="005D33F8">
        <w:rPr>
          <w:rFonts w:ascii="Verdana" w:eastAsia="Times New Roman" w:hAnsi="Verdana"/>
          <w:sz w:val="24"/>
          <w:szCs w:val="24"/>
        </w:rPr>
        <w:t>8</w:t>
      </w:r>
      <w:r w:rsidR="00FB51D5" w:rsidRPr="005D33F8">
        <w:rPr>
          <w:rFonts w:ascii="Verdana" w:eastAsia="Times New Roman" w:hAnsi="Verdana"/>
          <w:sz w:val="24"/>
          <w:szCs w:val="24"/>
        </w:rPr>
        <w:t>.</w:t>
      </w:r>
      <w:r w:rsidR="00617233" w:rsidRPr="005D33F8">
        <w:rPr>
          <w:rFonts w:ascii="Verdana" w:eastAsia="Times New Roman" w:hAnsi="Verdana"/>
          <w:sz w:val="24"/>
          <w:szCs w:val="24"/>
        </w:rPr>
        <w:t>906</w:t>
      </w:r>
      <w:r w:rsidR="00FE66BE" w:rsidRPr="005D33F8">
        <w:rPr>
          <w:rFonts w:ascii="Verdana" w:eastAsia="Times New Roman" w:hAnsi="Verdana"/>
          <w:sz w:val="24"/>
          <w:szCs w:val="24"/>
        </w:rPr>
        <w:t xml:space="preserve">m of costs directly related to the </w:t>
      </w:r>
      <w:r w:rsidR="00750FAB" w:rsidRPr="005D33F8">
        <w:rPr>
          <w:rFonts w:ascii="Verdana" w:eastAsia="Times New Roman" w:hAnsi="Verdana"/>
          <w:sz w:val="24"/>
          <w:szCs w:val="24"/>
        </w:rPr>
        <w:t>COVID-19 response, of which:</w:t>
      </w:r>
    </w:p>
    <w:p w14:paraId="2DF3C2CC" w14:textId="77777777" w:rsidR="00750FAB" w:rsidRPr="002B2758" w:rsidRDefault="00750FAB" w:rsidP="00750FAB">
      <w:pPr>
        <w:pStyle w:val="ListParagraph"/>
        <w:numPr>
          <w:ilvl w:val="0"/>
          <w:numId w:val="38"/>
        </w:numPr>
        <w:spacing w:before="120" w:after="120" w:line="256" w:lineRule="auto"/>
        <w:jc w:val="both"/>
        <w:rPr>
          <w:rFonts w:ascii="Verdana" w:hAnsi="Verdana"/>
        </w:rPr>
      </w:pPr>
      <w:r w:rsidRPr="002B2758">
        <w:rPr>
          <w:rFonts w:ascii="Verdana" w:hAnsi="Verdana"/>
        </w:rPr>
        <w:t>£</w:t>
      </w:r>
      <w:r w:rsidR="00617233" w:rsidRPr="002B2758">
        <w:rPr>
          <w:rFonts w:ascii="Verdana" w:hAnsi="Verdana"/>
        </w:rPr>
        <w:t>2.</w:t>
      </w:r>
      <w:r w:rsidR="005D33F8" w:rsidRPr="002B2758">
        <w:rPr>
          <w:rFonts w:ascii="Verdana" w:hAnsi="Verdana"/>
        </w:rPr>
        <w:t>077</w:t>
      </w:r>
      <w:r w:rsidRPr="002B2758">
        <w:rPr>
          <w:rFonts w:ascii="Verdana" w:hAnsi="Verdana"/>
        </w:rPr>
        <w:t xml:space="preserve">m has been met from within Public Health Wales budgets </w:t>
      </w:r>
      <w:r w:rsidR="00140A18">
        <w:rPr>
          <w:rFonts w:ascii="Verdana" w:hAnsi="Verdana"/>
        </w:rPr>
        <w:t xml:space="preserve">to cover the following costs </w:t>
      </w:r>
      <w:r w:rsidRPr="002B2758">
        <w:rPr>
          <w:rFonts w:ascii="Verdana" w:hAnsi="Verdana"/>
        </w:rPr>
        <w:t>as follows:</w:t>
      </w:r>
    </w:p>
    <w:p w14:paraId="7B84D636" w14:textId="77777777" w:rsidR="00750FAB" w:rsidRPr="002B2758" w:rsidRDefault="00750FAB" w:rsidP="00750FAB">
      <w:pPr>
        <w:pStyle w:val="ListParagraph"/>
        <w:numPr>
          <w:ilvl w:val="1"/>
          <w:numId w:val="38"/>
        </w:numPr>
        <w:spacing w:before="120" w:after="120" w:line="256" w:lineRule="auto"/>
        <w:jc w:val="both"/>
        <w:rPr>
          <w:rFonts w:ascii="Verdana" w:hAnsi="Verdana"/>
        </w:rPr>
      </w:pPr>
      <w:r w:rsidRPr="002B2758">
        <w:rPr>
          <w:rFonts w:ascii="Verdana" w:hAnsi="Verdana"/>
        </w:rPr>
        <w:t>£</w:t>
      </w:r>
      <w:r w:rsidR="00617233" w:rsidRPr="002B2758">
        <w:rPr>
          <w:rFonts w:ascii="Verdana" w:hAnsi="Verdana"/>
        </w:rPr>
        <w:t>857</w:t>
      </w:r>
      <w:r w:rsidRPr="002B2758">
        <w:rPr>
          <w:rFonts w:ascii="Verdana" w:hAnsi="Verdana"/>
        </w:rPr>
        <w:t>k from pay underspends</w:t>
      </w:r>
      <w:r w:rsidR="00204E18">
        <w:rPr>
          <w:rFonts w:ascii="Verdana" w:hAnsi="Verdana"/>
        </w:rPr>
        <w:t>;</w:t>
      </w:r>
    </w:p>
    <w:p w14:paraId="321AC81C" w14:textId="77777777" w:rsidR="00750FAB" w:rsidRPr="002B2758" w:rsidRDefault="00750FAB" w:rsidP="00750FAB">
      <w:pPr>
        <w:pStyle w:val="ListParagraph"/>
        <w:numPr>
          <w:ilvl w:val="1"/>
          <w:numId w:val="38"/>
        </w:numPr>
        <w:spacing w:before="120" w:after="120" w:line="256" w:lineRule="auto"/>
        <w:jc w:val="both"/>
        <w:rPr>
          <w:rFonts w:ascii="Verdana" w:hAnsi="Verdana"/>
        </w:rPr>
      </w:pPr>
      <w:r w:rsidRPr="002B2758">
        <w:rPr>
          <w:rFonts w:ascii="Verdana" w:hAnsi="Verdana"/>
        </w:rPr>
        <w:t>£</w:t>
      </w:r>
      <w:r w:rsidR="00FB51D5" w:rsidRPr="002B2758">
        <w:rPr>
          <w:rFonts w:ascii="Verdana" w:hAnsi="Verdana"/>
        </w:rPr>
        <w:t>1.</w:t>
      </w:r>
      <w:r w:rsidR="00617233" w:rsidRPr="002B2758">
        <w:rPr>
          <w:rFonts w:ascii="Verdana" w:hAnsi="Verdana"/>
        </w:rPr>
        <w:t>136</w:t>
      </w:r>
      <w:r w:rsidR="00FB51D5" w:rsidRPr="002B2758">
        <w:rPr>
          <w:rFonts w:ascii="Verdana" w:hAnsi="Verdana"/>
        </w:rPr>
        <w:t>m</w:t>
      </w:r>
      <w:r w:rsidRPr="002B2758">
        <w:rPr>
          <w:rFonts w:ascii="Verdana" w:hAnsi="Verdana"/>
        </w:rPr>
        <w:t xml:space="preserve"> from non-pay reductions in spend and internal investment slippage</w:t>
      </w:r>
      <w:r w:rsidR="00140A18">
        <w:rPr>
          <w:rFonts w:ascii="Verdana" w:hAnsi="Verdana"/>
        </w:rPr>
        <w:t>, and</w:t>
      </w:r>
      <w:r w:rsidRPr="002B2758">
        <w:rPr>
          <w:rFonts w:ascii="Verdana" w:hAnsi="Verdana"/>
        </w:rPr>
        <w:t xml:space="preserve"> </w:t>
      </w:r>
    </w:p>
    <w:p w14:paraId="487BA2A1" w14:textId="6EAAB854" w:rsidR="005D33F8" w:rsidRPr="002B2758" w:rsidRDefault="00750FAB" w:rsidP="00750FAB">
      <w:pPr>
        <w:pStyle w:val="ListParagraph"/>
        <w:numPr>
          <w:ilvl w:val="1"/>
          <w:numId w:val="38"/>
        </w:numPr>
        <w:spacing w:before="120" w:after="120" w:line="256" w:lineRule="auto"/>
        <w:jc w:val="both"/>
        <w:rPr>
          <w:rFonts w:ascii="Verdana" w:hAnsi="Verdana"/>
        </w:rPr>
      </w:pPr>
      <w:r w:rsidRPr="002B2758">
        <w:rPr>
          <w:rFonts w:ascii="Verdana" w:hAnsi="Verdana"/>
        </w:rPr>
        <w:t>£</w:t>
      </w:r>
      <w:r w:rsidR="00FB51D5" w:rsidRPr="002B2758">
        <w:rPr>
          <w:rFonts w:ascii="Verdana" w:hAnsi="Verdana"/>
        </w:rPr>
        <w:t>1</w:t>
      </w:r>
      <w:r w:rsidR="005D33F8" w:rsidRPr="002B2758">
        <w:rPr>
          <w:rFonts w:ascii="Verdana" w:hAnsi="Verdana"/>
        </w:rPr>
        <w:t>93</w:t>
      </w:r>
      <w:r w:rsidR="00B86BFA">
        <w:rPr>
          <w:rFonts w:ascii="Verdana" w:hAnsi="Verdana"/>
        </w:rPr>
        <w:t xml:space="preserve">k </w:t>
      </w:r>
      <w:r w:rsidRPr="002B2758">
        <w:rPr>
          <w:rFonts w:ascii="Verdana" w:hAnsi="Verdana"/>
        </w:rPr>
        <w:t>from the re-purposing of the investment funding from the National Health Protection Service</w:t>
      </w:r>
      <w:r w:rsidR="00140A18">
        <w:rPr>
          <w:rFonts w:ascii="Verdana" w:hAnsi="Verdana"/>
        </w:rPr>
        <w:t>.</w:t>
      </w:r>
    </w:p>
    <w:p w14:paraId="4A1AC6C4" w14:textId="77777777" w:rsidR="00750FAB" w:rsidRPr="00E815F3" w:rsidRDefault="00750FAB" w:rsidP="00750FAB">
      <w:pPr>
        <w:pStyle w:val="ListParagraph"/>
        <w:numPr>
          <w:ilvl w:val="0"/>
          <w:numId w:val="38"/>
        </w:numPr>
        <w:spacing w:before="120" w:after="120" w:line="256" w:lineRule="auto"/>
        <w:jc w:val="both"/>
        <w:rPr>
          <w:rFonts w:ascii="Verdana" w:hAnsi="Verdana"/>
        </w:rPr>
      </w:pPr>
      <w:r w:rsidRPr="00E815F3">
        <w:rPr>
          <w:rFonts w:ascii="Verdana" w:hAnsi="Verdana"/>
        </w:rPr>
        <w:t>£</w:t>
      </w:r>
      <w:r w:rsidR="005D33F8" w:rsidRPr="00E815F3">
        <w:rPr>
          <w:rFonts w:ascii="Verdana" w:hAnsi="Verdana"/>
        </w:rPr>
        <w:t>495</w:t>
      </w:r>
      <w:r w:rsidRPr="00E815F3">
        <w:rPr>
          <w:rFonts w:ascii="Verdana" w:hAnsi="Verdana"/>
        </w:rPr>
        <w:t>k has been met from external funding in respect of Genomics sequencing tests</w:t>
      </w:r>
      <w:r w:rsidR="00237D70" w:rsidRPr="00E815F3">
        <w:rPr>
          <w:rFonts w:ascii="Verdana" w:hAnsi="Verdana"/>
        </w:rPr>
        <w:t xml:space="preserve"> and platform validation</w:t>
      </w:r>
      <w:r w:rsidRPr="00E815F3">
        <w:rPr>
          <w:rFonts w:ascii="Verdana" w:hAnsi="Verdana"/>
        </w:rPr>
        <w:t xml:space="preserve">, with </w:t>
      </w:r>
    </w:p>
    <w:p w14:paraId="0048239A" w14:textId="77777777" w:rsidR="00140A18" w:rsidRDefault="00750FAB" w:rsidP="00140A18">
      <w:pPr>
        <w:pStyle w:val="ListParagraph"/>
        <w:numPr>
          <w:ilvl w:val="0"/>
          <w:numId w:val="38"/>
        </w:numPr>
        <w:spacing w:before="120" w:after="120" w:line="256" w:lineRule="auto"/>
        <w:jc w:val="both"/>
        <w:rPr>
          <w:rFonts w:ascii="Verdana" w:hAnsi="Verdana"/>
        </w:rPr>
      </w:pPr>
      <w:r w:rsidRPr="00E815F3">
        <w:rPr>
          <w:rFonts w:ascii="Verdana" w:hAnsi="Verdana"/>
        </w:rPr>
        <w:t>£</w:t>
      </w:r>
      <w:r w:rsidR="00092926" w:rsidRPr="00E815F3">
        <w:rPr>
          <w:rFonts w:ascii="Verdana" w:hAnsi="Verdana"/>
        </w:rPr>
        <w:t>2</w:t>
      </w:r>
      <w:r w:rsidR="005D33F8" w:rsidRPr="00E815F3">
        <w:rPr>
          <w:rFonts w:ascii="Verdana" w:hAnsi="Verdana"/>
        </w:rPr>
        <w:t>6.334</w:t>
      </w:r>
      <w:r w:rsidRPr="00E815F3">
        <w:rPr>
          <w:rFonts w:ascii="Verdana" w:hAnsi="Verdana"/>
        </w:rPr>
        <w:t>m of additional funding fro</w:t>
      </w:r>
      <w:r w:rsidR="00237D70" w:rsidRPr="00E815F3">
        <w:rPr>
          <w:rFonts w:ascii="Verdana" w:hAnsi="Verdana"/>
        </w:rPr>
        <w:t>m Welsh Government covering</w:t>
      </w:r>
      <w:r w:rsidR="00140A18">
        <w:rPr>
          <w:rFonts w:ascii="Verdana" w:hAnsi="Verdana"/>
        </w:rPr>
        <w:t>:</w:t>
      </w:r>
    </w:p>
    <w:p w14:paraId="6A8A689D" w14:textId="77777777" w:rsidR="00140A18" w:rsidRDefault="00140A18" w:rsidP="00291A04">
      <w:pPr>
        <w:pStyle w:val="ListParagraph"/>
        <w:numPr>
          <w:ilvl w:val="1"/>
          <w:numId w:val="38"/>
        </w:numPr>
        <w:spacing w:before="120" w:after="120" w:line="256" w:lineRule="auto"/>
        <w:jc w:val="both"/>
        <w:rPr>
          <w:rFonts w:ascii="Verdana" w:hAnsi="Verdana"/>
        </w:rPr>
      </w:pPr>
      <w:r>
        <w:rPr>
          <w:rFonts w:ascii="Verdana" w:hAnsi="Verdana"/>
        </w:rPr>
        <w:t>P</w:t>
      </w:r>
      <w:r w:rsidR="00237D70" w:rsidRPr="00291A04">
        <w:rPr>
          <w:rFonts w:ascii="Verdana" w:hAnsi="Verdana"/>
        </w:rPr>
        <w:t>ay</w:t>
      </w:r>
      <w:r w:rsidR="00D93D22" w:rsidRPr="00291A04">
        <w:rPr>
          <w:rFonts w:ascii="Verdana" w:hAnsi="Verdana"/>
        </w:rPr>
        <w:t xml:space="preserve"> (</w:t>
      </w:r>
      <w:r w:rsidR="00E815F3" w:rsidRPr="00291A04">
        <w:rPr>
          <w:rFonts w:ascii="Verdana" w:hAnsi="Verdana"/>
        </w:rPr>
        <w:t>Q</w:t>
      </w:r>
      <w:r w:rsidR="00204E18" w:rsidRPr="00291A04">
        <w:rPr>
          <w:rFonts w:ascii="Verdana" w:hAnsi="Verdana"/>
        </w:rPr>
        <w:t xml:space="preserve">uarters </w:t>
      </w:r>
      <w:r w:rsidR="00D93D22" w:rsidRPr="00291A04">
        <w:rPr>
          <w:rFonts w:ascii="Verdana" w:hAnsi="Verdana"/>
        </w:rPr>
        <w:t>1</w:t>
      </w:r>
      <w:r w:rsidR="00204E18" w:rsidRPr="00291A04">
        <w:rPr>
          <w:rFonts w:ascii="Verdana" w:hAnsi="Verdana"/>
        </w:rPr>
        <w:t xml:space="preserve"> </w:t>
      </w:r>
      <w:r w:rsidR="00D93D22" w:rsidRPr="00291A04">
        <w:rPr>
          <w:rFonts w:ascii="Verdana" w:hAnsi="Verdana"/>
        </w:rPr>
        <w:t>&amp;</w:t>
      </w:r>
      <w:r w:rsidR="00204E18" w:rsidRPr="00291A04">
        <w:rPr>
          <w:rFonts w:ascii="Verdana" w:hAnsi="Verdana"/>
        </w:rPr>
        <w:t xml:space="preserve"> </w:t>
      </w:r>
      <w:r w:rsidR="00D93D22" w:rsidRPr="00291A04">
        <w:rPr>
          <w:rFonts w:ascii="Verdana" w:hAnsi="Verdana"/>
        </w:rPr>
        <w:t>2)</w:t>
      </w:r>
      <w:r w:rsidR="00237D70" w:rsidRPr="00291A04">
        <w:rPr>
          <w:rFonts w:ascii="Verdana" w:hAnsi="Verdana"/>
        </w:rPr>
        <w:t xml:space="preserve"> </w:t>
      </w:r>
      <w:r w:rsidR="00750FAB" w:rsidRPr="00291A04">
        <w:rPr>
          <w:rFonts w:ascii="Verdana" w:hAnsi="Verdana"/>
        </w:rPr>
        <w:t>£</w:t>
      </w:r>
      <w:r w:rsidR="00237D70" w:rsidRPr="00291A04">
        <w:rPr>
          <w:rFonts w:ascii="Verdana" w:hAnsi="Verdana"/>
        </w:rPr>
        <w:t>2</w:t>
      </w:r>
      <w:r w:rsidR="00750FAB" w:rsidRPr="00291A04">
        <w:rPr>
          <w:rFonts w:ascii="Verdana" w:hAnsi="Verdana"/>
        </w:rPr>
        <w:t>.</w:t>
      </w:r>
      <w:r w:rsidR="00237D70" w:rsidRPr="00291A04">
        <w:rPr>
          <w:rFonts w:ascii="Verdana" w:hAnsi="Verdana"/>
        </w:rPr>
        <w:t>330</w:t>
      </w:r>
      <w:r w:rsidR="00750FAB" w:rsidRPr="00291A04">
        <w:rPr>
          <w:rFonts w:ascii="Verdana" w:hAnsi="Verdana"/>
        </w:rPr>
        <w:t>m</w:t>
      </w:r>
      <w:r>
        <w:rPr>
          <w:rFonts w:ascii="Verdana" w:hAnsi="Verdana"/>
        </w:rPr>
        <w:t>;</w:t>
      </w:r>
      <w:r w:rsidR="00237D70" w:rsidRPr="00291A04">
        <w:rPr>
          <w:rFonts w:ascii="Verdana" w:hAnsi="Verdana"/>
        </w:rPr>
        <w:t xml:space="preserve"> </w:t>
      </w:r>
    </w:p>
    <w:p w14:paraId="5ADC4C8A" w14:textId="77777777" w:rsidR="00140A18" w:rsidRDefault="00140A18" w:rsidP="00291A04">
      <w:pPr>
        <w:pStyle w:val="ListParagraph"/>
        <w:numPr>
          <w:ilvl w:val="1"/>
          <w:numId w:val="38"/>
        </w:numPr>
        <w:spacing w:before="120" w:after="120" w:line="256" w:lineRule="auto"/>
        <w:jc w:val="both"/>
        <w:rPr>
          <w:rFonts w:ascii="Verdana" w:hAnsi="Verdana"/>
        </w:rPr>
      </w:pPr>
      <w:r>
        <w:rPr>
          <w:rFonts w:ascii="Verdana" w:hAnsi="Verdana"/>
        </w:rPr>
        <w:t>T</w:t>
      </w:r>
      <w:r w:rsidR="00237D70" w:rsidRPr="00291A04">
        <w:rPr>
          <w:rFonts w:ascii="Verdana" w:hAnsi="Verdana"/>
        </w:rPr>
        <w:t>esting</w:t>
      </w:r>
      <w:r w:rsidR="00D93D22" w:rsidRPr="00291A04">
        <w:rPr>
          <w:rFonts w:ascii="Verdana" w:hAnsi="Verdana"/>
        </w:rPr>
        <w:t xml:space="preserve"> strategy </w:t>
      </w:r>
      <w:r w:rsidR="00750FAB" w:rsidRPr="00291A04">
        <w:rPr>
          <w:rFonts w:ascii="Verdana" w:hAnsi="Verdana"/>
        </w:rPr>
        <w:t>£</w:t>
      </w:r>
      <w:r w:rsidR="005D33F8" w:rsidRPr="00291A04">
        <w:rPr>
          <w:rFonts w:ascii="Verdana" w:hAnsi="Verdana"/>
        </w:rPr>
        <w:t>21.637</w:t>
      </w:r>
      <w:r w:rsidR="00750FAB" w:rsidRPr="00291A04">
        <w:rPr>
          <w:rFonts w:ascii="Verdana" w:hAnsi="Verdana"/>
        </w:rPr>
        <w:t>m</w:t>
      </w:r>
      <w:r>
        <w:rPr>
          <w:rFonts w:ascii="Verdana" w:hAnsi="Verdana"/>
        </w:rPr>
        <w:t>;</w:t>
      </w:r>
      <w:r w:rsidR="00237D70" w:rsidRPr="00291A04">
        <w:rPr>
          <w:rFonts w:ascii="Verdana" w:hAnsi="Verdana"/>
        </w:rPr>
        <w:t xml:space="preserve"> </w:t>
      </w:r>
    </w:p>
    <w:p w14:paraId="50713BE0" w14:textId="77777777" w:rsidR="00140A18" w:rsidRDefault="00237D70" w:rsidP="00291A04">
      <w:pPr>
        <w:pStyle w:val="ListParagraph"/>
        <w:numPr>
          <w:ilvl w:val="1"/>
          <w:numId w:val="38"/>
        </w:numPr>
        <w:spacing w:before="120" w:after="120" w:line="256" w:lineRule="auto"/>
        <w:jc w:val="both"/>
        <w:rPr>
          <w:rFonts w:ascii="Verdana" w:hAnsi="Verdana"/>
        </w:rPr>
      </w:pPr>
      <w:r w:rsidRPr="00291A04">
        <w:rPr>
          <w:rFonts w:ascii="Verdana" w:hAnsi="Verdana"/>
        </w:rPr>
        <w:t>Genomics seq</w:t>
      </w:r>
      <w:r w:rsidR="00C14AA2" w:rsidRPr="00291A04">
        <w:rPr>
          <w:rFonts w:ascii="Verdana" w:hAnsi="Verdana"/>
        </w:rPr>
        <w:t>uencing £</w:t>
      </w:r>
      <w:r w:rsidR="005D33F8" w:rsidRPr="00291A04">
        <w:rPr>
          <w:rFonts w:ascii="Verdana" w:hAnsi="Verdana"/>
        </w:rPr>
        <w:t>1.127</w:t>
      </w:r>
      <w:r w:rsidR="00C14AA2" w:rsidRPr="00291A04">
        <w:rPr>
          <w:rFonts w:ascii="Verdana" w:hAnsi="Verdana"/>
        </w:rPr>
        <w:t>m</w:t>
      </w:r>
      <w:r w:rsidR="00140A18">
        <w:rPr>
          <w:rFonts w:ascii="Verdana" w:hAnsi="Verdana"/>
        </w:rPr>
        <w:t>;</w:t>
      </w:r>
    </w:p>
    <w:p w14:paraId="2312CFE0" w14:textId="7F1FE164" w:rsidR="00140A18" w:rsidRDefault="00C14AA2" w:rsidP="00291A04">
      <w:pPr>
        <w:pStyle w:val="ListParagraph"/>
        <w:numPr>
          <w:ilvl w:val="1"/>
          <w:numId w:val="38"/>
        </w:numPr>
        <w:spacing w:before="120" w:after="120" w:line="256" w:lineRule="auto"/>
        <w:jc w:val="both"/>
        <w:rPr>
          <w:rFonts w:ascii="Verdana" w:hAnsi="Verdana"/>
        </w:rPr>
      </w:pPr>
      <w:r w:rsidRPr="00291A04">
        <w:rPr>
          <w:rFonts w:ascii="Verdana" w:hAnsi="Verdana"/>
        </w:rPr>
        <w:t xml:space="preserve">IP5 </w:t>
      </w:r>
      <w:r w:rsidR="00337323" w:rsidRPr="00291A04">
        <w:rPr>
          <w:rFonts w:ascii="Verdana" w:hAnsi="Verdana"/>
        </w:rPr>
        <w:t>Laboratory</w:t>
      </w:r>
      <w:r w:rsidR="00E55BFA" w:rsidRPr="00291A04">
        <w:rPr>
          <w:rFonts w:ascii="Verdana" w:hAnsi="Verdana"/>
        </w:rPr>
        <w:t xml:space="preserve"> </w:t>
      </w:r>
      <w:r w:rsidR="00140A18" w:rsidRPr="00291A04">
        <w:rPr>
          <w:rFonts w:ascii="Verdana" w:hAnsi="Verdana"/>
        </w:rPr>
        <w:t>Pay</w:t>
      </w:r>
      <w:r w:rsidR="00337323" w:rsidRPr="00291A04">
        <w:rPr>
          <w:rFonts w:ascii="Verdana" w:hAnsi="Verdana"/>
        </w:rPr>
        <w:t xml:space="preserve"> </w:t>
      </w:r>
      <w:r w:rsidRPr="00291A04">
        <w:rPr>
          <w:rFonts w:ascii="Verdana" w:hAnsi="Verdana"/>
        </w:rPr>
        <w:t>£0.</w:t>
      </w:r>
      <w:r w:rsidR="005D33F8" w:rsidRPr="00291A04">
        <w:rPr>
          <w:rFonts w:ascii="Verdana" w:hAnsi="Verdana"/>
        </w:rPr>
        <w:t>310</w:t>
      </w:r>
      <w:r w:rsidRPr="00291A04">
        <w:rPr>
          <w:rFonts w:ascii="Verdana" w:hAnsi="Verdana"/>
        </w:rPr>
        <w:t>m</w:t>
      </w:r>
      <w:r w:rsidR="00140A18">
        <w:rPr>
          <w:rFonts w:ascii="Verdana" w:hAnsi="Verdana"/>
        </w:rPr>
        <w:t>;</w:t>
      </w:r>
      <w:r w:rsidR="00237D70" w:rsidRPr="00291A04">
        <w:rPr>
          <w:rFonts w:ascii="Verdana" w:hAnsi="Verdana"/>
        </w:rPr>
        <w:t xml:space="preserve"> </w:t>
      </w:r>
    </w:p>
    <w:p w14:paraId="23BD9380" w14:textId="77777777" w:rsidR="00140A18" w:rsidRDefault="00337323" w:rsidP="00291A04">
      <w:pPr>
        <w:pStyle w:val="ListParagraph"/>
        <w:numPr>
          <w:ilvl w:val="1"/>
          <w:numId w:val="38"/>
        </w:numPr>
        <w:spacing w:before="120" w:after="120" w:line="256" w:lineRule="auto"/>
        <w:jc w:val="both"/>
        <w:rPr>
          <w:rFonts w:ascii="Verdana" w:hAnsi="Verdana"/>
        </w:rPr>
      </w:pPr>
      <w:r w:rsidRPr="00291A04">
        <w:rPr>
          <w:rFonts w:ascii="Verdana" w:hAnsi="Verdana"/>
        </w:rPr>
        <w:t xml:space="preserve">Hot Laboratory, </w:t>
      </w:r>
      <w:r w:rsidR="00FB51D5" w:rsidRPr="00291A04">
        <w:rPr>
          <w:rFonts w:ascii="Verdana" w:hAnsi="Verdana"/>
        </w:rPr>
        <w:t xml:space="preserve">Resilience </w:t>
      </w:r>
      <w:r w:rsidRPr="00291A04">
        <w:rPr>
          <w:rFonts w:ascii="Verdana" w:hAnsi="Verdana"/>
        </w:rPr>
        <w:t>and improved turnaround times</w:t>
      </w:r>
      <w:r w:rsidR="00E55BFA" w:rsidRPr="00291A04">
        <w:rPr>
          <w:rFonts w:ascii="Verdana" w:hAnsi="Verdana"/>
        </w:rPr>
        <w:t xml:space="preserve"> </w:t>
      </w:r>
      <w:r w:rsidR="00140A18" w:rsidRPr="00291A04">
        <w:rPr>
          <w:rFonts w:ascii="Verdana" w:hAnsi="Verdana"/>
        </w:rPr>
        <w:t>Pay</w:t>
      </w:r>
      <w:r w:rsidR="00FB51D5" w:rsidRPr="00291A04">
        <w:rPr>
          <w:rFonts w:ascii="Verdana" w:hAnsi="Verdana"/>
        </w:rPr>
        <w:t xml:space="preserve"> £0.</w:t>
      </w:r>
      <w:r w:rsidR="005D33F8" w:rsidRPr="00291A04">
        <w:rPr>
          <w:rFonts w:ascii="Verdana" w:hAnsi="Verdana"/>
        </w:rPr>
        <w:t>358</w:t>
      </w:r>
      <w:r w:rsidR="00FB51D5" w:rsidRPr="00291A04">
        <w:rPr>
          <w:rFonts w:ascii="Verdana" w:hAnsi="Verdana"/>
        </w:rPr>
        <w:t>m</w:t>
      </w:r>
      <w:r w:rsidR="00140A18">
        <w:rPr>
          <w:rFonts w:ascii="Verdana" w:hAnsi="Verdana"/>
        </w:rPr>
        <w:t>;</w:t>
      </w:r>
      <w:r w:rsidR="00FB51D5" w:rsidRPr="00291A04">
        <w:rPr>
          <w:rFonts w:ascii="Verdana" w:hAnsi="Verdana"/>
        </w:rPr>
        <w:t xml:space="preserve"> </w:t>
      </w:r>
    </w:p>
    <w:p w14:paraId="3AD06826" w14:textId="0516B2B7" w:rsidR="00140A18" w:rsidRDefault="005D33F8" w:rsidP="00291A04">
      <w:pPr>
        <w:pStyle w:val="ListParagraph"/>
        <w:numPr>
          <w:ilvl w:val="1"/>
          <w:numId w:val="38"/>
        </w:numPr>
        <w:spacing w:before="120" w:after="120" w:line="256" w:lineRule="auto"/>
        <w:jc w:val="both"/>
        <w:rPr>
          <w:rFonts w:ascii="Verdana" w:hAnsi="Verdana"/>
        </w:rPr>
      </w:pPr>
      <w:r w:rsidRPr="00291A04">
        <w:rPr>
          <w:rFonts w:ascii="Verdana" w:hAnsi="Verdana"/>
        </w:rPr>
        <w:t xml:space="preserve">Flu </w:t>
      </w:r>
      <w:r w:rsidR="00204E18" w:rsidRPr="00291A04">
        <w:rPr>
          <w:rFonts w:ascii="Verdana" w:hAnsi="Verdana"/>
        </w:rPr>
        <w:t>Programme</w:t>
      </w:r>
      <w:r w:rsidRPr="00291A04">
        <w:rPr>
          <w:rFonts w:ascii="Verdana" w:hAnsi="Verdana"/>
        </w:rPr>
        <w:t xml:space="preserve"> £0.083m</w:t>
      </w:r>
      <w:r w:rsidR="00140A18">
        <w:rPr>
          <w:rFonts w:ascii="Verdana" w:hAnsi="Verdana"/>
        </w:rPr>
        <w:t>;</w:t>
      </w:r>
    </w:p>
    <w:p w14:paraId="68383AB1" w14:textId="77777777" w:rsidR="00140A18" w:rsidRDefault="00FB51D5" w:rsidP="00291A04">
      <w:pPr>
        <w:pStyle w:val="ListParagraph"/>
        <w:numPr>
          <w:ilvl w:val="1"/>
          <w:numId w:val="38"/>
        </w:numPr>
        <w:spacing w:before="120" w:after="120" w:line="256" w:lineRule="auto"/>
        <w:jc w:val="both"/>
        <w:rPr>
          <w:rFonts w:ascii="Verdana" w:hAnsi="Verdana"/>
        </w:rPr>
      </w:pPr>
      <w:r w:rsidRPr="00291A04">
        <w:rPr>
          <w:rFonts w:ascii="Verdana" w:hAnsi="Verdana"/>
        </w:rPr>
        <w:lastRenderedPageBreak/>
        <w:t>£0.3</w:t>
      </w:r>
      <w:r w:rsidR="005D33F8" w:rsidRPr="00291A04">
        <w:rPr>
          <w:rFonts w:ascii="Verdana" w:hAnsi="Verdana"/>
        </w:rPr>
        <w:t>65</w:t>
      </w:r>
      <w:r w:rsidRPr="00291A04">
        <w:rPr>
          <w:rFonts w:ascii="Verdana" w:hAnsi="Verdana"/>
        </w:rPr>
        <w:t xml:space="preserve">m Online Testing for STIs, </w:t>
      </w:r>
      <w:r w:rsidR="00140A18">
        <w:rPr>
          <w:rFonts w:ascii="Verdana" w:hAnsi="Verdana"/>
        </w:rPr>
        <w:t>and</w:t>
      </w:r>
    </w:p>
    <w:p w14:paraId="50307DAE" w14:textId="77777777" w:rsidR="00750FAB" w:rsidRDefault="00237D70" w:rsidP="00291A04">
      <w:pPr>
        <w:pStyle w:val="ListParagraph"/>
        <w:numPr>
          <w:ilvl w:val="1"/>
          <w:numId w:val="38"/>
        </w:numPr>
        <w:spacing w:before="120" w:after="120" w:line="256" w:lineRule="auto"/>
        <w:jc w:val="both"/>
        <w:rPr>
          <w:rFonts w:ascii="Verdana" w:hAnsi="Verdana"/>
        </w:rPr>
      </w:pPr>
      <w:r w:rsidRPr="00291A04">
        <w:rPr>
          <w:rFonts w:ascii="Verdana" w:hAnsi="Verdana"/>
        </w:rPr>
        <w:t>I</w:t>
      </w:r>
      <w:r w:rsidR="00204E18" w:rsidRPr="00291A04">
        <w:rPr>
          <w:rFonts w:ascii="Verdana" w:hAnsi="Verdana"/>
        </w:rPr>
        <w:t xml:space="preserve">nstitute of Clinical Science and Technology </w:t>
      </w:r>
      <w:r w:rsidRPr="00291A04">
        <w:rPr>
          <w:rFonts w:ascii="Verdana" w:hAnsi="Verdana"/>
        </w:rPr>
        <w:t>PPE guidance £0.</w:t>
      </w:r>
      <w:r w:rsidR="005D33F8" w:rsidRPr="00291A04">
        <w:rPr>
          <w:rFonts w:ascii="Verdana" w:hAnsi="Verdana"/>
        </w:rPr>
        <w:t>124</w:t>
      </w:r>
      <w:r w:rsidRPr="00291A04">
        <w:rPr>
          <w:rFonts w:ascii="Verdana" w:hAnsi="Verdana"/>
        </w:rPr>
        <w:t>m</w:t>
      </w:r>
      <w:r w:rsidR="005D33F8" w:rsidRPr="00291A04">
        <w:rPr>
          <w:rFonts w:ascii="Verdana" w:hAnsi="Verdana"/>
        </w:rPr>
        <w:t>.</w:t>
      </w:r>
    </w:p>
    <w:p w14:paraId="6F524CD5" w14:textId="77777777" w:rsidR="00291A04" w:rsidRPr="00291A04" w:rsidRDefault="00291A04" w:rsidP="00F0615E">
      <w:pPr>
        <w:pStyle w:val="ListParagraph"/>
        <w:spacing w:before="120" w:after="120" w:line="256" w:lineRule="auto"/>
        <w:ind w:left="1530"/>
        <w:jc w:val="both"/>
        <w:rPr>
          <w:rFonts w:ascii="Verdana" w:hAnsi="Verdana"/>
        </w:rPr>
      </w:pPr>
    </w:p>
    <w:p w14:paraId="435A724D" w14:textId="77777777" w:rsidR="00B73677" w:rsidRPr="003050AA" w:rsidRDefault="00B73677" w:rsidP="00B73677">
      <w:pPr>
        <w:pStyle w:val="ListParagraph"/>
        <w:numPr>
          <w:ilvl w:val="0"/>
          <w:numId w:val="10"/>
        </w:numPr>
        <w:jc w:val="both"/>
        <w:rPr>
          <w:rFonts w:ascii="Verdana" w:eastAsia="Times New Roman" w:hAnsi="Verdana"/>
          <w:b/>
          <w:u w:val="single"/>
        </w:rPr>
      </w:pPr>
      <w:r w:rsidRPr="003050AA">
        <w:rPr>
          <w:rFonts w:ascii="Verdana" w:eastAsia="Times New Roman" w:hAnsi="Verdana"/>
          <w:b/>
          <w:u w:val="single"/>
        </w:rPr>
        <w:t xml:space="preserve">Overview of </w:t>
      </w:r>
      <w:r w:rsidR="003050AA" w:rsidRPr="003050AA">
        <w:rPr>
          <w:rFonts w:ascii="Verdana" w:eastAsia="Times New Roman" w:hAnsi="Verdana"/>
          <w:b/>
          <w:u w:val="single"/>
        </w:rPr>
        <w:t>Financial Performance at Month 9</w:t>
      </w:r>
    </w:p>
    <w:p w14:paraId="7FDFD59A" w14:textId="77777777" w:rsidR="00AA223C" w:rsidRPr="003050AA" w:rsidRDefault="00AA223C" w:rsidP="00AA223C">
      <w:pPr>
        <w:jc w:val="both"/>
        <w:rPr>
          <w:rFonts w:ascii="Verdana" w:eastAsia="Times New Roman" w:hAnsi="Verdana"/>
          <w:b/>
          <w:u w:val="single"/>
        </w:rPr>
      </w:pPr>
    </w:p>
    <w:p w14:paraId="491268C9" w14:textId="77777777" w:rsidR="002D34FE" w:rsidRPr="003050AA" w:rsidRDefault="002D34FE" w:rsidP="002D34FE">
      <w:pPr>
        <w:pStyle w:val="ListParagraph"/>
        <w:numPr>
          <w:ilvl w:val="1"/>
          <w:numId w:val="10"/>
        </w:numPr>
        <w:jc w:val="both"/>
        <w:rPr>
          <w:rFonts w:ascii="Verdana" w:eastAsia="Times New Roman" w:hAnsi="Verdana"/>
          <w:b/>
        </w:rPr>
      </w:pPr>
      <w:r w:rsidRPr="003050AA">
        <w:rPr>
          <w:rFonts w:ascii="Verdana" w:eastAsia="Times New Roman" w:hAnsi="Verdana"/>
          <w:b/>
        </w:rPr>
        <w:t>Financial Performance by Directorate</w:t>
      </w:r>
    </w:p>
    <w:p w14:paraId="624AB9F7" w14:textId="77777777" w:rsidR="002D34FE" w:rsidRPr="005F3065" w:rsidRDefault="002D34FE" w:rsidP="002D34FE">
      <w:pPr>
        <w:jc w:val="both"/>
        <w:rPr>
          <w:rFonts w:ascii="Verdana" w:eastAsia="Times New Roman" w:hAnsi="Verdana"/>
          <w:highlight w:val="magenta"/>
        </w:rPr>
      </w:pPr>
    </w:p>
    <w:p w14:paraId="67CD157D" w14:textId="77777777" w:rsidR="00C54F63" w:rsidRPr="003050AA" w:rsidRDefault="00AA223C" w:rsidP="002D34FE">
      <w:pPr>
        <w:jc w:val="both"/>
        <w:rPr>
          <w:rFonts w:ascii="Verdana" w:eastAsia="Times New Roman" w:hAnsi="Verdana"/>
          <w:sz w:val="24"/>
          <w:szCs w:val="24"/>
        </w:rPr>
      </w:pPr>
      <w:r w:rsidRPr="003050AA">
        <w:rPr>
          <w:rFonts w:ascii="Verdana" w:eastAsia="Times New Roman" w:hAnsi="Verdana"/>
          <w:sz w:val="24"/>
          <w:szCs w:val="24"/>
        </w:rPr>
        <w:t xml:space="preserve">Table </w:t>
      </w:r>
      <w:proofErr w:type="gramStart"/>
      <w:r w:rsidRPr="003050AA">
        <w:rPr>
          <w:rFonts w:ascii="Verdana" w:eastAsia="Times New Roman" w:hAnsi="Verdana"/>
          <w:sz w:val="24"/>
          <w:szCs w:val="24"/>
        </w:rPr>
        <w:t>A</w:t>
      </w:r>
      <w:proofErr w:type="gramEnd"/>
      <w:r w:rsidRPr="003050AA">
        <w:rPr>
          <w:rFonts w:ascii="Verdana" w:eastAsia="Times New Roman" w:hAnsi="Verdana"/>
          <w:sz w:val="24"/>
          <w:szCs w:val="24"/>
        </w:rPr>
        <w:t xml:space="preserve"> outlines the Financial Performance by Directorate</w:t>
      </w:r>
      <w:r w:rsidR="001C653D" w:rsidRPr="003050AA">
        <w:rPr>
          <w:rFonts w:ascii="Verdana" w:eastAsia="Times New Roman" w:hAnsi="Verdana"/>
          <w:sz w:val="24"/>
          <w:szCs w:val="24"/>
        </w:rPr>
        <w:t xml:space="preserve"> and the Covid-19 response</w:t>
      </w:r>
      <w:r w:rsidRPr="003050AA">
        <w:rPr>
          <w:rFonts w:ascii="Verdana" w:eastAsia="Times New Roman" w:hAnsi="Verdana"/>
          <w:sz w:val="24"/>
          <w:szCs w:val="24"/>
        </w:rPr>
        <w:t>.</w:t>
      </w:r>
    </w:p>
    <w:p w14:paraId="41BE57AB" w14:textId="77777777" w:rsidR="00E815F3" w:rsidRPr="005F3065" w:rsidRDefault="00B6467E" w:rsidP="003D446B">
      <w:pPr>
        <w:jc w:val="both"/>
        <w:rPr>
          <w:rFonts w:ascii="Verdana" w:hAnsi="Verdana"/>
          <w:sz w:val="24"/>
          <w:szCs w:val="24"/>
          <w:highlight w:val="magenta"/>
        </w:rPr>
      </w:pPr>
      <w:r w:rsidRPr="003050AA">
        <w:rPr>
          <w:rFonts w:ascii="Verdana" w:hAnsi="Verdana"/>
          <w:b/>
          <w:sz w:val="24"/>
          <w:szCs w:val="24"/>
        </w:rPr>
        <w:t xml:space="preserve">Table </w:t>
      </w:r>
      <w:proofErr w:type="gramStart"/>
      <w:r w:rsidRPr="003050AA">
        <w:rPr>
          <w:rFonts w:ascii="Verdana" w:hAnsi="Verdana"/>
          <w:b/>
          <w:sz w:val="24"/>
          <w:szCs w:val="24"/>
        </w:rPr>
        <w:t>A</w:t>
      </w:r>
      <w:proofErr w:type="gramEnd"/>
      <w:r w:rsidR="00FE66BE" w:rsidRPr="003050AA">
        <w:rPr>
          <w:rFonts w:ascii="Verdana" w:hAnsi="Verdana"/>
          <w:b/>
          <w:sz w:val="24"/>
          <w:szCs w:val="24"/>
        </w:rPr>
        <w:t xml:space="preserve"> – Overview of Financial Performance by Directorate</w:t>
      </w:r>
      <w:r w:rsidR="00C54F63" w:rsidRPr="003050AA">
        <w:rPr>
          <w:rFonts w:ascii="Verdana" w:hAnsi="Verdana"/>
          <w:b/>
          <w:sz w:val="24"/>
          <w:szCs w:val="24"/>
        </w:rPr>
        <w:t xml:space="preserve"> </w:t>
      </w:r>
    </w:p>
    <w:tbl>
      <w:tblPr>
        <w:tblW w:w="8700" w:type="dxa"/>
        <w:tblLook w:val="04A0" w:firstRow="1" w:lastRow="0" w:firstColumn="1" w:lastColumn="0" w:noHBand="0" w:noVBand="1"/>
      </w:tblPr>
      <w:tblGrid>
        <w:gridCol w:w="4860"/>
        <w:gridCol w:w="1017"/>
        <w:gridCol w:w="1017"/>
        <w:gridCol w:w="1017"/>
        <w:gridCol w:w="960"/>
      </w:tblGrid>
      <w:tr w:rsidR="00E815F3" w:rsidRPr="00E815F3" w14:paraId="40E11962" w14:textId="77777777" w:rsidTr="00E815F3">
        <w:trPr>
          <w:trHeight w:val="900"/>
        </w:trPr>
        <w:tc>
          <w:tcPr>
            <w:tcW w:w="4860" w:type="dxa"/>
            <w:tcBorders>
              <w:top w:val="single" w:sz="4" w:space="0" w:color="F2F2F2"/>
              <w:left w:val="single" w:sz="4" w:space="0" w:color="F2F2F2"/>
              <w:bottom w:val="nil"/>
              <w:right w:val="nil"/>
            </w:tcBorders>
            <w:shd w:val="clear" w:color="DDEBF7" w:fill="2F75B5"/>
            <w:hideMark/>
          </w:tcPr>
          <w:p w14:paraId="3E360D3E" w14:textId="77777777" w:rsidR="00E815F3" w:rsidRPr="00E815F3" w:rsidRDefault="00E815F3" w:rsidP="00E815F3">
            <w:pPr>
              <w:spacing w:after="0" w:line="240" w:lineRule="auto"/>
              <w:jc w:val="center"/>
              <w:rPr>
                <w:rFonts w:ascii="Calibri" w:eastAsia="Times New Roman" w:hAnsi="Calibri" w:cs="Calibri"/>
                <w:b/>
                <w:bCs/>
                <w:color w:val="FFFFFF"/>
                <w:lang w:eastAsia="en-GB"/>
              </w:rPr>
            </w:pPr>
            <w:r w:rsidRPr="00E815F3">
              <w:rPr>
                <w:rFonts w:ascii="Calibri" w:eastAsia="Times New Roman" w:hAnsi="Calibri" w:cs="Calibri"/>
                <w:b/>
                <w:bCs/>
                <w:color w:val="FFFFFF"/>
                <w:lang w:eastAsia="en-GB"/>
              </w:rPr>
              <w:t>Directorate</w:t>
            </w:r>
          </w:p>
        </w:tc>
        <w:tc>
          <w:tcPr>
            <w:tcW w:w="960" w:type="dxa"/>
            <w:tcBorders>
              <w:top w:val="single" w:sz="4" w:space="0" w:color="F2F2F2"/>
              <w:left w:val="nil"/>
              <w:bottom w:val="nil"/>
              <w:right w:val="nil"/>
            </w:tcBorders>
            <w:shd w:val="clear" w:color="DDEBF7" w:fill="2F75B5"/>
            <w:hideMark/>
          </w:tcPr>
          <w:p w14:paraId="3AA6E05C" w14:textId="77777777" w:rsidR="00E815F3" w:rsidRPr="00E815F3" w:rsidRDefault="00E815F3" w:rsidP="00E815F3">
            <w:pPr>
              <w:spacing w:after="0" w:line="240" w:lineRule="auto"/>
              <w:jc w:val="center"/>
              <w:rPr>
                <w:rFonts w:ascii="Calibri" w:eastAsia="Times New Roman" w:hAnsi="Calibri" w:cs="Calibri"/>
                <w:b/>
                <w:bCs/>
                <w:color w:val="FFFFFF"/>
                <w:lang w:eastAsia="en-GB"/>
              </w:rPr>
            </w:pPr>
            <w:r w:rsidRPr="00E815F3">
              <w:rPr>
                <w:rFonts w:ascii="Calibri" w:eastAsia="Times New Roman" w:hAnsi="Calibri" w:cs="Calibri"/>
                <w:b/>
                <w:bCs/>
                <w:color w:val="FFFFFF"/>
                <w:lang w:eastAsia="en-GB"/>
              </w:rPr>
              <w:t>Income Variance £000s</w:t>
            </w:r>
          </w:p>
        </w:tc>
        <w:tc>
          <w:tcPr>
            <w:tcW w:w="960" w:type="dxa"/>
            <w:tcBorders>
              <w:top w:val="single" w:sz="4" w:space="0" w:color="F2F2F2"/>
              <w:left w:val="nil"/>
              <w:bottom w:val="nil"/>
              <w:right w:val="nil"/>
            </w:tcBorders>
            <w:shd w:val="clear" w:color="DDEBF7" w:fill="2F75B5"/>
            <w:hideMark/>
          </w:tcPr>
          <w:p w14:paraId="2EFA0549" w14:textId="77777777" w:rsidR="00E815F3" w:rsidRPr="00E815F3" w:rsidRDefault="00E815F3" w:rsidP="00E815F3">
            <w:pPr>
              <w:spacing w:after="0" w:line="240" w:lineRule="auto"/>
              <w:jc w:val="center"/>
              <w:rPr>
                <w:rFonts w:ascii="Calibri" w:eastAsia="Times New Roman" w:hAnsi="Calibri" w:cs="Calibri"/>
                <w:b/>
                <w:bCs/>
                <w:color w:val="FFFFFF"/>
                <w:lang w:eastAsia="en-GB"/>
              </w:rPr>
            </w:pPr>
            <w:r w:rsidRPr="00E815F3">
              <w:rPr>
                <w:rFonts w:ascii="Calibri" w:eastAsia="Times New Roman" w:hAnsi="Calibri" w:cs="Calibri"/>
                <w:b/>
                <w:bCs/>
                <w:color w:val="FFFFFF"/>
                <w:lang w:eastAsia="en-GB"/>
              </w:rPr>
              <w:t>Pay Variance £000s</w:t>
            </w:r>
          </w:p>
        </w:tc>
        <w:tc>
          <w:tcPr>
            <w:tcW w:w="960" w:type="dxa"/>
            <w:tcBorders>
              <w:top w:val="single" w:sz="4" w:space="0" w:color="F2F2F2"/>
              <w:left w:val="nil"/>
              <w:bottom w:val="nil"/>
              <w:right w:val="nil"/>
            </w:tcBorders>
            <w:shd w:val="clear" w:color="DDEBF7" w:fill="2F75B5"/>
            <w:hideMark/>
          </w:tcPr>
          <w:p w14:paraId="48A98F85" w14:textId="77777777" w:rsidR="00E815F3" w:rsidRPr="00E815F3" w:rsidRDefault="00E815F3" w:rsidP="00E815F3">
            <w:pPr>
              <w:spacing w:after="0" w:line="240" w:lineRule="auto"/>
              <w:jc w:val="center"/>
              <w:rPr>
                <w:rFonts w:ascii="Calibri" w:eastAsia="Times New Roman" w:hAnsi="Calibri" w:cs="Calibri"/>
                <w:b/>
                <w:bCs/>
                <w:color w:val="FFFFFF"/>
                <w:lang w:eastAsia="en-GB"/>
              </w:rPr>
            </w:pPr>
            <w:r w:rsidRPr="00E815F3">
              <w:rPr>
                <w:rFonts w:ascii="Calibri" w:eastAsia="Times New Roman" w:hAnsi="Calibri" w:cs="Calibri"/>
                <w:b/>
                <w:bCs/>
                <w:color w:val="FFFFFF"/>
                <w:lang w:eastAsia="en-GB"/>
              </w:rPr>
              <w:t>Non Pay Variance £000s</w:t>
            </w:r>
          </w:p>
        </w:tc>
        <w:tc>
          <w:tcPr>
            <w:tcW w:w="960" w:type="dxa"/>
            <w:tcBorders>
              <w:top w:val="single" w:sz="4" w:space="0" w:color="F2F2F2"/>
              <w:left w:val="nil"/>
              <w:bottom w:val="nil"/>
              <w:right w:val="nil"/>
            </w:tcBorders>
            <w:shd w:val="clear" w:color="DDEBF7" w:fill="2F75B5"/>
            <w:hideMark/>
          </w:tcPr>
          <w:p w14:paraId="2BF3BE87" w14:textId="77777777" w:rsidR="00E815F3" w:rsidRPr="00E815F3" w:rsidRDefault="00E815F3" w:rsidP="00E815F3">
            <w:pPr>
              <w:spacing w:after="0" w:line="240" w:lineRule="auto"/>
              <w:jc w:val="center"/>
              <w:rPr>
                <w:rFonts w:ascii="Calibri" w:eastAsia="Times New Roman" w:hAnsi="Calibri" w:cs="Calibri"/>
                <w:b/>
                <w:bCs/>
                <w:color w:val="FFFFFF"/>
                <w:lang w:eastAsia="en-GB"/>
              </w:rPr>
            </w:pPr>
            <w:r w:rsidRPr="00E815F3">
              <w:rPr>
                <w:rFonts w:ascii="Calibri" w:eastAsia="Times New Roman" w:hAnsi="Calibri" w:cs="Calibri"/>
                <w:b/>
                <w:bCs/>
                <w:color w:val="FFFFFF"/>
                <w:lang w:eastAsia="en-GB"/>
              </w:rPr>
              <w:t>Total £000s</w:t>
            </w:r>
          </w:p>
        </w:tc>
      </w:tr>
      <w:tr w:rsidR="00E815F3" w:rsidRPr="00E815F3" w14:paraId="59742519" w14:textId="77777777" w:rsidTr="00E815F3">
        <w:trPr>
          <w:trHeight w:val="300"/>
        </w:trPr>
        <w:tc>
          <w:tcPr>
            <w:tcW w:w="4860" w:type="dxa"/>
            <w:tcBorders>
              <w:top w:val="nil"/>
              <w:left w:val="nil"/>
              <w:bottom w:val="nil"/>
              <w:right w:val="nil"/>
            </w:tcBorders>
            <w:shd w:val="clear" w:color="000000" w:fill="FFFFFF"/>
            <w:noWrap/>
            <w:vAlign w:val="bottom"/>
            <w:hideMark/>
          </w:tcPr>
          <w:p w14:paraId="1697A45D"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Public Health Services </w:t>
            </w:r>
          </w:p>
        </w:tc>
        <w:tc>
          <w:tcPr>
            <w:tcW w:w="960" w:type="dxa"/>
            <w:tcBorders>
              <w:top w:val="nil"/>
              <w:left w:val="nil"/>
              <w:bottom w:val="nil"/>
              <w:right w:val="nil"/>
            </w:tcBorders>
            <w:shd w:val="clear" w:color="000000" w:fill="FFFFFF"/>
            <w:noWrap/>
            <w:vAlign w:val="bottom"/>
            <w:hideMark/>
          </w:tcPr>
          <w:p w14:paraId="52893C81"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519</w:t>
            </w:r>
          </w:p>
        </w:tc>
        <w:tc>
          <w:tcPr>
            <w:tcW w:w="960" w:type="dxa"/>
            <w:tcBorders>
              <w:top w:val="nil"/>
              <w:left w:val="nil"/>
              <w:bottom w:val="nil"/>
              <w:right w:val="nil"/>
            </w:tcBorders>
            <w:shd w:val="clear" w:color="000000" w:fill="FFFFFF"/>
            <w:noWrap/>
            <w:vAlign w:val="bottom"/>
            <w:hideMark/>
          </w:tcPr>
          <w:p w14:paraId="75E30DF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86</w:t>
            </w:r>
          </w:p>
        </w:tc>
        <w:tc>
          <w:tcPr>
            <w:tcW w:w="960" w:type="dxa"/>
            <w:tcBorders>
              <w:top w:val="nil"/>
              <w:left w:val="nil"/>
              <w:bottom w:val="nil"/>
              <w:right w:val="nil"/>
            </w:tcBorders>
            <w:shd w:val="clear" w:color="000000" w:fill="FFFFFF"/>
            <w:noWrap/>
            <w:vAlign w:val="bottom"/>
            <w:hideMark/>
          </w:tcPr>
          <w:p w14:paraId="229B5BD4"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-387</w:t>
            </w:r>
          </w:p>
        </w:tc>
        <w:tc>
          <w:tcPr>
            <w:tcW w:w="960" w:type="dxa"/>
            <w:tcBorders>
              <w:top w:val="nil"/>
              <w:left w:val="nil"/>
              <w:bottom w:val="nil"/>
              <w:right w:val="nil"/>
            </w:tcBorders>
            <w:shd w:val="clear" w:color="000000" w:fill="FFFFFF"/>
            <w:noWrap/>
            <w:vAlign w:val="bottom"/>
            <w:hideMark/>
          </w:tcPr>
          <w:p w14:paraId="3D1E962E"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218</w:t>
            </w:r>
          </w:p>
        </w:tc>
      </w:tr>
      <w:tr w:rsidR="00E815F3" w:rsidRPr="00E815F3" w14:paraId="1C87FB90" w14:textId="77777777" w:rsidTr="00E815F3">
        <w:trPr>
          <w:trHeight w:val="300"/>
        </w:trPr>
        <w:tc>
          <w:tcPr>
            <w:tcW w:w="4860" w:type="dxa"/>
            <w:tcBorders>
              <w:top w:val="nil"/>
              <w:left w:val="nil"/>
              <w:bottom w:val="nil"/>
              <w:right w:val="nil"/>
            </w:tcBorders>
            <w:shd w:val="clear" w:color="000000" w:fill="FFFFFF"/>
            <w:noWrap/>
            <w:vAlign w:val="bottom"/>
            <w:hideMark/>
          </w:tcPr>
          <w:p w14:paraId="57C0075F"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Central Budgets </w:t>
            </w:r>
          </w:p>
        </w:tc>
        <w:tc>
          <w:tcPr>
            <w:tcW w:w="960" w:type="dxa"/>
            <w:tcBorders>
              <w:top w:val="nil"/>
              <w:left w:val="nil"/>
              <w:bottom w:val="nil"/>
              <w:right w:val="nil"/>
            </w:tcBorders>
            <w:shd w:val="clear" w:color="000000" w:fill="FFFFFF"/>
            <w:noWrap/>
            <w:vAlign w:val="bottom"/>
            <w:hideMark/>
          </w:tcPr>
          <w:p w14:paraId="7CE7B8CD"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28</w:t>
            </w:r>
          </w:p>
        </w:tc>
        <w:tc>
          <w:tcPr>
            <w:tcW w:w="960" w:type="dxa"/>
            <w:tcBorders>
              <w:top w:val="nil"/>
              <w:left w:val="nil"/>
              <w:bottom w:val="nil"/>
              <w:right w:val="nil"/>
            </w:tcBorders>
            <w:shd w:val="clear" w:color="000000" w:fill="FFFFFF"/>
            <w:noWrap/>
            <w:vAlign w:val="bottom"/>
            <w:hideMark/>
          </w:tcPr>
          <w:p w14:paraId="60A982E3"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190</w:t>
            </w:r>
          </w:p>
        </w:tc>
        <w:tc>
          <w:tcPr>
            <w:tcW w:w="960" w:type="dxa"/>
            <w:tcBorders>
              <w:top w:val="nil"/>
              <w:left w:val="nil"/>
              <w:bottom w:val="nil"/>
              <w:right w:val="nil"/>
            </w:tcBorders>
            <w:shd w:val="clear" w:color="000000" w:fill="FFFFFF"/>
            <w:noWrap/>
            <w:vAlign w:val="bottom"/>
            <w:hideMark/>
          </w:tcPr>
          <w:p w14:paraId="620F2663"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-59</w:t>
            </w:r>
          </w:p>
        </w:tc>
        <w:tc>
          <w:tcPr>
            <w:tcW w:w="960" w:type="dxa"/>
            <w:tcBorders>
              <w:top w:val="nil"/>
              <w:left w:val="nil"/>
              <w:bottom w:val="nil"/>
              <w:right w:val="nil"/>
            </w:tcBorders>
            <w:shd w:val="clear" w:color="000000" w:fill="FFFFFF"/>
            <w:noWrap/>
            <w:vAlign w:val="bottom"/>
            <w:hideMark/>
          </w:tcPr>
          <w:p w14:paraId="7A40A1B1"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160</w:t>
            </w:r>
          </w:p>
        </w:tc>
      </w:tr>
      <w:tr w:rsidR="00E815F3" w:rsidRPr="00E815F3" w14:paraId="67C7E260" w14:textId="77777777" w:rsidTr="00E815F3">
        <w:trPr>
          <w:trHeight w:val="300"/>
        </w:trPr>
        <w:tc>
          <w:tcPr>
            <w:tcW w:w="4860" w:type="dxa"/>
            <w:tcBorders>
              <w:top w:val="nil"/>
              <w:left w:val="nil"/>
              <w:bottom w:val="nil"/>
              <w:right w:val="nil"/>
            </w:tcBorders>
            <w:shd w:val="clear" w:color="000000" w:fill="FFFFFF"/>
            <w:noWrap/>
            <w:vAlign w:val="bottom"/>
            <w:hideMark/>
          </w:tcPr>
          <w:p w14:paraId="27CA8B52"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Board and Corporate</w:t>
            </w:r>
          </w:p>
        </w:tc>
        <w:tc>
          <w:tcPr>
            <w:tcW w:w="960" w:type="dxa"/>
            <w:tcBorders>
              <w:top w:val="nil"/>
              <w:left w:val="nil"/>
              <w:bottom w:val="nil"/>
              <w:right w:val="nil"/>
            </w:tcBorders>
            <w:shd w:val="clear" w:color="000000" w:fill="FFFFFF"/>
            <w:noWrap/>
            <w:vAlign w:val="bottom"/>
            <w:hideMark/>
          </w:tcPr>
          <w:p w14:paraId="204F919F"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2792498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-9</w:t>
            </w:r>
          </w:p>
        </w:tc>
        <w:tc>
          <w:tcPr>
            <w:tcW w:w="960" w:type="dxa"/>
            <w:tcBorders>
              <w:top w:val="nil"/>
              <w:left w:val="nil"/>
              <w:bottom w:val="nil"/>
              <w:right w:val="nil"/>
            </w:tcBorders>
            <w:shd w:val="clear" w:color="000000" w:fill="FFFFFF"/>
            <w:noWrap/>
            <w:vAlign w:val="bottom"/>
            <w:hideMark/>
          </w:tcPr>
          <w:p w14:paraId="321B351B"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9</w:t>
            </w:r>
          </w:p>
        </w:tc>
        <w:tc>
          <w:tcPr>
            <w:tcW w:w="960" w:type="dxa"/>
            <w:tcBorders>
              <w:top w:val="nil"/>
              <w:left w:val="nil"/>
              <w:bottom w:val="nil"/>
              <w:right w:val="nil"/>
            </w:tcBorders>
            <w:shd w:val="clear" w:color="000000" w:fill="FFFFFF"/>
            <w:noWrap/>
            <w:vAlign w:val="bottom"/>
            <w:hideMark/>
          </w:tcPr>
          <w:p w14:paraId="58D112B7"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r>
      <w:tr w:rsidR="00E815F3" w:rsidRPr="00E815F3" w14:paraId="1F5485E3" w14:textId="77777777" w:rsidTr="00E815F3">
        <w:trPr>
          <w:trHeight w:val="300"/>
        </w:trPr>
        <w:tc>
          <w:tcPr>
            <w:tcW w:w="4860" w:type="dxa"/>
            <w:tcBorders>
              <w:top w:val="nil"/>
              <w:left w:val="nil"/>
              <w:bottom w:val="nil"/>
              <w:right w:val="nil"/>
            </w:tcBorders>
            <w:shd w:val="clear" w:color="000000" w:fill="FFFFFF"/>
            <w:noWrap/>
            <w:vAlign w:val="bottom"/>
            <w:hideMark/>
          </w:tcPr>
          <w:p w14:paraId="7A446C4A"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ACE's Hub </w:t>
            </w:r>
          </w:p>
        </w:tc>
        <w:tc>
          <w:tcPr>
            <w:tcW w:w="960" w:type="dxa"/>
            <w:tcBorders>
              <w:top w:val="nil"/>
              <w:left w:val="nil"/>
              <w:bottom w:val="nil"/>
              <w:right w:val="nil"/>
            </w:tcBorders>
            <w:shd w:val="clear" w:color="000000" w:fill="FFFFFF"/>
            <w:noWrap/>
            <w:vAlign w:val="bottom"/>
            <w:hideMark/>
          </w:tcPr>
          <w:p w14:paraId="2DFB56E8"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1E41DE38"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5FF6DF50"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14:paraId="1CE1D928"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r>
      <w:tr w:rsidR="00E815F3" w:rsidRPr="00E815F3" w14:paraId="6E98951F" w14:textId="77777777" w:rsidTr="00E815F3">
        <w:trPr>
          <w:trHeight w:val="300"/>
        </w:trPr>
        <w:tc>
          <w:tcPr>
            <w:tcW w:w="4860" w:type="dxa"/>
            <w:tcBorders>
              <w:top w:val="nil"/>
              <w:left w:val="nil"/>
              <w:bottom w:val="nil"/>
              <w:right w:val="nil"/>
            </w:tcBorders>
            <w:shd w:val="clear" w:color="000000" w:fill="FFFFFF"/>
            <w:noWrap/>
            <w:vAlign w:val="bottom"/>
            <w:hideMark/>
          </w:tcPr>
          <w:p w14:paraId="08A10B58"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Hosted </w:t>
            </w:r>
          </w:p>
        </w:tc>
        <w:tc>
          <w:tcPr>
            <w:tcW w:w="960" w:type="dxa"/>
            <w:tcBorders>
              <w:top w:val="nil"/>
              <w:left w:val="nil"/>
              <w:bottom w:val="nil"/>
              <w:right w:val="nil"/>
            </w:tcBorders>
            <w:shd w:val="clear" w:color="000000" w:fill="FFFFFF"/>
            <w:noWrap/>
            <w:vAlign w:val="bottom"/>
            <w:hideMark/>
          </w:tcPr>
          <w:p w14:paraId="253CD316"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297ABB99" w14:textId="77777777" w:rsidR="00E815F3" w:rsidRPr="00AB2BD9" w:rsidRDefault="00E815F3"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647BB6CB"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14:paraId="79207E42"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r>
      <w:tr w:rsidR="00E815F3" w:rsidRPr="00E815F3" w14:paraId="15DF8877" w14:textId="77777777" w:rsidTr="00E815F3">
        <w:trPr>
          <w:trHeight w:val="300"/>
        </w:trPr>
        <w:tc>
          <w:tcPr>
            <w:tcW w:w="4860" w:type="dxa"/>
            <w:tcBorders>
              <w:top w:val="nil"/>
              <w:left w:val="nil"/>
              <w:bottom w:val="nil"/>
              <w:right w:val="nil"/>
            </w:tcBorders>
            <w:shd w:val="clear" w:color="000000" w:fill="FFFFFF"/>
            <w:noWrap/>
            <w:vAlign w:val="bottom"/>
            <w:hideMark/>
          </w:tcPr>
          <w:p w14:paraId="6E9DBCDF"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Population Health </w:t>
            </w:r>
          </w:p>
        </w:tc>
        <w:tc>
          <w:tcPr>
            <w:tcW w:w="960" w:type="dxa"/>
            <w:tcBorders>
              <w:top w:val="nil"/>
              <w:left w:val="nil"/>
              <w:bottom w:val="nil"/>
              <w:right w:val="nil"/>
            </w:tcBorders>
            <w:shd w:val="clear" w:color="000000" w:fill="FFFFFF"/>
            <w:noWrap/>
            <w:vAlign w:val="bottom"/>
            <w:hideMark/>
          </w:tcPr>
          <w:p w14:paraId="3463A588"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14:paraId="6DD2293F"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328543BC" w14:textId="77777777" w:rsidR="00E815F3" w:rsidRPr="00E815F3" w:rsidRDefault="00AB2BD9" w:rsidP="00E815F3">
            <w:pPr>
              <w:spacing w:after="0" w:line="240" w:lineRule="auto"/>
              <w:jc w:val="right"/>
              <w:rPr>
                <w:rFonts w:ascii="Calibri" w:eastAsia="Times New Roman" w:hAnsi="Calibri" w:cs="Calibri"/>
                <w:color w:val="000000"/>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3D8441DD"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r>
      <w:tr w:rsidR="00E815F3" w:rsidRPr="00E815F3" w14:paraId="30BFBE45" w14:textId="77777777" w:rsidTr="00E815F3">
        <w:trPr>
          <w:trHeight w:val="300"/>
        </w:trPr>
        <w:tc>
          <w:tcPr>
            <w:tcW w:w="4860" w:type="dxa"/>
            <w:tcBorders>
              <w:top w:val="nil"/>
              <w:left w:val="nil"/>
              <w:bottom w:val="nil"/>
              <w:right w:val="nil"/>
            </w:tcBorders>
            <w:shd w:val="clear" w:color="000000" w:fill="FFFFFF"/>
            <w:noWrap/>
            <w:vAlign w:val="bottom"/>
            <w:hideMark/>
          </w:tcPr>
          <w:p w14:paraId="3B82F427"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Improvement </w:t>
            </w:r>
            <w:proofErr w:type="spellStart"/>
            <w:r w:rsidRPr="00E815F3">
              <w:rPr>
                <w:rFonts w:ascii="Calibri" w:eastAsia="Times New Roman" w:hAnsi="Calibri" w:cs="Calibri"/>
                <w:color w:val="000000"/>
                <w:lang w:eastAsia="en-GB"/>
              </w:rPr>
              <w:t>Cymru</w:t>
            </w:r>
            <w:proofErr w:type="spellEnd"/>
          </w:p>
        </w:tc>
        <w:tc>
          <w:tcPr>
            <w:tcW w:w="960" w:type="dxa"/>
            <w:tcBorders>
              <w:top w:val="nil"/>
              <w:left w:val="nil"/>
              <w:bottom w:val="nil"/>
              <w:right w:val="nil"/>
            </w:tcBorders>
            <w:shd w:val="clear" w:color="000000" w:fill="FFFFFF"/>
            <w:noWrap/>
            <w:vAlign w:val="bottom"/>
            <w:hideMark/>
          </w:tcPr>
          <w:p w14:paraId="29DD5B7A"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-1</w:t>
            </w:r>
          </w:p>
        </w:tc>
        <w:tc>
          <w:tcPr>
            <w:tcW w:w="960" w:type="dxa"/>
            <w:tcBorders>
              <w:top w:val="nil"/>
              <w:left w:val="nil"/>
              <w:bottom w:val="nil"/>
              <w:right w:val="nil"/>
            </w:tcBorders>
            <w:shd w:val="clear" w:color="000000" w:fill="FFFFFF"/>
            <w:noWrap/>
            <w:vAlign w:val="bottom"/>
            <w:hideMark/>
          </w:tcPr>
          <w:p w14:paraId="2C0B32F6"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-5</w:t>
            </w:r>
          </w:p>
        </w:tc>
        <w:tc>
          <w:tcPr>
            <w:tcW w:w="960" w:type="dxa"/>
            <w:tcBorders>
              <w:top w:val="nil"/>
              <w:left w:val="nil"/>
              <w:bottom w:val="nil"/>
              <w:right w:val="nil"/>
            </w:tcBorders>
            <w:shd w:val="clear" w:color="000000" w:fill="FFFFFF"/>
            <w:noWrap/>
            <w:vAlign w:val="bottom"/>
            <w:hideMark/>
          </w:tcPr>
          <w:p w14:paraId="44AEC076" w14:textId="77777777" w:rsidR="00E815F3" w:rsidRPr="00E815F3" w:rsidRDefault="00AB2BD9" w:rsidP="00E815F3">
            <w:pPr>
              <w:spacing w:after="0" w:line="240" w:lineRule="auto"/>
              <w:jc w:val="right"/>
              <w:rPr>
                <w:rFonts w:ascii="Calibri" w:eastAsia="Times New Roman" w:hAnsi="Calibri" w:cs="Calibri"/>
                <w:color w:val="000000"/>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7F1A5870"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-6</w:t>
            </w:r>
          </w:p>
        </w:tc>
      </w:tr>
      <w:tr w:rsidR="00E815F3" w:rsidRPr="00E815F3" w14:paraId="3C2A42FF" w14:textId="77777777" w:rsidTr="00E815F3">
        <w:trPr>
          <w:trHeight w:val="300"/>
        </w:trPr>
        <w:tc>
          <w:tcPr>
            <w:tcW w:w="4860" w:type="dxa"/>
            <w:tcBorders>
              <w:top w:val="nil"/>
              <w:left w:val="nil"/>
              <w:bottom w:val="nil"/>
              <w:right w:val="nil"/>
            </w:tcBorders>
            <w:shd w:val="clear" w:color="000000" w:fill="FFFFFF"/>
            <w:noWrap/>
            <w:vAlign w:val="bottom"/>
            <w:hideMark/>
          </w:tcPr>
          <w:p w14:paraId="46F32107"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WHO Collaborating Centre</w:t>
            </w:r>
          </w:p>
        </w:tc>
        <w:tc>
          <w:tcPr>
            <w:tcW w:w="960" w:type="dxa"/>
            <w:tcBorders>
              <w:top w:val="nil"/>
              <w:left w:val="nil"/>
              <w:bottom w:val="nil"/>
              <w:right w:val="nil"/>
            </w:tcBorders>
            <w:shd w:val="clear" w:color="000000" w:fill="FFFFFF"/>
            <w:noWrap/>
            <w:vAlign w:val="bottom"/>
            <w:hideMark/>
          </w:tcPr>
          <w:p w14:paraId="7846D9B7"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0</w:t>
            </w:r>
          </w:p>
        </w:tc>
        <w:tc>
          <w:tcPr>
            <w:tcW w:w="960" w:type="dxa"/>
            <w:tcBorders>
              <w:top w:val="nil"/>
              <w:left w:val="nil"/>
              <w:bottom w:val="nil"/>
              <w:right w:val="nil"/>
            </w:tcBorders>
            <w:shd w:val="clear" w:color="000000" w:fill="FFFFFF"/>
            <w:noWrap/>
            <w:vAlign w:val="bottom"/>
            <w:hideMark/>
          </w:tcPr>
          <w:p w14:paraId="511B28F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-17</w:t>
            </w:r>
          </w:p>
        </w:tc>
        <w:tc>
          <w:tcPr>
            <w:tcW w:w="960" w:type="dxa"/>
            <w:tcBorders>
              <w:top w:val="nil"/>
              <w:left w:val="nil"/>
              <w:bottom w:val="nil"/>
              <w:right w:val="nil"/>
            </w:tcBorders>
            <w:shd w:val="clear" w:color="000000" w:fill="FFFFFF"/>
            <w:noWrap/>
            <w:vAlign w:val="bottom"/>
            <w:hideMark/>
          </w:tcPr>
          <w:p w14:paraId="19FF1300"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-9</w:t>
            </w:r>
          </w:p>
        </w:tc>
        <w:tc>
          <w:tcPr>
            <w:tcW w:w="960" w:type="dxa"/>
            <w:tcBorders>
              <w:top w:val="nil"/>
              <w:left w:val="nil"/>
              <w:bottom w:val="nil"/>
              <w:right w:val="nil"/>
            </w:tcBorders>
            <w:shd w:val="clear" w:color="000000" w:fill="FFFFFF"/>
            <w:noWrap/>
            <w:vAlign w:val="bottom"/>
            <w:hideMark/>
          </w:tcPr>
          <w:p w14:paraId="6988B23A"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-26</w:t>
            </w:r>
          </w:p>
        </w:tc>
      </w:tr>
      <w:tr w:rsidR="00E815F3" w:rsidRPr="00E815F3" w14:paraId="633C7FE9" w14:textId="77777777" w:rsidTr="00E815F3">
        <w:trPr>
          <w:trHeight w:val="300"/>
        </w:trPr>
        <w:tc>
          <w:tcPr>
            <w:tcW w:w="4860" w:type="dxa"/>
            <w:tcBorders>
              <w:top w:val="nil"/>
              <w:left w:val="nil"/>
              <w:bottom w:val="nil"/>
              <w:right w:val="nil"/>
            </w:tcBorders>
            <w:shd w:val="clear" w:color="000000" w:fill="FFFFFF"/>
            <w:noWrap/>
            <w:vAlign w:val="bottom"/>
            <w:hideMark/>
          </w:tcPr>
          <w:p w14:paraId="3C590801"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Quality Nursing &amp; Allied Health Professionals</w:t>
            </w:r>
          </w:p>
        </w:tc>
        <w:tc>
          <w:tcPr>
            <w:tcW w:w="960" w:type="dxa"/>
            <w:tcBorders>
              <w:top w:val="nil"/>
              <w:left w:val="nil"/>
              <w:bottom w:val="nil"/>
              <w:right w:val="nil"/>
            </w:tcBorders>
            <w:shd w:val="clear" w:color="000000" w:fill="FFFFFF"/>
            <w:noWrap/>
            <w:vAlign w:val="bottom"/>
            <w:hideMark/>
          </w:tcPr>
          <w:p w14:paraId="3E94E043"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706C324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-27</w:t>
            </w:r>
          </w:p>
        </w:tc>
        <w:tc>
          <w:tcPr>
            <w:tcW w:w="960" w:type="dxa"/>
            <w:tcBorders>
              <w:top w:val="nil"/>
              <w:left w:val="nil"/>
              <w:bottom w:val="nil"/>
              <w:right w:val="nil"/>
            </w:tcBorders>
            <w:shd w:val="clear" w:color="000000" w:fill="FFFFFF"/>
            <w:noWrap/>
            <w:vAlign w:val="bottom"/>
            <w:hideMark/>
          </w:tcPr>
          <w:p w14:paraId="01D1694C"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-4</w:t>
            </w:r>
          </w:p>
        </w:tc>
        <w:tc>
          <w:tcPr>
            <w:tcW w:w="960" w:type="dxa"/>
            <w:tcBorders>
              <w:top w:val="nil"/>
              <w:left w:val="nil"/>
              <w:bottom w:val="nil"/>
              <w:right w:val="nil"/>
            </w:tcBorders>
            <w:shd w:val="clear" w:color="000000" w:fill="FFFFFF"/>
            <w:noWrap/>
            <w:vAlign w:val="bottom"/>
            <w:hideMark/>
          </w:tcPr>
          <w:p w14:paraId="59C12F32"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-31</w:t>
            </w:r>
          </w:p>
        </w:tc>
      </w:tr>
      <w:tr w:rsidR="00E815F3" w:rsidRPr="00E815F3" w14:paraId="4D6EF2B7" w14:textId="77777777" w:rsidTr="00E815F3">
        <w:trPr>
          <w:trHeight w:val="300"/>
        </w:trPr>
        <w:tc>
          <w:tcPr>
            <w:tcW w:w="4860" w:type="dxa"/>
            <w:tcBorders>
              <w:top w:val="nil"/>
              <w:left w:val="nil"/>
              <w:bottom w:val="nil"/>
              <w:right w:val="nil"/>
            </w:tcBorders>
            <w:shd w:val="clear" w:color="000000" w:fill="FFFFFF"/>
            <w:noWrap/>
            <w:vAlign w:val="bottom"/>
            <w:hideMark/>
          </w:tcPr>
          <w:p w14:paraId="2303E9F5"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Operations and Finance</w:t>
            </w:r>
          </w:p>
        </w:tc>
        <w:tc>
          <w:tcPr>
            <w:tcW w:w="960" w:type="dxa"/>
            <w:tcBorders>
              <w:top w:val="nil"/>
              <w:left w:val="nil"/>
              <w:bottom w:val="nil"/>
              <w:right w:val="nil"/>
            </w:tcBorders>
            <w:shd w:val="clear" w:color="000000" w:fill="FFFFFF"/>
            <w:noWrap/>
            <w:vAlign w:val="bottom"/>
            <w:hideMark/>
          </w:tcPr>
          <w:p w14:paraId="68332D73"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0E637FA1"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-61</w:t>
            </w:r>
          </w:p>
        </w:tc>
        <w:tc>
          <w:tcPr>
            <w:tcW w:w="960" w:type="dxa"/>
            <w:tcBorders>
              <w:top w:val="nil"/>
              <w:left w:val="nil"/>
              <w:bottom w:val="nil"/>
              <w:right w:val="nil"/>
            </w:tcBorders>
            <w:shd w:val="clear" w:color="000000" w:fill="FFFFFF"/>
            <w:noWrap/>
            <w:vAlign w:val="bottom"/>
            <w:hideMark/>
          </w:tcPr>
          <w:p w14:paraId="1A23F7B7"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9</w:t>
            </w:r>
          </w:p>
        </w:tc>
        <w:tc>
          <w:tcPr>
            <w:tcW w:w="960" w:type="dxa"/>
            <w:tcBorders>
              <w:top w:val="nil"/>
              <w:left w:val="nil"/>
              <w:bottom w:val="nil"/>
              <w:right w:val="nil"/>
            </w:tcBorders>
            <w:shd w:val="clear" w:color="000000" w:fill="FFFFFF"/>
            <w:noWrap/>
            <w:vAlign w:val="bottom"/>
            <w:hideMark/>
          </w:tcPr>
          <w:p w14:paraId="70E2F21B"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-52</w:t>
            </w:r>
          </w:p>
        </w:tc>
      </w:tr>
      <w:tr w:rsidR="00E815F3" w:rsidRPr="00E815F3" w14:paraId="37EFBAA6" w14:textId="77777777" w:rsidTr="00E815F3">
        <w:trPr>
          <w:trHeight w:val="300"/>
        </w:trPr>
        <w:tc>
          <w:tcPr>
            <w:tcW w:w="4860" w:type="dxa"/>
            <w:tcBorders>
              <w:top w:val="nil"/>
              <w:left w:val="nil"/>
              <w:bottom w:val="nil"/>
              <w:right w:val="nil"/>
            </w:tcBorders>
            <w:shd w:val="clear" w:color="000000" w:fill="FFFFFF"/>
            <w:noWrap/>
            <w:vAlign w:val="bottom"/>
            <w:hideMark/>
          </w:tcPr>
          <w:p w14:paraId="34622887"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Knowledge </w:t>
            </w:r>
          </w:p>
        </w:tc>
        <w:tc>
          <w:tcPr>
            <w:tcW w:w="960" w:type="dxa"/>
            <w:tcBorders>
              <w:top w:val="nil"/>
              <w:left w:val="nil"/>
              <w:bottom w:val="nil"/>
              <w:right w:val="nil"/>
            </w:tcBorders>
            <w:shd w:val="clear" w:color="000000" w:fill="FFFFFF"/>
            <w:noWrap/>
            <w:vAlign w:val="bottom"/>
            <w:hideMark/>
          </w:tcPr>
          <w:p w14:paraId="34B998E9"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4F2C02A1"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-38</w:t>
            </w:r>
          </w:p>
        </w:tc>
        <w:tc>
          <w:tcPr>
            <w:tcW w:w="960" w:type="dxa"/>
            <w:tcBorders>
              <w:top w:val="nil"/>
              <w:left w:val="nil"/>
              <w:bottom w:val="nil"/>
              <w:right w:val="nil"/>
            </w:tcBorders>
            <w:shd w:val="clear" w:color="000000" w:fill="FFFFFF"/>
            <w:noWrap/>
            <w:vAlign w:val="bottom"/>
            <w:hideMark/>
          </w:tcPr>
          <w:p w14:paraId="666DA81D"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-21</w:t>
            </w:r>
          </w:p>
        </w:tc>
        <w:tc>
          <w:tcPr>
            <w:tcW w:w="960" w:type="dxa"/>
            <w:tcBorders>
              <w:top w:val="nil"/>
              <w:left w:val="nil"/>
              <w:bottom w:val="nil"/>
              <w:right w:val="nil"/>
            </w:tcBorders>
            <w:shd w:val="clear" w:color="000000" w:fill="FFFFFF"/>
            <w:noWrap/>
            <w:vAlign w:val="bottom"/>
            <w:hideMark/>
          </w:tcPr>
          <w:p w14:paraId="17D7414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-60</w:t>
            </w:r>
          </w:p>
        </w:tc>
      </w:tr>
      <w:tr w:rsidR="00E815F3" w:rsidRPr="00E815F3" w14:paraId="01AEB8A5" w14:textId="77777777" w:rsidTr="00E815F3">
        <w:trPr>
          <w:trHeight w:val="300"/>
        </w:trPr>
        <w:tc>
          <w:tcPr>
            <w:tcW w:w="4860" w:type="dxa"/>
            <w:tcBorders>
              <w:top w:val="nil"/>
              <w:left w:val="nil"/>
              <w:bottom w:val="nil"/>
              <w:right w:val="nil"/>
            </w:tcBorders>
            <w:shd w:val="clear" w:color="000000" w:fill="FFFFFF"/>
            <w:noWrap/>
            <w:vAlign w:val="bottom"/>
            <w:hideMark/>
          </w:tcPr>
          <w:p w14:paraId="02D85032"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People &amp; Organisational Development</w:t>
            </w:r>
          </w:p>
        </w:tc>
        <w:tc>
          <w:tcPr>
            <w:tcW w:w="960" w:type="dxa"/>
            <w:tcBorders>
              <w:top w:val="nil"/>
              <w:left w:val="nil"/>
              <w:bottom w:val="nil"/>
              <w:right w:val="nil"/>
            </w:tcBorders>
            <w:shd w:val="clear" w:color="000000" w:fill="FFFFFF"/>
            <w:noWrap/>
            <w:vAlign w:val="bottom"/>
            <w:hideMark/>
          </w:tcPr>
          <w:p w14:paraId="3F893221"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c>
          <w:tcPr>
            <w:tcW w:w="960" w:type="dxa"/>
            <w:tcBorders>
              <w:top w:val="nil"/>
              <w:left w:val="nil"/>
              <w:bottom w:val="nil"/>
              <w:right w:val="nil"/>
            </w:tcBorders>
            <w:shd w:val="clear" w:color="000000" w:fill="FFFFFF"/>
            <w:noWrap/>
            <w:vAlign w:val="bottom"/>
            <w:hideMark/>
          </w:tcPr>
          <w:p w14:paraId="0D54FD07"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-22</w:t>
            </w:r>
          </w:p>
        </w:tc>
        <w:tc>
          <w:tcPr>
            <w:tcW w:w="960" w:type="dxa"/>
            <w:tcBorders>
              <w:top w:val="nil"/>
              <w:left w:val="nil"/>
              <w:bottom w:val="nil"/>
              <w:right w:val="nil"/>
            </w:tcBorders>
            <w:shd w:val="clear" w:color="000000" w:fill="FFFFFF"/>
            <w:noWrap/>
            <w:vAlign w:val="bottom"/>
            <w:hideMark/>
          </w:tcPr>
          <w:p w14:paraId="107BA247"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-51</w:t>
            </w:r>
          </w:p>
        </w:tc>
        <w:tc>
          <w:tcPr>
            <w:tcW w:w="960" w:type="dxa"/>
            <w:tcBorders>
              <w:top w:val="nil"/>
              <w:left w:val="nil"/>
              <w:bottom w:val="nil"/>
              <w:right w:val="nil"/>
            </w:tcBorders>
            <w:shd w:val="clear" w:color="000000" w:fill="FFFFFF"/>
            <w:noWrap/>
            <w:vAlign w:val="bottom"/>
            <w:hideMark/>
          </w:tcPr>
          <w:p w14:paraId="720D4220"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-73</w:t>
            </w:r>
          </w:p>
        </w:tc>
      </w:tr>
      <w:tr w:rsidR="00E815F3" w:rsidRPr="00E815F3" w14:paraId="2C6AEFEC" w14:textId="77777777" w:rsidTr="00E815F3">
        <w:trPr>
          <w:trHeight w:val="300"/>
        </w:trPr>
        <w:tc>
          <w:tcPr>
            <w:tcW w:w="4860" w:type="dxa"/>
            <w:tcBorders>
              <w:top w:val="nil"/>
              <w:left w:val="nil"/>
              <w:bottom w:val="nil"/>
              <w:right w:val="nil"/>
            </w:tcBorders>
            <w:shd w:val="clear" w:color="auto" w:fill="auto"/>
            <w:noWrap/>
            <w:vAlign w:val="bottom"/>
            <w:hideMark/>
          </w:tcPr>
          <w:p w14:paraId="26EE3E87" w14:textId="77777777" w:rsidR="00E815F3" w:rsidRPr="00E815F3" w:rsidRDefault="00E815F3" w:rsidP="00E815F3">
            <w:pPr>
              <w:spacing w:after="0" w:line="240" w:lineRule="auto"/>
              <w:rPr>
                <w:rFonts w:ascii="Calibri" w:eastAsia="Times New Roman" w:hAnsi="Calibri" w:cs="Calibri"/>
                <w:color w:val="000000"/>
                <w:lang w:eastAsia="en-GB"/>
              </w:rPr>
            </w:pPr>
            <w:r w:rsidRPr="00E815F3">
              <w:rPr>
                <w:rFonts w:ascii="Calibri" w:eastAsia="Times New Roman" w:hAnsi="Calibri" w:cs="Calibri"/>
                <w:color w:val="000000"/>
                <w:lang w:eastAsia="en-GB"/>
              </w:rPr>
              <w:t xml:space="preserve">Health &amp; Wellbeing </w:t>
            </w:r>
          </w:p>
        </w:tc>
        <w:tc>
          <w:tcPr>
            <w:tcW w:w="960" w:type="dxa"/>
            <w:tcBorders>
              <w:top w:val="nil"/>
              <w:left w:val="nil"/>
              <w:bottom w:val="nil"/>
              <w:right w:val="nil"/>
            </w:tcBorders>
            <w:shd w:val="clear" w:color="000000" w:fill="FFFFFF"/>
            <w:noWrap/>
            <w:vAlign w:val="bottom"/>
            <w:hideMark/>
          </w:tcPr>
          <w:p w14:paraId="1CE17772"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1</w:t>
            </w:r>
          </w:p>
        </w:tc>
        <w:tc>
          <w:tcPr>
            <w:tcW w:w="960" w:type="dxa"/>
            <w:tcBorders>
              <w:top w:val="nil"/>
              <w:left w:val="nil"/>
              <w:bottom w:val="nil"/>
              <w:right w:val="nil"/>
            </w:tcBorders>
            <w:shd w:val="clear" w:color="000000" w:fill="FFFFFF"/>
            <w:noWrap/>
            <w:vAlign w:val="bottom"/>
            <w:hideMark/>
          </w:tcPr>
          <w:p w14:paraId="10B015F3"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-69</w:t>
            </w:r>
          </w:p>
        </w:tc>
        <w:tc>
          <w:tcPr>
            <w:tcW w:w="960" w:type="dxa"/>
            <w:tcBorders>
              <w:top w:val="nil"/>
              <w:left w:val="nil"/>
              <w:bottom w:val="nil"/>
              <w:right w:val="nil"/>
            </w:tcBorders>
            <w:shd w:val="clear" w:color="000000" w:fill="FFFFFF"/>
            <w:noWrap/>
            <w:vAlign w:val="bottom"/>
            <w:hideMark/>
          </w:tcPr>
          <w:p w14:paraId="4E46D455"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-99</w:t>
            </w:r>
          </w:p>
        </w:tc>
        <w:tc>
          <w:tcPr>
            <w:tcW w:w="960" w:type="dxa"/>
            <w:tcBorders>
              <w:top w:val="nil"/>
              <w:left w:val="nil"/>
              <w:bottom w:val="nil"/>
              <w:right w:val="nil"/>
            </w:tcBorders>
            <w:shd w:val="clear" w:color="000000" w:fill="FFFFFF"/>
            <w:noWrap/>
            <w:vAlign w:val="bottom"/>
            <w:hideMark/>
          </w:tcPr>
          <w:p w14:paraId="0E4C9E8B"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-167</w:t>
            </w:r>
          </w:p>
        </w:tc>
      </w:tr>
      <w:tr w:rsidR="00E815F3" w:rsidRPr="00E815F3" w14:paraId="72171993" w14:textId="77777777" w:rsidTr="00E815F3">
        <w:trPr>
          <w:trHeight w:val="300"/>
        </w:trPr>
        <w:tc>
          <w:tcPr>
            <w:tcW w:w="4860" w:type="dxa"/>
            <w:tcBorders>
              <w:top w:val="nil"/>
              <w:left w:val="nil"/>
              <w:bottom w:val="nil"/>
              <w:right w:val="nil"/>
            </w:tcBorders>
            <w:shd w:val="clear" w:color="000000" w:fill="DDEBF7"/>
            <w:noWrap/>
            <w:vAlign w:val="bottom"/>
            <w:hideMark/>
          </w:tcPr>
          <w:p w14:paraId="1D82F7C5" w14:textId="77777777" w:rsidR="00E815F3" w:rsidRPr="00E815F3" w:rsidRDefault="00E815F3" w:rsidP="00E815F3">
            <w:pPr>
              <w:spacing w:after="0" w:line="240" w:lineRule="auto"/>
              <w:rPr>
                <w:rFonts w:ascii="Calibri" w:eastAsia="Times New Roman" w:hAnsi="Calibri" w:cs="Calibri"/>
                <w:b/>
                <w:bCs/>
                <w:color w:val="000000"/>
                <w:lang w:eastAsia="en-GB"/>
              </w:rPr>
            </w:pPr>
            <w:r w:rsidRPr="00E815F3">
              <w:rPr>
                <w:rFonts w:ascii="Calibri" w:eastAsia="Times New Roman" w:hAnsi="Calibri" w:cs="Calibri"/>
                <w:b/>
                <w:bCs/>
                <w:color w:val="000000"/>
                <w:lang w:eastAsia="en-GB"/>
              </w:rPr>
              <w:t>Directorate Total</w:t>
            </w:r>
          </w:p>
        </w:tc>
        <w:tc>
          <w:tcPr>
            <w:tcW w:w="960" w:type="dxa"/>
            <w:tcBorders>
              <w:top w:val="nil"/>
              <w:left w:val="nil"/>
              <w:bottom w:val="nil"/>
              <w:right w:val="nil"/>
            </w:tcBorders>
            <w:shd w:val="clear" w:color="000000" w:fill="DDEBF7"/>
            <w:noWrap/>
            <w:vAlign w:val="bottom"/>
            <w:hideMark/>
          </w:tcPr>
          <w:p w14:paraId="4467FB89"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548</w:t>
            </w:r>
          </w:p>
        </w:tc>
        <w:tc>
          <w:tcPr>
            <w:tcW w:w="960" w:type="dxa"/>
            <w:tcBorders>
              <w:top w:val="nil"/>
              <w:left w:val="nil"/>
              <w:bottom w:val="nil"/>
              <w:right w:val="nil"/>
            </w:tcBorders>
            <w:shd w:val="clear" w:color="000000" w:fill="DDEBF7"/>
            <w:noWrap/>
            <w:vAlign w:val="bottom"/>
            <w:hideMark/>
          </w:tcPr>
          <w:p w14:paraId="64298EBC"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28</w:t>
            </w:r>
          </w:p>
        </w:tc>
        <w:tc>
          <w:tcPr>
            <w:tcW w:w="960" w:type="dxa"/>
            <w:tcBorders>
              <w:top w:val="nil"/>
              <w:left w:val="nil"/>
              <w:bottom w:val="nil"/>
              <w:right w:val="nil"/>
            </w:tcBorders>
            <w:shd w:val="clear" w:color="000000" w:fill="DDEBF7"/>
            <w:noWrap/>
            <w:vAlign w:val="bottom"/>
            <w:hideMark/>
          </w:tcPr>
          <w:p w14:paraId="2955A594"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-612</w:t>
            </w:r>
          </w:p>
        </w:tc>
        <w:tc>
          <w:tcPr>
            <w:tcW w:w="960" w:type="dxa"/>
            <w:tcBorders>
              <w:top w:val="nil"/>
              <w:left w:val="nil"/>
              <w:bottom w:val="nil"/>
              <w:right w:val="nil"/>
            </w:tcBorders>
            <w:shd w:val="clear" w:color="000000" w:fill="DDEBF7"/>
            <w:noWrap/>
            <w:vAlign w:val="bottom"/>
            <w:hideMark/>
          </w:tcPr>
          <w:p w14:paraId="55BDEC17"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-36</w:t>
            </w:r>
          </w:p>
        </w:tc>
      </w:tr>
      <w:tr w:rsidR="00E815F3" w:rsidRPr="00E815F3" w14:paraId="2A5801CC" w14:textId="77777777" w:rsidTr="00E815F3">
        <w:trPr>
          <w:trHeight w:val="300"/>
        </w:trPr>
        <w:tc>
          <w:tcPr>
            <w:tcW w:w="4860" w:type="dxa"/>
            <w:tcBorders>
              <w:top w:val="nil"/>
              <w:left w:val="nil"/>
              <w:bottom w:val="nil"/>
              <w:right w:val="nil"/>
            </w:tcBorders>
            <w:shd w:val="clear" w:color="000000" w:fill="FFFFFF"/>
            <w:noWrap/>
            <w:vAlign w:val="bottom"/>
            <w:hideMark/>
          </w:tcPr>
          <w:p w14:paraId="7B3D19D4" w14:textId="77777777" w:rsidR="00E815F3" w:rsidRPr="00E815F3" w:rsidRDefault="00E815F3" w:rsidP="00E815F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COVID</w:t>
            </w:r>
            <w:r w:rsidRPr="00E815F3">
              <w:rPr>
                <w:rFonts w:ascii="Calibri" w:eastAsia="Times New Roman" w:hAnsi="Calibri" w:cs="Calibri"/>
                <w:color w:val="000000"/>
                <w:lang w:eastAsia="en-GB"/>
              </w:rPr>
              <w:t xml:space="preserve"> 19 </w:t>
            </w:r>
          </w:p>
        </w:tc>
        <w:tc>
          <w:tcPr>
            <w:tcW w:w="960" w:type="dxa"/>
            <w:tcBorders>
              <w:top w:val="nil"/>
              <w:left w:val="nil"/>
              <w:bottom w:val="nil"/>
              <w:right w:val="nil"/>
            </w:tcBorders>
            <w:shd w:val="clear" w:color="000000" w:fill="FFFFFF"/>
            <w:noWrap/>
            <w:vAlign w:val="bottom"/>
            <w:hideMark/>
          </w:tcPr>
          <w:p w14:paraId="7214DCEA"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-12</w:t>
            </w:r>
          </w:p>
        </w:tc>
        <w:tc>
          <w:tcPr>
            <w:tcW w:w="960" w:type="dxa"/>
            <w:tcBorders>
              <w:top w:val="nil"/>
              <w:left w:val="nil"/>
              <w:bottom w:val="nil"/>
              <w:right w:val="nil"/>
            </w:tcBorders>
            <w:shd w:val="clear" w:color="000000" w:fill="FFFFFF"/>
            <w:noWrap/>
            <w:vAlign w:val="bottom"/>
            <w:hideMark/>
          </w:tcPr>
          <w:p w14:paraId="256BE370"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FF0000"/>
                <w:lang w:eastAsia="en-GB"/>
              </w:rPr>
              <w:t>-360</w:t>
            </w:r>
          </w:p>
        </w:tc>
        <w:tc>
          <w:tcPr>
            <w:tcW w:w="960" w:type="dxa"/>
            <w:tcBorders>
              <w:top w:val="nil"/>
              <w:left w:val="nil"/>
              <w:bottom w:val="nil"/>
              <w:right w:val="nil"/>
            </w:tcBorders>
            <w:shd w:val="clear" w:color="000000" w:fill="FFFFFF"/>
            <w:noWrap/>
            <w:vAlign w:val="bottom"/>
            <w:hideMark/>
          </w:tcPr>
          <w:p w14:paraId="3700FEDA" w14:textId="77777777" w:rsidR="00E815F3" w:rsidRPr="00E815F3" w:rsidRDefault="00E815F3" w:rsidP="00E815F3">
            <w:pPr>
              <w:spacing w:after="0" w:line="240" w:lineRule="auto"/>
              <w:jc w:val="right"/>
              <w:rPr>
                <w:rFonts w:ascii="Calibri" w:eastAsia="Times New Roman" w:hAnsi="Calibri" w:cs="Calibri"/>
                <w:color w:val="000000"/>
                <w:lang w:eastAsia="en-GB"/>
              </w:rPr>
            </w:pPr>
            <w:r w:rsidRPr="00E815F3">
              <w:rPr>
                <w:rFonts w:ascii="Calibri" w:eastAsia="Times New Roman" w:hAnsi="Calibri" w:cs="Calibri"/>
                <w:color w:val="000000"/>
                <w:lang w:eastAsia="en-GB"/>
              </w:rPr>
              <w:t>372</w:t>
            </w:r>
          </w:p>
        </w:tc>
        <w:tc>
          <w:tcPr>
            <w:tcW w:w="960" w:type="dxa"/>
            <w:tcBorders>
              <w:top w:val="nil"/>
              <w:left w:val="nil"/>
              <w:bottom w:val="nil"/>
              <w:right w:val="nil"/>
            </w:tcBorders>
            <w:shd w:val="clear" w:color="000000" w:fill="FFFFFF"/>
            <w:noWrap/>
            <w:vAlign w:val="bottom"/>
            <w:hideMark/>
          </w:tcPr>
          <w:p w14:paraId="3C3DCFC1" w14:textId="77777777" w:rsidR="00E815F3" w:rsidRPr="00AB2BD9" w:rsidRDefault="00AB2BD9" w:rsidP="00E815F3">
            <w:pPr>
              <w:spacing w:after="0" w:line="240" w:lineRule="auto"/>
              <w:jc w:val="right"/>
              <w:rPr>
                <w:rFonts w:ascii="Calibri" w:eastAsia="Times New Roman" w:hAnsi="Calibri" w:cs="Calibri"/>
                <w:lang w:eastAsia="en-GB"/>
              </w:rPr>
            </w:pPr>
            <w:r w:rsidRPr="00AB2BD9">
              <w:rPr>
                <w:rFonts w:ascii="Calibri" w:eastAsia="Times New Roman" w:hAnsi="Calibri" w:cs="Calibri"/>
                <w:lang w:eastAsia="en-GB"/>
              </w:rPr>
              <w:t>0</w:t>
            </w:r>
          </w:p>
        </w:tc>
      </w:tr>
      <w:tr w:rsidR="00E815F3" w:rsidRPr="00E815F3" w14:paraId="4B052A4D" w14:textId="77777777" w:rsidTr="00E815F3">
        <w:trPr>
          <w:trHeight w:val="300"/>
        </w:trPr>
        <w:tc>
          <w:tcPr>
            <w:tcW w:w="4860" w:type="dxa"/>
            <w:tcBorders>
              <w:top w:val="nil"/>
              <w:left w:val="nil"/>
              <w:bottom w:val="nil"/>
              <w:right w:val="nil"/>
            </w:tcBorders>
            <w:shd w:val="clear" w:color="000000" w:fill="DDEBF7"/>
            <w:noWrap/>
            <w:vAlign w:val="bottom"/>
            <w:hideMark/>
          </w:tcPr>
          <w:p w14:paraId="0D49AB0E" w14:textId="77777777" w:rsidR="00E815F3" w:rsidRPr="00E815F3" w:rsidRDefault="00E815F3" w:rsidP="00E815F3">
            <w:pPr>
              <w:spacing w:after="0" w:line="240" w:lineRule="auto"/>
              <w:rPr>
                <w:rFonts w:ascii="Calibri" w:eastAsia="Times New Roman" w:hAnsi="Calibri" w:cs="Calibri"/>
                <w:b/>
                <w:bCs/>
                <w:color w:val="000000"/>
                <w:lang w:eastAsia="en-GB"/>
              </w:rPr>
            </w:pPr>
            <w:r w:rsidRPr="00E815F3">
              <w:rPr>
                <w:rFonts w:ascii="Calibri" w:eastAsia="Times New Roman" w:hAnsi="Calibri" w:cs="Calibri"/>
                <w:b/>
                <w:bCs/>
                <w:color w:val="000000"/>
                <w:lang w:eastAsia="en-GB"/>
              </w:rPr>
              <w:t>COVID19 Total</w:t>
            </w:r>
          </w:p>
        </w:tc>
        <w:tc>
          <w:tcPr>
            <w:tcW w:w="960" w:type="dxa"/>
            <w:tcBorders>
              <w:top w:val="nil"/>
              <w:left w:val="nil"/>
              <w:bottom w:val="nil"/>
              <w:right w:val="nil"/>
            </w:tcBorders>
            <w:shd w:val="clear" w:color="000000" w:fill="DDEBF7"/>
            <w:noWrap/>
            <w:vAlign w:val="bottom"/>
            <w:hideMark/>
          </w:tcPr>
          <w:p w14:paraId="5E33F78C" w14:textId="77777777" w:rsidR="00E815F3" w:rsidRPr="00E815F3" w:rsidRDefault="00E815F3" w:rsidP="00E815F3">
            <w:pPr>
              <w:spacing w:after="0" w:line="240" w:lineRule="auto"/>
              <w:jc w:val="right"/>
              <w:rPr>
                <w:rFonts w:ascii="Calibri" w:eastAsia="Times New Roman" w:hAnsi="Calibri" w:cs="Calibri"/>
                <w:b/>
                <w:bCs/>
                <w:color w:val="000000"/>
                <w:lang w:eastAsia="en-GB"/>
              </w:rPr>
            </w:pPr>
            <w:r w:rsidRPr="00E815F3">
              <w:rPr>
                <w:rFonts w:ascii="Calibri" w:eastAsia="Times New Roman" w:hAnsi="Calibri" w:cs="Calibri"/>
                <w:b/>
                <w:bCs/>
                <w:color w:val="FF0000"/>
                <w:lang w:eastAsia="en-GB"/>
              </w:rPr>
              <w:t>-12</w:t>
            </w:r>
          </w:p>
        </w:tc>
        <w:tc>
          <w:tcPr>
            <w:tcW w:w="960" w:type="dxa"/>
            <w:tcBorders>
              <w:top w:val="nil"/>
              <w:left w:val="nil"/>
              <w:bottom w:val="nil"/>
              <w:right w:val="nil"/>
            </w:tcBorders>
            <w:shd w:val="clear" w:color="000000" w:fill="DDEBF7"/>
            <w:noWrap/>
            <w:vAlign w:val="bottom"/>
            <w:hideMark/>
          </w:tcPr>
          <w:p w14:paraId="0AACB04C" w14:textId="77777777" w:rsidR="00E815F3" w:rsidRPr="00E815F3" w:rsidRDefault="00E815F3" w:rsidP="00E815F3">
            <w:pPr>
              <w:spacing w:after="0" w:line="240" w:lineRule="auto"/>
              <w:jc w:val="right"/>
              <w:rPr>
                <w:rFonts w:ascii="Calibri" w:eastAsia="Times New Roman" w:hAnsi="Calibri" w:cs="Calibri"/>
                <w:b/>
                <w:bCs/>
                <w:color w:val="000000"/>
                <w:lang w:eastAsia="en-GB"/>
              </w:rPr>
            </w:pPr>
            <w:r w:rsidRPr="00E815F3">
              <w:rPr>
                <w:rFonts w:ascii="Calibri" w:eastAsia="Times New Roman" w:hAnsi="Calibri" w:cs="Calibri"/>
                <w:b/>
                <w:bCs/>
                <w:color w:val="FF0000"/>
                <w:lang w:eastAsia="en-GB"/>
              </w:rPr>
              <w:t>-360</w:t>
            </w:r>
          </w:p>
        </w:tc>
        <w:tc>
          <w:tcPr>
            <w:tcW w:w="960" w:type="dxa"/>
            <w:tcBorders>
              <w:top w:val="nil"/>
              <w:left w:val="nil"/>
              <w:bottom w:val="nil"/>
              <w:right w:val="nil"/>
            </w:tcBorders>
            <w:shd w:val="clear" w:color="000000" w:fill="DDEBF7"/>
            <w:noWrap/>
            <w:vAlign w:val="bottom"/>
            <w:hideMark/>
          </w:tcPr>
          <w:p w14:paraId="1DF3FF72" w14:textId="77777777" w:rsidR="00E815F3" w:rsidRPr="00E815F3" w:rsidRDefault="00E815F3" w:rsidP="00E815F3">
            <w:pPr>
              <w:spacing w:after="0" w:line="240" w:lineRule="auto"/>
              <w:jc w:val="right"/>
              <w:rPr>
                <w:rFonts w:ascii="Calibri" w:eastAsia="Times New Roman" w:hAnsi="Calibri" w:cs="Calibri"/>
                <w:b/>
                <w:bCs/>
                <w:color w:val="000000"/>
                <w:lang w:eastAsia="en-GB"/>
              </w:rPr>
            </w:pPr>
            <w:r w:rsidRPr="00E815F3">
              <w:rPr>
                <w:rFonts w:ascii="Calibri" w:eastAsia="Times New Roman" w:hAnsi="Calibri" w:cs="Calibri"/>
                <w:b/>
                <w:bCs/>
                <w:color w:val="000000"/>
                <w:lang w:eastAsia="en-GB"/>
              </w:rPr>
              <w:t>372</w:t>
            </w:r>
          </w:p>
        </w:tc>
        <w:tc>
          <w:tcPr>
            <w:tcW w:w="960" w:type="dxa"/>
            <w:tcBorders>
              <w:top w:val="nil"/>
              <w:left w:val="nil"/>
              <w:bottom w:val="nil"/>
              <w:right w:val="nil"/>
            </w:tcBorders>
            <w:shd w:val="clear" w:color="000000" w:fill="DDEBF7"/>
            <w:noWrap/>
            <w:vAlign w:val="bottom"/>
            <w:hideMark/>
          </w:tcPr>
          <w:p w14:paraId="349B75DB" w14:textId="77777777" w:rsidR="00E815F3" w:rsidRPr="00AB2BD9" w:rsidRDefault="00AB2BD9" w:rsidP="00E815F3">
            <w:pPr>
              <w:spacing w:after="0" w:line="240" w:lineRule="auto"/>
              <w:jc w:val="right"/>
              <w:rPr>
                <w:rFonts w:ascii="Calibri" w:eastAsia="Times New Roman" w:hAnsi="Calibri" w:cs="Calibri"/>
                <w:b/>
                <w:bCs/>
                <w:lang w:eastAsia="en-GB"/>
              </w:rPr>
            </w:pPr>
            <w:r w:rsidRPr="00AB2BD9">
              <w:rPr>
                <w:rFonts w:ascii="Calibri" w:eastAsia="Times New Roman" w:hAnsi="Calibri" w:cs="Calibri"/>
                <w:b/>
                <w:bCs/>
                <w:lang w:eastAsia="en-GB"/>
              </w:rPr>
              <w:t>0</w:t>
            </w:r>
          </w:p>
        </w:tc>
      </w:tr>
      <w:tr w:rsidR="00E815F3" w:rsidRPr="00E815F3" w14:paraId="162039E2" w14:textId="77777777" w:rsidTr="00E815F3">
        <w:trPr>
          <w:trHeight w:val="300"/>
        </w:trPr>
        <w:tc>
          <w:tcPr>
            <w:tcW w:w="4860" w:type="dxa"/>
            <w:tcBorders>
              <w:top w:val="nil"/>
              <w:left w:val="nil"/>
              <w:bottom w:val="nil"/>
              <w:right w:val="nil"/>
            </w:tcBorders>
            <w:shd w:val="clear" w:color="DDEBF7" w:fill="BDD7EE"/>
            <w:noWrap/>
            <w:vAlign w:val="bottom"/>
            <w:hideMark/>
          </w:tcPr>
          <w:p w14:paraId="20349A5A" w14:textId="77777777" w:rsidR="00E815F3" w:rsidRPr="00E815F3" w:rsidRDefault="00E815F3" w:rsidP="00E815F3">
            <w:pPr>
              <w:spacing w:after="0" w:line="240" w:lineRule="auto"/>
              <w:rPr>
                <w:rFonts w:ascii="Calibri" w:eastAsia="Times New Roman" w:hAnsi="Calibri" w:cs="Calibri"/>
                <w:b/>
                <w:bCs/>
                <w:lang w:eastAsia="en-GB"/>
              </w:rPr>
            </w:pPr>
            <w:r w:rsidRPr="00E815F3">
              <w:rPr>
                <w:rFonts w:ascii="Calibri" w:eastAsia="Times New Roman" w:hAnsi="Calibri" w:cs="Calibri"/>
                <w:b/>
                <w:bCs/>
                <w:lang w:eastAsia="en-GB"/>
              </w:rPr>
              <w:t>Grand Total</w:t>
            </w:r>
          </w:p>
        </w:tc>
        <w:tc>
          <w:tcPr>
            <w:tcW w:w="960" w:type="dxa"/>
            <w:tcBorders>
              <w:top w:val="nil"/>
              <w:left w:val="nil"/>
              <w:bottom w:val="nil"/>
              <w:right w:val="nil"/>
            </w:tcBorders>
            <w:shd w:val="clear" w:color="DDEBF7" w:fill="BDD7EE"/>
            <w:noWrap/>
            <w:vAlign w:val="bottom"/>
            <w:hideMark/>
          </w:tcPr>
          <w:p w14:paraId="1D122206" w14:textId="77777777" w:rsidR="00E815F3" w:rsidRPr="00E815F3" w:rsidRDefault="00E815F3" w:rsidP="00E815F3">
            <w:pPr>
              <w:spacing w:after="0" w:line="240" w:lineRule="auto"/>
              <w:jc w:val="right"/>
              <w:rPr>
                <w:rFonts w:ascii="Calibri" w:eastAsia="Times New Roman" w:hAnsi="Calibri" w:cs="Calibri"/>
                <w:b/>
                <w:bCs/>
                <w:lang w:eastAsia="en-GB"/>
              </w:rPr>
            </w:pPr>
            <w:r w:rsidRPr="00E815F3">
              <w:rPr>
                <w:rFonts w:ascii="Calibri" w:eastAsia="Times New Roman" w:hAnsi="Calibri" w:cs="Calibri"/>
                <w:b/>
                <w:bCs/>
                <w:lang w:eastAsia="en-GB"/>
              </w:rPr>
              <w:t>536</w:t>
            </w:r>
          </w:p>
        </w:tc>
        <w:tc>
          <w:tcPr>
            <w:tcW w:w="960" w:type="dxa"/>
            <w:tcBorders>
              <w:top w:val="nil"/>
              <w:left w:val="nil"/>
              <w:bottom w:val="nil"/>
              <w:right w:val="nil"/>
            </w:tcBorders>
            <w:shd w:val="clear" w:color="DDEBF7" w:fill="BDD7EE"/>
            <w:noWrap/>
            <w:vAlign w:val="bottom"/>
            <w:hideMark/>
          </w:tcPr>
          <w:p w14:paraId="5BB003EA" w14:textId="77777777" w:rsidR="00E815F3" w:rsidRPr="00E815F3" w:rsidRDefault="00E815F3" w:rsidP="00E815F3">
            <w:pPr>
              <w:spacing w:after="0" w:line="240" w:lineRule="auto"/>
              <w:jc w:val="right"/>
              <w:rPr>
                <w:rFonts w:ascii="Calibri" w:eastAsia="Times New Roman" w:hAnsi="Calibri" w:cs="Calibri"/>
                <w:b/>
                <w:bCs/>
                <w:lang w:eastAsia="en-GB"/>
              </w:rPr>
            </w:pPr>
            <w:r w:rsidRPr="00E815F3">
              <w:rPr>
                <w:rFonts w:ascii="Calibri" w:eastAsia="Times New Roman" w:hAnsi="Calibri" w:cs="Calibri"/>
                <w:b/>
                <w:bCs/>
                <w:color w:val="FF0000"/>
                <w:lang w:eastAsia="en-GB"/>
              </w:rPr>
              <w:t>-332</w:t>
            </w:r>
          </w:p>
        </w:tc>
        <w:tc>
          <w:tcPr>
            <w:tcW w:w="960" w:type="dxa"/>
            <w:tcBorders>
              <w:top w:val="nil"/>
              <w:left w:val="nil"/>
              <w:bottom w:val="nil"/>
              <w:right w:val="nil"/>
            </w:tcBorders>
            <w:shd w:val="clear" w:color="DDEBF7" w:fill="BDD7EE"/>
            <w:noWrap/>
            <w:vAlign w:val="bottom"/>
            <w:hideMark/>
          </w:tcPr>
          <w:p w14:paraId="0A9309A5" w14:textId="77777777" w:rsidR="00E815F3" w:rsidRPr="00E815F3" w:rsidRDefault="00E815F3" w:rsidP="00E815F3">
            <w:pPr>
              <w:spacing w:after="0" w:line="240" w:lineRule="auto"/>
              <w:jc w:val="right"/>
              <w:rPr>
                <w:rFonts w:ascii="Calibri" w:eastAsia="Times New Roman" w:hAnsi="Calibri" w:cs="Calibri"/>
                <w:b/>
                <w:bCs/>
                <w:lang w:eastAsia="en-GB"/>
              </w:rPr>
            </w:pPr>
            <w:r w:rsidRPr="00E815F3">
              <w:rPr>
                <w:rFonts w:ascii="Calibri" w:eastAsia="Times New Roman" w:hAnsi="Calibri" w:cs="Calibri"/>
                <w:b/>
                <w:bCs/>
                <w:color w:val="FF0000"/>
                <w:lang w:eastAsia="en-GB"/>
              </w:rPr>
              <w:t>-240</w:t>
            </w:r>
          </w:p>
        </w:tc>
        <w:tc>
          <w:tcPr>
            <w:tcW w:w="960" w:type="dxa"/>
            <w:tcBorders>
              <w:top w:val="nil"/>
              <w:left w:val="nil"/>
              <w:bottom w:val="nil"/>
              <w:right w:val="nil"/>
            </w:tcBorders>
            <w:shd w:val="clear" w:color="DDEBF7" w:fill="BDD7EE"/>
            <w:noWrap/>
            <w:vAlign w:val="bottom"/>
            <w:hideMark/>
          </w:tcPr>
          <w:p w14:paraId="45E5A60E" w14:textId="77777777" w:rsidR="00E815F3" w:rsidRPr="00E815F3" w:rsidRDefault="00E815F3" w:rsidP="00E815F3">
            <w:pPr>
              <w:spacing w:after="0" w:line="240" w:lineRule="auto"/>
              <w:jc w:val="right"/>
              <w:rPr>
                <w:rFonts w:ascii="Calibri" w:eastAsia="Times New Roman" w:hAnsi="Calibri" w:cs="Calibri"/>
                <w:b/>
                <w:bCs/>
                <w:lang w:eastAsia="en-GB"/>
              </w:rPr>
            </w:pPr>
            <w:r w:rsidRPr="00E815F3">
              <w:rPr>
                <w:rFonts w:ascii="Calibri" w:eastAsia="Times New Roman" w:hAnsi="Calibri" w:cs="Calibri"/>
                <w:b/>
                <w:bCs/>
                <w:color w:val="FF0000"/>
                <w:lang w:eastAsia="en-GB"/>
              </w:rPr>
              <w:t>-36</w:t>
            </w:r>
          </w:p>
        </w:tc>
      </w:tr>
    </w:tbl>
    <w:p w14:paraId="6D5961EC" w14:textId="77777777" w:rsidR="003050AA" w:rsidRPr="005F3065" w:rsidRDefault="003050AA" w:rsidP="003D446B">
      <w:pPr>
        <w:jc w:val="both"/>
        <w:rPr>
          <w:rFonts w:ascii="Verdana" w:hAnsi="Verdana"/>
          <w:sz w:val="24"/>
          <w:szCs w:val="24"/>
          <w:highlight w:val="magenta"/>
        </w:rPr>
      </w:pPr>
    </w:p>
    <w:p w14:paraId="190E9E3C" w14:textId="465AF03A" w:rsidR="0027692B" w:rsidRDefault="00B72CFD" w:rsidP="00AA223C">
      <w:pPr>
        <w:spacing w:before="200" w:after="0" w:line="240" w:lineRule="auto"/>
        <w:jc w:val="both"/>
        <w:rPr>
          <w:rFonts w:ascii="Verdana" w:hAnsi="Verdana"/>
          <w:sz w:val="24"/>
          <w:szCs w:val="24"/>
        </w:rPr>
      </w:pPr>
      <w:r w:rsidRPr="003916BB">
        <w:rPr>
          <w:rFonts w:ascii="Verdana" w:hAnsi="Verdana"/>
          <w:sz w:val="24"/>
          <w:szCs w:val="24"/>
        </w:rPr>
        <w:t>The main variance at M</w:t>
      </w:r>
      <w:r w:rsidR="003916BB" w:rsidRPr="003916BB">
        <w:rPr>
          <w:rFonts w:ascii="Verdana" w:hAnsi="Verdana"/>
          <w:sz w:val="24"/>
          <w:szCs w:val="24"/>
        </w:rPr>
        <w:t>onth 9</w:t>
      </w:r>
      <w:r w:rsidR="00AA223C" w:rsidRPr="003916BB">
        <w:rPr>
          <w:rFonts w:ascii="Verdana" w:hAnsi="Verdana"/>
          <w:sz w:val="24"/>
          <w:szCs w:val="24"/>
        </w:rPr>
        <w:t xml:space="preserve"> is within Public Health Services. </w:t>
      </w:r>
      <w:r w:rsidR="0027692B" w:rsidRPr="003916BB">
        <w:rPr>
          <w:rFonts w:ascii="Verdana" w:hAnsi="Verdana"/>
          <w:sz w:val="24"/>
          <w:szCs w:val="24"/>
        </w:rPr>
        <w:t>Microbiology division has ov</w:t>
      </w:r>
      <w:r w:rsidR="000E6FBA" w:rsidRPr="003916BB">
        <w:rPr>
          <w:rFonts w:ascii="Verdana" w:hAnsi="Verdana"/>
          <w:sz w:val="24"/>
          <w:szCs w:val="24"/>
        </w:rPr>
        <w:t xml:space="preserve">erspent </w:t>
      </w:r>
      <w:r w:rsidR="00337323" w:rsidRPr="003916BB">
        <w:rPr>
          <w:rFonts w:ascii="Verdana" w:hAnsi="Verdana"/>
          <w:sz w:val="24"/>
          <w:szCs w:val="24"/>
        </w:rPr>
        <w:t>to</w:t>
      </w:r>
      <w:r w:rsidR="003916BB" w:rsidRPr="003916BB">
        <w:rPr>
          <w:rFonts w:ascii="Verdana" w:hAnsi="Verdana"/>
          <w:sz w:val="24"/>
          <w:szCs w:val="24"/>
        </w:rPr>
        <w:t xml:space="preserve"> month 9 by £1.653</w:t>
      </w:r>
      <w:r w:rsidR="0027692B" w:rsidRPr="003916BB">
        <w:rPr>
          <w:rFonts w:ascii="Verdana" w:hAnsi="Verdana"/>
          <w:sz w:val="24"/>
          <w:szCs w:val="24"/>
        </w:rPr>
        <w:t xml:space="preserve">m, </w:t>
      </w:r>
      <w:r w:rsidR="00140A18">
        <w:rPr>
          <w:rFonts w:ascii="Verdana" w:hAnsi="Verdana"/>
          <w:sz w:val="24"/>
          <w:szCs w:val="24"/>
        </w:rPr>
        <w:t xml:space="preserve">mainly </w:t>
      </w:r>
      <w:r w:rsidR="00291A04">
        <w:rPr>
          <w:rFonts w:ascii="Verdana" w:hAnsi="Verdana"/>
          <w:sz w:val="24"/>
          <w:szCs w:val="24"/>
        </w:rPr>
        <w:t>due to the</w:t>
      </w:r>
      <w:r w:rsidR="00140A18">
        <w:rPr>
          <w:rFonts w:ascii="Verdana" w:hAnsi="Verdana"/>
          <w:sz w:val="24"/>
          <w:szCs w:val="24"/>
        </w:rPr>
        <w:t xml:space="preserve"> underachievement against income </w:t>
      </w:r>
      <w:r w:rsidR="00291A04">
        <w:rPr>
          <w:rFonts w:ascii="Verdana" w:hAnsi="Verdana"/>
          <w:sz w:val="24"/>
          <w:szCs w:val="24"/>
        </w:rPr>
        <w:t xml:space="preserve">targets </w:t>
      </w:r>
      <w:r w:rsidR="00140A18">
        <w:rPr>
          <w:rFonts w:ascii="Verdana" w:hAnsi="Verdana"/>
          <w:sz w:val="24"/>
          <w:szCs w:val="24"/>
        </w:rPr>
        <w:t>and pay pressures in medical staffing in North Wales.  The</w:t>
      </w:r>
      <w:r w:rsidR="0027692B" w:rsidRPr="003916BB">
        <w:rPr>
          <w:rFonts w:ascii="Verdana" w:hAnsi="Verdana"/>
          <w:sz w:val="24"/>
          <w:szCs w:val="24"/>
        </w:rPr>
        <w:t xml:space="preserve"> overspend has been partially offset by underspen</w:t>
      </w:r>
      <w:r w:rsidR="003916BB" w:rsidRPr="003916BB">
        <w:rPr>
          <w:rFonts w:ascii="Verdana" w:hAnsi="Verdana"/>
          <w:sz w:val="24"/>
          <w:szCs w:val="24"/>
        </w:rPr>
        <w:t>ds in Screening division of £864</w:t>
      </w:r>
      <w:r w:rsidR="0027692B" w:rsidRPr="003916BB">
        <w:rPr>
          <w:rFonts w:ascii="Verdana" w:hAnsi="Verdana"/>
          <w:sz w:val="24"/>
          <w:szCs w:val="24"/>
        </w:rPr>
        <w:t>k, He</w:t>
      </w:r>
      <w:r w:rsidR="003916BB" w:rsidRPr="003916BB">
        <w:rPr>
          <w:rFonts w:ascii="Verdana" w:hAnsi="Verdana"/>
          <w:sz w:val="24"/>
          <w:szCs w:val="24"/>
        </w:rPr>
        <w:t>alth Protection division of £415k, SPR Division of £112</w:t>
      </w:r>
      <w:r w:rsidR="0027692B" w:rsidRPr="003916BB">
        <w:rPr>
          <w:rFonts w:ascii="Verdana" w:hAnsi="Verdana"/>
          <w:sz w:val="24"/>
          <w:szCs w:val="24"/>
        </w:rPr>
        <w:t>k and Public Health Se</w:t>
      </w:r>
      <w:r w:rsidR="003916BB" w:rsidRPr="003916BB">
        <w:rPr>
          <w:rFonts w:ascii="Verdana" w:hAnsi="Verdana"/>
          <w:sz w:val="24"/>
          <w:szCs w:val="24"/>
        </w:rPr>
        <w:t>rvices Corporate division of £43</w:t>
      </w:r>
      <w:r w:rsidR="0027692B" w:rsidRPr="003916BB">
        <w:rPr>
          <w:rFonts w:ascii="Verdana" w:hAnsi="Verdana"/>
          <w:sz w:val="24"/>
          <w:szCs w:val="24"/>
        </w:rPr>
        <w:t xml:space="preserve">k resulting in a </w:t>
      </w:r>
      <w:r w:rsidR="00337323" w:rsidRPr="003916BB">
        <w:rPr>
          <w:rFonts w:ascii="Verdana" w:hAnsi="Verdana"/>
          <w:sz w:val="24"/>
          <w:szCs w:val="24"/>
        </w:rPr>
        <w:t xml:space="preserve">net </w:t>
      </w:r>
      <w:r w:rsidR="0027692B" w:rsidRPr="003916BB">
        <w:rPr>
          <w:rFonts w:ascii="Verdana" w:hAnsi="Verdana"/>
          <w:sz w:val="24"/>
          <w:szCs w:val="24"/>
        </w:rPr>
        <w:t>Directorat</w:t>
      </w:r>
      <w:r w:rsidR="003916BB" w:rsidRPr="003916BB">
        <w:rPr>
          <w:rFonts w:ascii="Verdana" w:hAnsi="Verdana"/>
          <w:sz w:val="24"/>
          <w:szCs w:val="24"/>
        </w:rPr>
        <w:t>e month 8 overspend of £219</w:t>
      </w:r>
      <w:r w:rsidR="0027692B" w:rsidRPr="003916BB">
        <w:rPr>
          <w:rFonts w:ascii="Verdana" w:hAnsi="Verdana"/>
          <w:sz w:val="24"/>
          <w:szCs w:val="24"/>
        </w:rPr>
        <w:t xml:space="preserve">k.  </w:t>
      </w:r>
      <w:r w:rsidR="00140A18">
        <w:rPr>
          <w:rFonts w:ascii="Verdana" w:hAnsi="Verdana"/>
          <w:sz w:val="24"/>
          <w:szCs w:val="24"/>
        </w:rPr>
        <w:t xml:space="preserve">These underspends are </w:t>
      </w:r>
      <w:r w:rsidR="00291A04">
        <w:rPr>
          <w:rFonts w:ascii="Verdana" w:hAnsi="Verdana"/>
          <w:sz w:val="24"/>
          <w:szCs w:val="24"/>
        </w:rPr>
        <w:t>in the main due to</w:t>
      </w:r>
      <w:r w:rsidR="00140A18">
        <w:rPr>
          <w:rFonts w:ascii="Verdana" w:hAnsi="Verdana"/>
          <w:sz w:val="24"/>
          <w:szCs w:val="24"/>
        </w:rPr>
        <w:t xml:space="preserve"> slippage on </w:t>
      </w:r>
      <w:r w:rsidR="00291A04">
        <w:rPr>
          <w:rFonts w:ascii="Verdana" w:hAnsi="Verdana"/>
          <w:sz w:val="24"/>
          <w:szCs w:val="24"/>
        </w:rPr>
        <w:t xml:space="preserve">recruitment to established posts. </w:t>
      </w:r>
      <w:r w:rsidR="0027692B" w:rsidRPr="003916BB">
        <w:rPr>
          <w:rFonts w:ascii="Verdana" w:hAnsi="Verdana"/>
          <w:sz w:val="24"/>
          <w:szCs w:val="24"/>
        </w:rPr>
        <w:t xml:space="preserve">Public Health Services Directorate will </w:t>
      </w:r>
      <w:r w:rsidR="00750FAB" w:rsidRPr="003916BB">
        <w:rPr>
          <w:rFonts w:ascii="Verdana" w:hAnsi="Verdana"/>
          <w:sz w:val="24"/>
          <w:szCs w:val="24"/>
        </w:rPr>
        <w:t>continue</w:t>
      </w:r>
      <w:r w:rsidR="0027692B" w:rsidRPr="003916BB">
        <w:rPr>
          <w:rFonts w:ascii="Verdana" w:hAnsi="Verdana"/>
          <w:sz w:val="24"/>
          <w:szCs w:val="24"/>
        </w:rPr>
        <w:t xml:space="preserve"> to </w:t>
      </w:r>
      <w:r w:rsidR="00750FAB" w:rsidRPr="003916BB">
        <w:rPr>
          <w:rFonts w:ascii="Verdana" w:hAnsi="Verdana"/>
          <w:sz w:val="24"/>
          <w:szCs w:val="24"/>
        </w:rPr>
        <w:t xml:space="preserve">work towards </w:t>
      </w:r>
      <w:r w:rsidR="0027692B" w:rsidRPr="003916BB">
        <w:rPr>
          <w:rFonts w:ascii="Verdana" w:hAnsi="Verdana"/>
          <w:sz w:val="24"/>
          <w:szCs w:val="24"/>
        </w:rPr>
        <w:t>a</w:t>
      </w:r>
      <w:r w:rsidR="00204E18">
        <w:rPr>
          <w:rFonts w:ascii="Verdana" w:hAnsi="Verdana"/>
          <w:sz w:val="24"/>
          <w:szCs w:val="24"/>
        </w:rPr>
        <w:t>n overall</w:t>
      </w:r>
      <w:r w:rsidR="0027692B" w:rsidRPr="003916BB">
        <w:rPr>
          <w:rFonts w:ascii="Verdana" w:hAnsi="Verdana"/>
          <w:sz w:val="24"/>
          <w:szCs w:val="24"/>
        </w:rPr>
        <w:t xml:space="preserve"> </w:t>
      </w:r>
      <w:r w:rsidR="00750FAB" w:rsidRPr="003916BB">
        <w:rPr>
          <w:rFonts w:ascii="Verdana" w:hAnsi="Verdana"/>
          <w:sz w:val="24"/>
          <w:szCs w:val="24"/>
        </w:rPr>
        <w:t xml:space="preserve">year-end </w:t>
      </w:r>
      <w:r w:rsidR="0027692B" w:rsidRPr="003916BB">
        <w:rPr>
          <w:rFonts w:ascii="Verdana" w:hAnsi="Verdana"/>
          <w:sz w:val="24"/>
          <w:szCs w:val="24"/>
        </w:rPr>
        <w:t>break-even plan</w:t>
      </w:r>
      <w:r w:rsidR="00750FAB" w:rsidRPr="003916BB">
        <w:rPr>
          <w:rFonts w:ascii="Verdana" w:hAnsi="Verdana"/>
          <w:sz w:val="24"/>
          <w:szCs w:val="24"/>
        </w:rPr>
        <w:t>.</w:t>
      </w:r>
      <w:r w:rsidR="0027692B" w:rsidRPr="003916BB">
        <w:rPr>
          <w:rFonts w:ascii="Verdana" w:hAnsi="Verdana"/>
          <w:sz w:val="24"/>
          <w:szCs w:val="24"/>
        </w:rPr>
        <w:t xml:space="preserve"> </w:t>
      </w:r>
    </w:p>
    <w:p w14:paraId="60D9353E" w14:textId="77777777" w:rsidR="002A16EC" w:rsidRPr="005F3065" w:rsidRDefault="002A16EC" w:rsidP="003D446B">
      <w:pPr>
        <w:jc w:val="both"/>
        <w:rPr>
          <w:rFonts w:ascii="Verdana" w:hAnsi="Verdana"/>
          <w:b/>
          <w:sz w:val="24"/>
          <w:szCs w:val="24"/>
          <w:highlight w:val="magenta"/>
        </w:rPr>
      </w:pPr>
    </w:p>
    <w:p w14:paraId="07DC7660" w14:textId="77777777" w:rsidR="00547503" w:rsidRPr="003916BB" w:rsidRDefault="00AA223C" w:rsidP="003D446B">
      <w:pPr>
        <w:jc w:val="both"/>
        <w:rPr>
          <w:rFonts w:ascii="Verdana" w:hAnsi="Verdana"/>
          <w:b/>
          <w:sz w:val="24"/>
          <w:szCs w:val="24"/>
        </w:rPr>
      </w:pPr>
      <w:r w:rsidRPr="003916BB">
        <w:rPr>
          <w:rFonts w:ascii="Verdana" w:hAnsi="Verdana"/>
          <w:b/>
          <w:sz w:val="24"/>
          <w:szCs w:val="24"/>
        </w:rPr>
        <w:t xml:space="preserve">2.2 </w:t>
      </w:r>
      <w:r w:rsidR="00547503" w:rsidRPr="003916BB">
        <w:rPr>
          <w:rFonts w:ascii="Verdana" w:hAnsi="Verdana"/>
          <w:b/>
          <w:sz w:val="24"/>
          <w:szCs w:val="24"/>
        </w:rPr>
        <w:t>Assumed Welsh Government Allocations</w:t>
      </w:r>
    </w:p>
    <w:p w14:paraId="2FB5F51A" w14:textId="77777777" w:rsidR="003D446B" w:rsidRPr="003916BB" w:rsidRDefault="003D446B" w:rsidP="003D446B">
      <w:pPr>
        <w:jc w:val="both"/>
        <w:rPr>
          <w:rFonts w:ascii="Verdana" w:eastAsia="Times New Roman" w:hAnsi="Verdana"/>
          <w:sz w:val="24"/>
          <w:szCs w:val="24"/>
        </w:rPr>
      </w:pPr>
      <w:r w:rsidRPr="003916BB">
        <w:rPr>
          <w:rFonts w:ascii="Verdana" w:hAnsi="Verdana"/>
          <w:sz w:val="24"/>
          <w:szCs w:val="24"/>
        </w:rPr>
        <w:t>The monitoring return submitted to Welsh Government includes the request for additional allocation to support the following costs included within th</w:t>
      </w:r>
      <w:r w:rsidR="00112660" w:rsidRPr="003916BB">
        <w:rPr>
          <w:rFonts w:ascii="Verdana" w:hAnsi="Verdana"/>
          <w:sz w:val="24"/>
          <w:szCs w:val="24"/>
        </w:rPr>
        <w:t xml:space="preserve">e month </w:t>
      </w:r>
      <w:r w:rsidR="003916BB" w:rsidRPr="003916BB">
        <w:rPr>
          <w:rFonts w:ascii="Verdana" w:hAnsi="Verdana"/>
          <w:sz w:val="24"/>
          <w:szCs w:val="24"/>
        </w:rPr>
        <w:t>9</w:t>
      </w:r>
      <w:r w:rsidR="001C653D" w:rsidRPr="003916BB">
        <w:rPr>
          <w:rFonts w:ascii="Verdana" w:hAnsi="Verdana"/>
          <w:sz w:val="24"/>
          <w:szCs w:val="24"/>
        </w:rPr>
        <w:t xml:space="preserve"> </w:t>
      </w:r>
      <w:r w:rsidRPr="003916BB">
        <w:rPr>
          <w:rFonts w:ascii="Verdana" w:hAnsi="Verdana"/>
          <w:sz w:val="24"/>
          <w:szCs w:val="24"/>
        </w:rPr>
        <w:t>position:-</w:t>
      </w:r>
    </w:p>
    <w:p w14:paraId="7288B112" w14:textId="77777777" w:rsidR="00B6467E" w:rsidRPr="003916BB" w:rsidRDefault="00B6467E" w:rsidP="003D446B">
      <w:pPr>
        <w:jc w:val="both"/>
        <w:rPr>
          <w:rFonts w:ascii="Verdana" w:hAnsi="Verdana"/>
          <w:b/>
          <w:sz w:val="24"/>
          <w:szCs w:val="24"/>
        </w:rPr>
      </w:pPr>
      <w:r w:rsidRPr="003916BB">
        <w:rPr>
          <w:rFonts w:ascii="Verdana" w:hAnsi="Verdana"/>
          <w:b/>
          <w:sz w:val="24"/>
          <w:szCs w:val="24"/>
        </w:rPr>
        <w:t>Table B</w:t>
      </w:r>
      <w:r w:rsidR="00B73677" w:rsidRPr="003916BB">
        <w:rPr>
          <w:rFonts w:ascii="Verdana" w:hAnsi="Verdana"/>
          <w:b/>
          <w:sz w:val="24"/>
          <w:szCs w:val="24"/>
        </w:rPr>
        <w:t xml:space="preserve"> – Assumed Welsh Government Allocations</w:t>
      </w:r>
    </w:p>
    <w:tbl>
      <w:tblPr>
        <w:tblW w:w="9070" w:type="dxa"/>
        <w:tblLook w:val="04A0" w:firstRow="1" w:lastRow="0" w:firstColumn="1" w:lastColumn="0" w:noHBand="0" w:noVBand="1"/>
      </w:tblPr>
      <w:tblGrid>
        <w:gridCol w:w="3520"/>
        <w:gridCol w:w="1624"/>
        <w:gridCol w:w="1624"/>
        <w:gridCol w:w="2302"/>
      </w:tblGrid>
      <w:tr w:rsidR="006C263E" w:rsidRPr="005F3065" w14:paraId="29B812EF" w14:textId="77777777" w:rsidTr="006C263E">
        <w:trPr>
          <w:trHeight w:val="468"/>
        </w:trPr>
        <w:tc>
          <w:tcPr>
            <w:tcW w:w="3520" w:type="dxa"/>
            <w:tcBorders>
              <w:top w:val="nil"/>
              <w:left w:val="nil"/>
              <w:bottom w:val="single" w:sz="8" w:space="0" w:color="9BC2E6"/>
              <w:right w:val="nil"/>
            </w:tcBorders>
            <w:shd w:val="clear" w:color="000000" w:fill="DDEBF7"/>
            <w:vAlign w:val="center"/>
            <w:hideMark/>
          </w:tcPr>
          <w:p w14:paraId="00FDFC73" w14:textId="77777777" w:rsidR="006C263E" w:rsidRPr="003916BB" w:rsidRDefault="006C263E" w:rsidP="006C263E">
            <w:pPr>
              <w:spacing w:after="0" w:line="240" w:lineRule="auto"/>
              <w:jc w:val="center"/>
              <w:rPr>
                <w:rFonts w:ascii="Calibri" w:eastAsia="Times New Roman" w:hAnsi="Calibri" w:cs="Calibri"/>
                <w:b/>
                <w:bCs/>
                <w:color w:val="000000"/>
                <w:lang w:eastAsia="en-GB"/>
              </w:rPr>
            </w:pPr>
            <w:r w:rsidRPr="003916BB">
              <w:rPr>
                <w:rFonts w:ascii="Calibri" w:eastAsia="Times New Roman" w:hAnsi="Calibri" w:cs="Calibri"/>
                <w:b/>
                <w:bCs/>
                <w:color w:val="000000"/>
                <w:lang w:eastAsia="en-GB"/>
              </w:rPr>
              <w:t>Theme/Area </w:t>
            </w:r>
          </w:p>
        </w:tc>
        <w:tc>
          <w:tcPr>
            <w:tcW w:w="1624" w:type="dxa"/>
            <w:tcBorders>
              <w:top w:val="nil"/>
              <w:left w:val="nil"/>
              <w:bottom w:val="single" w:sz="8" w:space="0" w:color="9BC2E6"/>
              <w:right w:val="nil"/>
            </w:tcBorders>
            <w:shd w:val="clear" w:color="000000" w:fill="DDEBF7"/>
            <w:vAlign w:val="center"/>
            <w:hideMark/>
          </w:tcPr>
          <w:p w14:paraId="2ACA7376" w14:textId="77777777" w:rsidR="006C263E" w:rsidRPr="003916BB" w:rsidRDefault="006C263E" w:rsidP="006C263E">
            <w:pPr>
              <w:spacing w:after="0" w:line="240" w:lineRule="auto"/>
              <w:jc w:val="center"/>
              <w:rPr>
                <w:rFonts w:ascii="Calibri" w:eastAsia="Times New Roman" w:hAnsi="Calibri" w:cs="Calibri"/>
                <w:b/>
                <w:bCs/>
                <w:color w:val="000000"/>
                <w:lang w:eastAsia="en-GB"/>
              </w:rPr>
            </w:pPr>
            <w:r w:rsidRPr="003916BB">
              <w:rPr>
                <w:rFonts w:ascii="Calibri" w:eastAsia="Times New Roman" w:hAnsi="Calibri" w:cs="Calibri"/>
                <w:b/>
                <w:bCs/>
                <w:color w:val="000000"/>
                <w:lang w:eastAsia="en-GB"/>
              </w:rPr>
              <w:t>Pay</w:t>
            </w:r>
          </w:p>
        </w:tc>
        <w:tc>
          <w:tcPr>
            <w:tcW w:w="1624" w:type="dxa"/>
            <w:tcBorders>
              <w:top w:val="nil"/>
              <w:left w:val="nil"/>
              <w:bottom w:val="single" w:sz="8" w:space="0" w:color="9BC2E6"/>
              <w:right w:val="nil"/>
            </w:tcBorders>
            <w:shd w:val="clear" w:color="000000" w:fill="DDEBF7"/>
            <w:vAlign w:val="center"/>
            <w:hideMark/>
          </w:tcPr>
          <w:p w14:paraId="33BC4BBD" w14:textId="77777777" w:rsidR="006C263E" w:rsidRPr="003916BB" w:rsidRDefault="006C263E" w:rsidP="006C263E">
            <w:pPr>
              <w:spacing w:after="0" w:line="240" w:lineRule="auto"/>
              <w:jc w:val="center"/>
              <w:rPr>
                <w:rFonts w:ascii="Calibri" w:eastAsia="Times New Roman" w:hAnsi="Calibri" w:cs="Calibri"/>
                <w:b/>
                <w:bCs/>
                <w:color w:val="000000"/>
                <w:lang w:eastAsia="en-GB"/>
              </w:rPr>
            </w:pPr>
            <w:r w:rsidRPr="003916BB">
              <w:rPr>
                <w:rFonts w:ascii="Calibri" w:eastAsia="Times New Roman" w:hAnsi="Calibri" w:cs="Calibri"/>
                <w:b/>
                <w:bCs/>
                <w:color w:val="000000"/>
                <w:lang w:eastAsia="en-GB"/>
              </w:rPr>
              <w:t>Non Pay</w:t>
            </w:r>
          </w:p>
        </w:tc>
        <w:tc>
          <w:tcPr>
            <w:tcW w:w="2302" w:type="dxa"/>
            <w:tcBorders>
              <w:top w:val="nil"/>
              <w:left w:val="nil"/>
              <w:bottom w:val="single" w:sz="8" w:space="0" w:color="9BC2E6"/>
              <w:right w:val="nil"/>
            </w:tcBorders>
            <w:shd w:val="clear" w:color="000000" w:fill="DDEBF7"/>
            <w:vAlign w:val="center"/>
            <w:hideMark/>
          </w:tcPr>
          <w:p w14:paraId="59B256C8" w14:textId="77777777" w:rsidR="006C263E" w:rsidRPr="003916BB" w:rsidRDefault="006C263E" w:rsidP="006C263E">
            <w:pPr>
              <w:spacing w:after="0" w:line="240" w:lineRule="auto"/>
              <w:jc w:val="center"/>
              <w:rPr>
                <w:rFonts w:ascii="Calibri" w:eastAsia="Times New Roman" w:hAnsi="Calibri" w:cs="Calibri"/>
                <w:b/>
                <w:bCs/>
                <w:color w:val="000000"/>
                <w:lang w:eastAsia="en-GB"/>
              </w:rPr>
            </w:pPr>
            <w:r w:rsidRPr="003916BB">
              <w:rPr>
                <w:rFonts w:ascii="Calibri" w:eastAsia="Times New Roman" w:hAnsi="Calibri" w:cs="Calibri"/>
                <w:b/>
                <w:bCs/>
                <w:color w:val="000000"/>
                <w:lang w:eastAsia="en-GB"/>
              </w:rPr>
              <w:t>Anticipated Allocation £m</w:t>
            </w:r>
          </w:p>
        </w:tc>
      </w:tr>
      <w:tr w:rsidR="006C263E" w:rsidRPr="005F3065" w14:paraId="4BDD916E" w14:textId="77777777" w:rsidTr="006C263E">
        <w:trPr>
          <w:trHeight w:val="229"/>
        </w:trPr>
        <w:tc>
          <w:tcPr>
            <w:tcW w:w="3520" w:type="dxa"/>
            <w:tcBorders>
              <w:top w:val="nil"/>
              <w:left w:val="nil"/>
              <w:bottom w:val="nil"/>
              <w:right w:val="nil"/>
            </w:tcBorders>
            <w:shd w:val="clear" w:color="auto" w:fill="auto"/>
            <w:noWrap/>
            <w:vAlign w:val="center"/>
            <w:hideMark/>
          </w:tcPr>
          <w:p w14:paraId="15BB1592" w14:textId="77777777" w:rsidR="006C263E" w:rsidRPr="003916BB" w:rsidRDefault="006C263E" w:rsidP="006C263E">
            <w:pPr>
              <w:spacing w:after="0" w:line="240" w:lineRule="auto"/>
              <w:rPr>
                <w:rFonts w:ascii="Calibri" w:eastAsia="Times New Roman" w:hAnsi="Calibri" w:cs="Calibri"/>
                <w:color w:val="000000"/>
                <w:lang w:eastAsia="en-GB"/>
              </w:rPr>
            </w:pPr>
            <w:r w:rsidRPr="003916BB">
              <w:rPr>
                <w:rFonts w:ascii="Calibri" w:eastAsia="Times New Roman" w:hAnsi="Calibri" w:cs="Calibri"/>
                <w:color w:val="000000"/>
                <w:lang w:eastAsia="en-GB"/>
              </w:rPr>
              <w:t>Early Years Prevention</w:t>
            </w:r>
          </w:p>
        </w:tc>
        <w:tc>
          <w:tcPr>
            <w:tcW w:w="1624" w:type="dxa"/>
            <w:tcBorders>
              <w:top w:val="nil"/>
              <w:left w:val="nil"/>
              <w:bottom w:val="nil"/>
              <w:right w:val="nil"/>
            </w:tcBorders>
            <w:shd w:val="clear" w:color="auto" w:fill="auto"/>
            <w:noWrap/>
            <w:vAlign w:val="center"/>
            <w:hideMark/>
          </w:tcPr>
          <w:p w14:paraId="4537451A" w14:textId="77777777" w:rsidR="006C263E" w:rsidRPr="003916BB" w:rsidRDefault="006C263E" w:rsidP="006C263E">
            <w:pPr>
              <w:spacing w:after="0" w:line="240" w:lineRule="auto"/>
              <w:jc w:val="right"/>
              <w:rPr>
                <w:rFonts w:ascii="Calibri" w:eastAsia="Times New Roman" w:hAnsi="Calibri" w:cs="Calibri"/>
                <w:color w:val="000000"/>
                <w:lang w:eastAsia="en-GB"/>
              </w:rPr>
            </w:pPr>
            <w:r w:rsidRPr="003916BB">
              <w:rPr>
                <w:rFonts w:ascii="Calibri" w:eastAsia="Times New Roman" w:hAnsi="Calibri" w:cs="Calibri"/>
                <w:color w:val="000000"/>
                <w:lang w:eastAsia="en-GB"/>
              </w:rPr>
              <w:t>0.136</w:t>
            </w:r>
          </w:p>
        </w:tc>
        <w:tc>
          <w:tcPr>
            <w:tcW w:w="1624" w:type="dxa"/>
            <w:tcBorders>
              <w:top w:val="nil"/>
              <w:left w:val="nil"/>
              <w:bottom w:val="nil"/>
              <w:right w:val="nil"/>
            </w:tcBorders>
            <w:shd w:val="clear" w:color="auto" w:fill="auto"/>
            <w:noWrap/>
            <w:vAlign w:val="center"/>
            <w:hideMark/>
          </w:tcPr>
          <w:p w14:paraId="7462BFB9" w14:textId="77777777" w:rsidR="006C263E" w:rsidRPr="003916BB" w:rsidRDefault="006C263E" w:rsidP="006C263E">
            <w:pPr>
              <w:spacing w:after="0" w:line="240" w:lineRule="auto"/>
              <w:jc w:val="right"/>
              <w:rPr>
                <w:rFonts w:ascii="Calibri" w:eastAsia="Times New Roman" w:hAnsi="Calibri" w:cs="Calibri"/>
                <w:color w:val="000000"/>
                <w:lang w:eastAsia="en-GB"/>
              </w:rPr>
            </w:pPr>
            <w:r w:rsidRPr="003916BB">
              <w:rPr>
                <w:rFonts w:ascii="Calibri" w:eastAsia="Times New Roman" w:hAnsi="Calibri" w:cs="Calibri"/>
                <w:color w:val="000000"/>
                <w:lang w:eastAsia="en-GB"/>
              </w:rPr>
              <w:t>0.032</w:t>
            </w:r>
          </w:p>
        </w:tc>
        <w:tc>
          <w:tcPr>
            <w:tcW w:w="2302" w:type="dxa"/>
            <w:tcBorders>
              <w:top w:val="nil"/>
              <w:left w:val="nil"/>
              <w:bottom w:val="nil"/>
              <w:right w:val="nil"/>
            </w:tcBorders>
            <w:shd w:val="clear" w:color="auto" w:fill="auto"/>
            <w:noWrap/>
            <w:vAlign w:val="center"/>
            <w:hideMark/>
          </w:tcPr>
          <w:p w14:paraId="0B620EC7" w14:textId="77777777" w:rsidR="006C263E" w:rsidRPr="003916BB" w:rsidRDefault="006C263E" w:rsidP="006C263E">
            <w:pPr>
              <w:spacing w:after="0" w:line="240" w:lineRule="auto"/>
              <w:jc w:val="right"/>
              <w:rPr>
                <w:rFonts w:ascii="Calibri" w:eastAsia="Times New Roman" w:hAnsi="Calibri" w:cs="Calibri"/>
                <w:color w:val="000000"/>
                <w:lang w:eastAsia="en-GB"/>
              </w:rPr>
            </w:pPr>
            <w:r w:rsidRPr="003916BB">
              <w:rPr>
                <w:rFonts w:ascii="Calibri" w:eastAsia="Times New Roman" w:hAnsi="Calibri" w:cs="Calibri"/>
                <w:color w:val="000000"/>
                <w:lang w:eastAsia="en-GB"/>
              </w:rPr>
              <w:t>0.168</w:t>
            </w:r>
          </w:p>
        </w:tc>
      </w:tr>
      <w:tr w:rsidR="006C263E" w:rsidRPr="005F3065" w14:paraId="35AFC54C" w14:textId="77777777" w:rsidTr="006C263E">
        <w:trPr>
          <w:trHeight w:val="229"/>
        </w:trPr>
        <w:tc>
          <w:tcPr>
            <w:tcW w:w="3520" w:type="dxa"/>
            <w:tcBorders>
              <w:top w:val="nil"/>
              <w:left w:val="nil"/>
              <w:bottom w:val="nil"/>
              <w:right w:val="nil"/>
            </w:tcBorders>
            <w:shd w:val="clear" w:color="auto" w:fill="auto"/>
            <w:noWrap/>
            <w:vAlign w:val="center"/>
            <w:hideMark/>
          </w:tcPr>
          <w:p w14:paraId="0E20F817" w14:textId="77777777" w:rsidR="006C263E" w:rsidRPr="003916BB" w:rsidRDefault="006C263E" w:rsidP="006C263E">
            <w:pPr>
              <w:spacing w:after="0" w:line="240" w:lineRule="auto"/>
              <w:rPr>
                <w:rFonts w:ascii="Calibri" w:eastAsia="Times New Roman" w:hAnsi="Calibri" w:cs="Calibri"/>
                <w:color w:val="000000"/>
                <w:lang w:eastAsia="en-GB"/>
              </w:rPr>
            </w:pPr>
            <w:r w:rsidRPr="003916BB">
              <w:rPr>
                <w:rFonts w:ascii="Calibri" w:eastAsia="Times New Roman" w:hAnsi="Calibri" w:cs="Calibri"/>
                <w:color w:val="000000"/>
                <w:lang w:eastAsia="en-GB"/>
              </w:rPr>
              <w:t>Digital Strategy</w:t>
            </w:r>
          </w:p>
        </w:tc>
        <w:tc>
          <w:tcPr>
            <w:tcW w:w="1624" w:type="dxa"/>
            <w:tcBorders>
              <w:top w:val="nil"/>
              <w:left w:val="nil"/>
              <w:bottom w:val="nil"/>
              <w:right w:val="nil"/>
            </w:tcBorders>
            <w:shd w:val="clear" w:color="auto" w:fill="auto"/>
            <w:noWrap/>
            <w:vAlign w:val="center"/>
            <w:hideMark/>
          </w:tcPr>
          <w:p w14:paraId="21DA36A4" w14:textId="77777777" w:rsidR="006C263E" w:rsidRPr="00853B38" w:rsidRDefault="00483D54" w:rsidP="006C263E">
            <w:pPr>
              <w:spacing w:after="0" w:line="240" w:lineRule="auto"/>
              <w:jc w:val="right"/>
              <w:rPr>
                <w:rFonts w:ascii="Calibri" w:eastAsia="Times New Roman" w:hAnsi="Calibri" w:cs="Calibri"/>
                <w:color w:val="000000"/>
                <w:lang w:eastAsia="en-GB"/>
              </w:rPr>
            </w:pPr>
            <w:r w:rsidRPr="00853B38">
              <w:rPr>
                <w:rFonts w:ascii="Calibri" w:eastAsia="Times New Roman" w:hAnsi="Calibri" w:cs="Calibri"/>
                <w:color w:val="000000"/>
                <w:lang w:eastAsia="en-GB"/>
              </w:rPr>
              <w:t>0.181</w:t>
            </w:r>
          </w:p>
        </w:tc>
        <w:tc>
          <w:tcPr>
            <w:tcW w:w="1624" w:type="dxa"/>
            <w:tcBorders>
              <w:top w:val="nil"/>
              <w:left w:val="nil"/>
              <w:bottom w:val="nil"/>
              <w:right w:val="nil"/>
            </w:tcBorders>
            <w:shd w:val="clear" w:color="auto" w:fill="auto"/>
            <w:noWrap/>
            <w:vAlign w:val="center"/>
            <w:hideMark/>
          </w:tcPr>
          <w:p w14:paraId="4B6EF277" w14:textId="77777777" w:rsidR="006C263E" w:rsidRPr="00853B38" w:rsidRDefault="00C220C7" w:rsidP="00483D54">
            <w:pPr>
              <w:spacing w:after="0" w:line="240" w:lineRule="auto"/>
              <w:jc w:val="right"/>
              <w:rPr>
                <w:rFonts w:ascii="Calibri" w:eastAsia="Times New Roman" w:hAnsi="Calibri" w:cs="Calibri"/>
                <w:color w:val="000000"/>
                <w:lang w:eastAsia="en-GB"/>
              </w:rPr>
            </w:pPr>
            <w:r w:rsidRPr="00853B38">
              <w:rPr>
                <w:rFonts w:ascii="Calibri" w:eastAsia="Times New Roman" w:hAnsi="Calibri" w:cs="Calibri"/>
                <w:color w:val="000000"/>
                <w:lang w:eastAsia="en-GB"/>
              </w:rPr>
              <w:t>0.01</w:t>
            </w:r>
            <w:r w:rsidR="00483D54" w:rsidRPr="00853B38">
              <w:rPr>
                <w:rFonts w:ascii="Calibri" w:eastAsia="Times New Roman" w:hAnsi="Calibri" w:cs="Calibri"/>
                <w:color w:val="000000"/>
                <w:lang w:eastAsia="en-GB"/>
              </w:rPr>
              <w:t>9</w:t>
            </w:r>
          </w:p>
        </w:tc>
        <w:tc>
          <w:tcPr>
            <w:tcW w:w="2302" w:type="dxa"/>
            <w:tcBorders>
              <w:top w:val="nil"/>
              <w:left w:val="nil"/>
              <w:bottom w:val="nil"/>
              <w:right w:val="nil"/>
            </w:tcBorders>
            <w:shd w:val="clear" w:color="auto" w:fill="auto"/>
            <w:noWrap/>
            <w:vAlign w:val="center"/>
            <w:hideMark/>
          </w:tcPr>
          <w:p w14:paraId="7A58A49B" w14:textId="77777777" w:rsidR="006C263E" w:rsidRPr="00853B38" w:rsidRDefault="00853B38" w:rsidP="00853B38">
            <w:pPr>
              <w:spacing w:after="0" w:line="240" w:lineRule="auto"/>
              <w:jc w:val="right"/>
              <w:rPr>
                <w:rFonts w:ascii="Calibri" w:eastAsia="Times New Roman" w:hAnsi="Calibri" w:cs="Calibri"/>
                <w:color w:val="000000"/>
                <w:lang w:eastAsia="en-GB"/>
              </w:rPr>
            </w:pPr>
            <w:r w:rsidRPr="00853B38">
              <w:rPr>
                <w:rFonts w:ascii="Calibri" w:eastAsia="Times New Roman" w:hAnsi="Calibri" w:cs="Calibri"/>
                <w:color w:val="000000"/>
                <w:lang w:eastAsia="en-GB"/>
              </w:rPr>
              <w:t>0.200</w:t>
            </w:r>
          </w:p>
        </w:tc>
      </w:tr>
      <w:tr w:rsidR="006C263E" w:rsidRPr="005F3065" w14:paraId="03B112AA" w14:textId="77777777" w:rsidTr="006C263E">
        <w:trPr>
          <w:trHeight w:val="239"/>
        </w:trPr>
        <w:tc>
          <w:tcPr>
            <w:tcW w:w="3520" w:type="dxa"/>
            <w:tcBorders>
              <w:top w:val="nil"/>
              <w:left w:val="nil"/>
              <w:bottom w:val="single" w:sz="8" w:space="0" w:color="9BC2E6"/>
              <w:right w:val="nil"/>
            </w:tcBorders>
            <w:shd w:val="clear" w:color="000000" w:fill="DDEBF7"/>
            <w:vAlign w:val="center"/>
            <w:hideMark/>
          </w:tcPr>
          <w:p w14:paraId="3330B92B" w14:textId="77777777" w:rsidR="006C263E" w:rsidRPr="003916BB" w:rsidRDefault="006C263E" w:rsidP="006C263E">
            <w:pPr>
              <w:spacing w:after="0" w:line="240" w:lineRule="auto"/>
              <w:rPr>
                <w:rFonts w:ascii="Calibri" w:eastAsia="Times New Roman" w:hAnsi="Calibri" w:cs="Calibri"/>
                <w:b/>
                <w:bCs/>
                <w:color w:val="000000"/>
                <w:lang w:eastAsia="en-GB"/>
              </w:rPr>
            </w:pPr>
            <w:r w:rsidRPr="003916BB">
              <w:rPr>
                <w:rFonts w:ascii="Calibri" w:eastAsia="Times New Roman" w:hAnsi="Calibri" w:cs="Calibri"/>
                <w:b/>
                <w:bCs/>
                <w:color w:val="000000"/>
                <w:lang w:eastAsia="en-GB"/>
              </w:rPr>
              <w:t>Grand Total</w:t>
            </w:r>
          </w:p>
        </w:tc>
        <w:tc>
          <w:tcPr>
            <w:tcW w:w="1624" w:type="dxa"/>
            <w:tcBorders>
              <w:top w:val="nil"/>
              <w:left w:val="nil"/>
              <w:bottom w:val="single" w:sz="8" w:space="0" w:color="9BC2E6"/>
              <w:right w:val="nil"/>
            </w:tcBorders>
            <w:shd w:val="clear" w:color="000000" w:fill="DDEBF7"/>
            <w:vAlign w:val="center"/>
            <w:hideMark/>
          </w:tcPr>
          <w:p w14:paraId="6F3C882D" w14:textId="77777777" w:rsidR="006C263E" w:rsidRPr="00853B38" w:rsidRDefault="00853B38" w:rsidP="00853B38">
            <w:pPr>
              <w:spacing w:after="0" w:line="240" w:lineRule="auto"/>
              <w:jc w:val="right"/>
              <w:rPr>
                <w:rFonts w:ascii="Calibri" w:eastAsia="Times New Roman" w:hAnsi="Calibri" w:cs="Calibri"/>
                <w:b/>
                <w:bCs/>
                <w:color w:val="000000"/>
                <w:lang w:eastAsia="en-GB"/>
              </w:rPr>
            </w:pPr>
            <w:r w:rsidRPr="00853B38">
              <w:rPr>
                <w:rFonts w:ascii="Calibri" w:eastAsia="Times New Roman" w:hAnsi="Calibri" w:cs="Calibri"/>
                <w:b/>
                <w:bCs/>
                <w:color w:val="000000"/>
                <w:lang w:eastAsia="en-GB"/>
              </w:rPr>
              <w:t>0.317</w:t>
            </w:r>
          </w:p>
        </w:tc>
        <w:tc>
          <w:tcPr>
            <w:tcW w:w="1624" w:type="dxa"/>
            <w:tcBorders>
              <w:top w:val="nil"/>
              <w:left w:val="nil"/>
              <w:bottom w:val="single" w:sz="8" w:space="0" w:color="9BC2E6"/>
              <w:right w:val="nil"/>
            </w:tcBorders>
            <w:shd w:val="clear" w:color="000000" w:fill="DDEBF7"/>
            <w:vAlign w:val="center"/>
            <w:hideMark/>
          </w:tcPr>
          <w:p w14:paraId="00411339" w14:textId="77777777" w:rsidR="006C263E" w:rsidRPr="00853B38" w:rsidRDefault="00853B38" w:rsidP="006C263E">
            <w:pPr>
              <w:spacing w:after="0" w:line="240" w:lineRule="auto"/>
              <w:jc w:val="right"/>
              <w:rPr>
                <w:rFonts w:ascii="Calibri" w:eastAsia="Times New Roman" w:hAnsi="Calibri" w:cs="Calibri"/>
                <w:b/>
                <w:bCs/>
                <w:color w:val="000000"/>
                <w:lang w:eastAsia="en-GB"/>
              </w:rPr>
            </w:pPr>
            <w:r w:rsidRPr="00853B38">
              <w:rPr>
                <w:rFonts w:ascii="Calibri" w:eastAsia="Times New Roman" w:hAnsi="Calibri" w:cs="Calibri"/>
                <w:b/>
                <w:bCs/>
                <w:color w:val="000000"/>
                <w:lang w:eastAsia="en-GB"/>
              </w:rPr>
              <w:t>0.051</w:t>
            </w:r>
          </w:p>
        </w:tc>
        <w:tc>
          <w:tcPr>
            <w:tcW w:w="2302" w:type="dxa"/>
            <w:tcBorders>
              <w:top w:val="nil"/>
              <w:left w:val="nil"/>
              <w:bottom w:val="single" w:sz="8" w:space="0" w:color="9BC2E6"/>
              <w:right w:val="nil"/>
            </w:tcBorders>
            <w:shd w:val="clear" w:color="000000" w:fill="DDEBF7"/>
            <w:vAlign w:val="center"/>
            <w:hideMark/>
          </w:tcPr>
          <w:p w14:paraId="5B8B2256" w14:textId="77777777" w:rsidR="006C263E" w:rsidRPr="00853B38" w:rsidRDefault="00853B38" w:rsidP="006C263E">
            <w:pPr>
              <w:spacing w:after="0" w:line="240" w:lineRule="auto"/>
              <w:jc w:val="right"/>
              <w:rPr>
                <w:rFonts w:ascii="Calibri" w:eastAsia="Times New Roman" w:hAnsi="Calibri" w:cs="Calibri"/>
                <w:b/>
                <w:bCs/>
                <w:color w:val="000000"/>
                <w:lang w:eastAsia="en-GB"/>
              </w:rPr>
            </w:pPr>
            <w:r w:rsidRPr="00853B38">
              <w:rPr>
                <w:rFonts w:ascii="Calibri" w:eastAsia="Times New Roman" w:hAnsi="Calibri" w:cs="Calibri"/>
                <w:b/>
                <w:bCs/>
                <w:color w:val="000000"/>
                <w:lang w:eastAsia="en-GB"/>
              </w:rPr>
              <w:t>0.368</w:t>
            </w:r>
          </w:p>
        </w:tc>
      </w:tr>
    </w:tbl>
    <w:p w14:paraId="3B25C851" w14:textId="77777777" w:rsidR="00890ADD" w:rsidRPr="005F3065" w:rsidRDefault="00890ADD" w:rsidP="001F2BC9">
      <w:pPr>
        <w:jc w:val="both"/>
        <w:rPr>
          <w:rFonts w:ascii="Verdana" w:hAnsi="Verdana"/>
          <w:b/>
          <w:highlight w:val="magenta"/>
        </w:rPr>
      </w:pPr>
    </w:p>
    <w:p w14:paraId="3382ACFC" w14:textId="77777777" w:rsidR="001F2BC9" w:rsidRPr="005E7AA3" w:rsidRDefault="001F2BC9" w:rsidP="001F2BC9">
      <w:pPr>
        <w:jc w:val="both"/>
        <w:rPr>
          <w:rFonts w:ascii="Verdana" w:hAnsi="Verdana"/>
          <w:b/>
        </w:rPr>
      </w:pPr>
      <w:r w:rsidRPr="005E7AA3">
        <w:rPr>
          <w:rFonts w:ascii="Verdana" w:hAnsi="Verdana"/>
          <w:b/>
        </w:rPr>
        <w:t>Early Years Pr</w:t>
      </w:r>
      <w:r w:rsidR="004321BE" w:rsidRPr="005E7AA3">
        <w:rPr>
          <w:rFonts w:ascii="Verdana" w:hAnsi="Verdana"/>
          <w:b/>
        </w:rPr>
        <w:t>evention</w:t>
      </w:r>
      <w:r w:rsidRPr="005E7AA3">
        <w:rPr>
          <w:rFonts w:ascii="Verdana" w:hAnsi="Verdana"/>
          <w:b/>
        </w:rPr>
        <w:t xml:space="preserve"> </w:t>
      </w:r>
    </w:p>
    <w:p w14:paraId="3733060E" w14:textId="77777777" w:rsidR="00993A19" w:rsidRPr="005E7AA3" w:rsidRDefault="001D21C1" w:rsidP="001F2BC9">
      <w:pPr>
        <w:jc w:val="both"/>
        <w:rPr>
          <w:rFonts w:ascii="Verdana" w:hAnsi="Verdana"/>
          <w:sz w:val="24"/>
          <w:szCs w:val="24"/>
        </w:rPr>
      </w:pPr>
      <w:r w:rsidRPr="005E7AA3">
        <w:rPr>
          <w:rFonts w:ascii="Verdana" w:hAnsi="Verdana"/>
          <w:sz w:val="24"/>
          <w:szCs w:val="24"/>
        </w:rPr>
        <w:t>£168</w:t>
      </w:r>
      <w:r w:rsidR="001F2BC9" w:rsidRPr="005E7AA3">
        <w:rPr>
          <w:rFonts w:ascii="Verdana" w:hAnsi="Verdana"/>
          <w:sz w:val="24"/>
          <w:szCs w:val="24"/>
        </w:rPr>
        <w:t>k of cos</w:t>
      </w:r>
      <w:r w:rsidR="00182FDB" w:rsidRPr="005E7AA3">
        <w:rPr>
          <w:rFonts w:ascii="Verdana" w:hAnsi="Verdana"/>
          <w:sz w:val="24"/>
          <w:szCs w:val="24"/>
        </w:rPr>
        <w:t xml:space="preserve">ts have been incurred to month </w:t>
      </w:r>
      <w:r w:rsidR="003916BB" w:rsidRPr="005E7AA3">
        <w:rPr>
          <w:rFonts w:ascii="Verdana" w:hAnsi="Verdana"/>
          <w:sz w:val="24"/>
          <w:szCs w:val="24"/>
        </w:rPr>
        <w:t>9</w:t>
      </w:r>
      <w:r w:rsidR="001F2BC9" w:rsidRPr="005E7AA3">
        <w:rPr>
          <w:rFonts w:ascii="Verdana" w:hAnsi="Verdana"/>
          <w:sz w:val="24"/>
          <w:szCs w:val="24"/>
        </w:rPr>
        <w:t xml:space="preserve"> on initiatives associated with Early Years Pr</w:t>
      </w:r>
      <w:r w:rsidR="00337323" w:rsidRPr="005E7AA3">
        <w:rPr>
          <w:rFonts w:ascii="Verdana" w:hAnsi="Verdana"/>
          <w:sz w:val="24"/>
          <w:szCs w:val="24"/>
        </w:rPr>
        <w:t>evention</w:t>
      </w:r>
      <w:r w:rsidR="001F2BC9" w:rsidRPr="005E7AA3">
        <w:rPr>
          <w:rFonts w:ascii="Verdana" w:hAnsi="Verdana"/>
          <w:sz w:val="24"/>
          <w:szCs w:val="24"/>
        </w:rPr>
        <w:t xml:space="preserve">. </w:t>
      </w:r>
      <w:r w:rsidR="00361C53" w:rsidRPr="005E7AA3">
        <w:rPr>
          <w:rFonts w:ascii="Verdana" w:hAnsi="Verdana"/>
          <w:sz w:val="24"/>
          <w:szCs w:val="24"/>
        </w:rPr>
        <w:t xml:space="preserve">During month </w:t>
      </w:r>
      <w:r w:rsidR="005E7AA3" w:rsidRPr="005E7AA3">
        <w:rPr>
          <w:rFonts w:ascii="Verdana" w:hAnsi="Verdana"/>
          <w:sz w:val="24"/>
          <w:szCs w:val="24"/>
        </w:rPr>
        <w:t>9,</w:t>
      </w:r>
      <w:r w:rsidR="00361C53" w:rsidRPr="005E7AA3">
        <w:rPr>
          <w:rFonts w:ascii="Verdana" w:hAnsi="Verdana"/>
          <w:sz w:val="24"/>
          <w:szCs w:val="24"/>
        </w:rPr>
        <w:t xml:space="preserve"> w</w:t>
      </w:r>
      <w:r w:rsidR="00483D54" w:rsidRPr="005E7AA3">
        <w:rPr>
          <w:rFonts w:ascii="Verdana" w:hAnsi="Verdana"/>
          <w:sz w:val="24"/>
          <w:szCs w:val="24"/>
        </w:rPr>
        <w:t xml:space="preserve">e have had confirmation </w:t>
      </w:r>
      <w:r w:rsidR="00361C53" w:rsidRPr="005E7AA3">
        <w:rPr>
          <w:rFonts w:ascii="Verdana" w:hAnsi="Verdana"/>
          <w:sz w:val="24"/>
          <w:szCs w:val="24"/>
        </w:rPr>
        <w:t>f</w:t>
      </w:r>
      <w:r w:rsidR="00483D54" w:rsidRPr="005E7AA3">
        <w:rPr>
          <w:rFonts w:ascii="Verdana" w:hAnsi="Verdana"/>
          <w:sz w:val="24"/>
          <w:szCs w:val="24"/>
        </w:rPr>
        <w:t xml:space="preserve">rom Welsh Government </w:t>
      </w:r>
      <w:r w:rsidR="00361C53" w:rsidRPr="005E7AA3">
        <w:rPr>
          <w:rFonts w:ascii="Verdana" w:hAnsi="Verdana"/>
          <w:sz w:val="24"/>
          <w:szCs w:val="24"/>
        </w:rPr>
        <w:t xml:space="preserve">that funding will be provided for Early Years prevention </w:t>
      </w:r>
      <w:r w:rsidR="00483D54" w:rsidRPr="005E7AA3">
        <w:rPr>
          <w:rFonts w:ascii="Verdana" w:hAnsi="Verdana"/>
          <w:sz w:val="24"/>
          <w:szCs w:val="24"/>
        </w:rPr>
        <w:t>based on actual</w:t>
      </w:r>
      <w:r w:rsidR="00361C53" w:rsidRPr="005E7AA3">
        <w:rPr>
          <w:rFonts w:ascii="Verdana" w:hAnsi="Verdana"/>
          <w:sz w:val="24"/>
          <w:szCs w:val="24"/>
        </w:rPr>
        <w:t xml:space="preserve"> costs incurred during 2020/21.</w:t>
      </w:r>
      <w:r w:rsidR="001F2BC9" w:rsidRPr="005E7AA3">
        <w:rPr>
          <w:rFonts w:ascii="Verdana" w:hAnsi="Verdana"/>
          <w:sz w:val="24"/>
          <w:szCs w:val="24"/>
        </w:rPr>
        <w:t xml:space="preserve">   </w:t>
      </w:r>
    </w:p>
    <w:p w14:paraId="3B7C1E01" w14:textId="77777777" w:rsidR="001F2BC9" w:rsidRPr="00483D54" w:rsidRDefault="001F2BC9" w:rsidP="001F2BC9">
      <w:pPr>
        <w:jc w:val="both"/>
        <w:rPr>
          <w:rFonts w:ascii="Verdana" w:hAnsi="Verdana"/>
          <w:b/>
        </w:rPr>
      </w:pPr>
      <w:r w:rsidRPr="00483D54">
        <w:rPr>
          <w:rFonts w:ascii="Verdana" w:hAnsi="Verdana"/>
          <w:b/>
        </w:rPr>
        <w:t>Digital Strategy</w:t>
      </w:r>
    </w:p>
    <w:p w14:paraId="2397DAD1" w14:textId="77777777" w:rsidR="003916BB" w:rsidRPr="003916BB" w:rsidRDefault="00C81325" w:rsidP="009A35BA">
      <w:pPr>
        <w:jc w:val="both"/>
        <w:rPr>
          <w:rFonts w:ascii="Verdana" w:hAnsi="Verdana"/>
        </w:rPr>
      </w:pPr>
      <w:r w:rsidRPr="00C81325">
        <w:rPr>
          <w:rFonts w:ascii="Verdana" w:hAnsi="Verdana"/>
        </w:rPr>
        <w:t>£200</w:t>
      </w:r>
      <w:r w:rsidR="001F2BC9" w:rsidRPr="00C81325">
        <w:rPr>
          <w:rFonts w:ascii="Verdana" w:hAnsi="Verdana"/>
        </w:rPr>
        <w:t>k</w:t>
      </w:r>
      <w:r w:rsidR="001F2BC9" w:rsidRPr="00C81325">
        <w:rPr>
          <w:rFonts w:ascii="Verdana" w:hAnsi="Verdana"/>
          <w:sz w:val="24"/>
          <w:szCs w:val="24"/>
        </w:rPr>
        <w:t xml:space="preserve"> of costs</w:t>
      </w:r>
      <w:r w:rsidR="001F2BC9" w:rsidRPr="003916BB">
        <w:rPr>
          <w:rFonts w:ascii="Verdana" w:hAnsi="Verdana"/>
          <w:sz w:val="24"/>
          <w:szCs w:val="24"/>
        </w:rPr>
        <w:t xml:space="preserve"> have been incurred</w:t>
      </w:r>
      <w:r w:rsidR="001F2BC9" w:rsidRPr="003916BB">
        <w:rPr>
          <w:rFonts w:ascii="Verdana" w:hAnsi="Verdana"/>
        </w:rPr>
        <w:t xml:space="preserve"> to</w:t>
      </w:r>
      <w:r w:rsidR="001F2BC9" w:rsidRPr="003916BB">
        <w:rPr>
          <w:rFonts w:ascii="Verdana" w:hAnsi="Verdana"/>
          <w:sz w:val="24"/>
          <w:szCs w:val="24"/>
        </w:rPr>
        <w:t xml:space="preserve"> month </w:t>
      </w:r>
      <w:r w:rsidR="003916BB" w:rsidRPr="003916BB">
        <w:rPr>
          <w:rFonts w:ascii="Verdana" w:hAnsi="Verdana"/>
          <w:sz w:val="24"/>
          <w:szCs w:val="24"/>
        </w:rPr>
        <w:t>9</w:t>
      </w:r>
      <w:r w:rsidR="001F2BC9" w:rsidRPr="003916BB">
        <w:rPr>
          <w:rFonts w:ascii="Verdana" w:hAnsi="Verdana"/>
          <w:sz w:val="24"/>
          <w:szCs w:val="24"/>
        </w:rPr>
        <w:t xml:space="preserve"> as a result of recurrent digital commitments that were part of our digital strategy bid in 2019/20.  The allocation is included as an assumed allocation in 2020/21 and is still outstanding from Welsh Government, it is therefore included within our month </w:t>
      </w:r>
      <w:r w:rsidR="003916BB" w:rsidRPr="003916BB">
        <w:rPr>
          <w:rFonts w:ascii="Verdana" w:hAnsi="Verdana"/>
          <w:sz w:val="24"/>
          <w:szCs w:val="24"/>
        </w:rPr>
        <w:t>9</w:t>
      </w:r>
      <w:r w:rsidR="001F2BC9" w:rsidRPr="003916BB">
        <w:rPr>
          <w:rFonts w:ascii="Verdana" w:hAnsi="Verdana"/>
          <w:sz w:val="24"/>
          <w:szCs w:val="24"/>
        </w:rPr>
        <w:t xml:space="preserve"> funding request.</w:t>
      </w:r>
      <w:r w:rsidR="001F2BC9" w:rsidRPr="003916BB">
        <w:rPr>
          <w:rFonts w:ascii="Verdana" w:hAnsi="Verdana"/>
        </w:rPr>
        <w:t xml:space="preserve"> </w:t>
      </w:r>
    </w:p>
    <w:p w14:paraId="13B23E39" w14:textId="77777777" w:rsidR="0075301D" w:rsidRPr="00C81325" w:rsidRDefault="00B95067" w:rsidP="0031273C">
      <w:pPr>
        <w:jc w:val="both"/>
        <w:rPr>
          <w:rFonts w:ascii="Verdana" w:hAnsi="Verdana"/>
          <w:b/>
          <w:sz w:val="24"/>
          <w:szCs w:val="24"/>
        </w:rPr>
      </w:pPr>
      <w:r w:rsidRPr="00C81325">
        <w:rPr>
          <w:rFonts w:ascii="Verdana" w:hAnsi="Verdana"/>
          <w:sz w:val="24"/>
          <w:szCs w:val="24"/>
        </w:rPr>
        <w:t xml:space="preserve"> </w:t>
      </w:r>
      <w:r w:rsidR="001C653D" w:rsidRPr="00C81325">
        <w:rPr>
          <w:rFonts w:ascii="Verdana" w:hAnsi="Verdana"/>
          <w:b/>
          <w:sz w:val="24"/>
          <w:szCs w:val="24"/>
        </w:rPr>
        <w:t xml:space="preserve">2.3 </w:t>
      </w:r>
      <w:r w:rsidR="00AA223C" w:rsidRPr="00C81325">
        <w:rPr>
          <w:rFonts w:ascii="Verdana" w:hAnsi="Verdana"/>
          <w:b/>
          <w:sz w:val="24"/>
          <w:szCs w:val="24"/>
        </w:rPr>
        <w:t>Budget Scrutiny</w:t>
      </w:r>
    </w:p>
    <w:p w14:paraId="3809D052" w14:textId="77777777" w:rsidR="00F46284" w:rsidRPr="00C81325" w:rsidRDefault="00F46284" w:rsidP="00F46284">
      <w:pPr>
        <w:pStyle w:val="ListParagraph"/>
        <w:ind w:left="0"/>
        <w:jc w:val="both"/>
        <w:rPr>
          <w:rFonts w:ascii="Verdana" w:hAnsi="Verdana" w:cs="Arial"/>
        </w:rPr>
      </w:pPr>
      <w:r w:rsidRPr="00C81325">
        <w:rPr>
          <w:rFonts w:ascii="Verdana" w:hAnsi="Verdana" w:cs="Arial"/>
        </w:rPr>
        <w:t xml:space="preserve">Following the income and expenditure budget scrutiny process, which was approved by the Business Executive Team, Directorate budgets have been realigned to match Directorate spending plans.  Budget slippage identified in the scrutiny process has been re-allocated to fund </w:t>
      </w:r>
      <w:r w:rsidR="00337323" w:rsidRPr="00C81325">
        <w:rPr>
          <w:rFonts w:ascii="Verdana" w:hAnsi="Verdana" w:cs="Arial"/>
        </w:rPr>
        <w:t xml:space="preserve">the </w:t>
      </w:r>
      <w:r w:rsidRPr="00C81325">
        <w:rPr>
          <w:rFonts w:ascii="Verdana" w:hAnsi="Verdana" w:cs="Arial"/>
        </w:rPr>
        <w:t>P</w:t>
      </w:r>
      <w:r w:rsidR="00337323" w:rsidRPr="00C81325">
        <w:rPr>
          <w:rFonts w:ascii="Verdana" w:hAnsi="Verdana" w:cs="Arial"/>
        </w:rPr>
        <w:t>ublic Health Wales</w:t>
      </w:r>
      <w:r w:rsidRPr="00C81325">
        <w:rPr>
          <w:rFonts w:ascii="Verdana" w:hAnsi="Verdana" w:cs="Arial"/>
        </w:rPr>
        <w:t xml:space="preserve"> contribution to the costs associated in delivering the response to Covid-19, including work associated with Population Health Priority.</w:t>
      </w:r>
    </w:p>
    <w:p w14:paraId="6B89BBCB" w14:textId="77777777" w:rsidR="00F46284" w:rsidRPr="005F3065" w:rsidRDefault="00F46284" w:rsidP="00F46284">
      <w:pPr>
        <w:pStyle w:val="ListParagraph"/>
        <w:ind w:left="0"/>
        <w:jc w:val="both"/>
        <w:rPr>
          <w:rFonts w:ascii="Verdana" w:hAnsi="Verdana" w:cs="Arial"/>
          <w:highlight w:val="magenta"/>
        </w:rPr>
      </w:pPr>
    </w:p>
    <w:p w14:paraId="1DF64B11" w14:textId="77777777" w:rsidR="00F46284" w:rsidRPr="00C81325" w:rsidRDefault="00C81325" w:rsidP="004C287E">
      <w:pPr>
        <w:jc w:val="both"/>
        <w:rPr>
          <w:rFonts w:ascii="Verdana" w:hAnsi="Verdana"/>
        </w:rPr>
      </w:pPr>
      <w:r w:rsidRPr="00C81325">
        <w:rPr>
          <w:rFonts w:ascii="Verdana" w:hAnsi="Verdana"/>
          <w:sz w:val="24"/>
          <w:szCs w:val="24"/>
        </w:rPr>
        <w:t>Month 10</w:t>
      </w:r>
      <w:r w:rsidR="00F46284" w:rsidRPr="00C81325">
        <w:rPr>
          <w:rFonts w:ascii="Verdana" w:hAnsi="Verdana"/>
          <w:sz w:val="24"/>
          <w:szCs w:val="24"/>
        </w:rPr>
        <w:t>-12 spending plans will be monitored against the re-aligned budgets.  Future slippage against these spending plans may be removed to support additional requirements associated with delivery of the response and essential services.</w:t>
      </w:r>
      <w:r w:rsidR="004C287E" w:rsidRPr="00C81325">
        <w:rPr>
          <w:rFonts w:ascii="Verdana" w:hAnsi="Verdana"/>
        </w:rPr>
        <w:t xml:space="preserve"> </w:t>
      </w:r>
    </w:p>
    <w:p w14:paraId="0CAA8972" w14:textId="77777777" w:rsidR="00291A04" w:rsidRDefault="00604806" w:rsidP="00F0615E">
      <w:pPr>
        <w:pStyle w:val="NormalWeb"/>
        <w:spacing w:before="200" w:beforeAutospacing="0" w:after="0" w:afterAutospacing="0"/>
        <w:jc w:val="both"/>
        <w:rPr>
          <w:rFonts w:ascii="Verdana" w:hAnsi="Verdana"/>
        </w:rPr>
      </w:pPr>
      <w:r w:rsidRPr="00C81325">
        <w:rPr>
          <w:rFonts w:ascii="Verdana" w:hAnsi="Verdana"/>
        </w:rPr>
        <w:t>Welsh Government have agreed to fund a significant element of additional Covid-19 response costs incurred by P</w:t>
      </w:r>
      <w:r w:rsidR="00337323" w:rsidRPr="00C81325">
        <w:rPr>
          <w:rFonts w:ascii="Verdana" w:hAnsi="Verdana"/>
        </w:rPr>
        <w:t>ublic Health Wales</w:t>
      </w:r>
      <w:r w:rsidR="00291A04">
        <w:rPr>
          <w:rFonts w:ascii="Verdana" w:hAnsi="Verdana"/>
        </w:rPr>
        <w:t xml:space="preserve">, with funding from </w:t>
      </w:r>
      <w:r w:rsidR="00291A04">
        <w:rPr>
          <w:rFonts w:ascii="Verdana" w:hAnsi="Verdana"/>
        </w:rPr>
        <w:lastRenderedPageBreak/>
        <w:t>slippage/underspends within Public Health Wales also being redirected to support an element of the Covid-19 response costs.</w:t>
      </w:r>
    </w:p>
    <w:p w14:paraId="05678BB9" w14:textId="77777777" w:rsidR="00F95312" w:rsidRPr="00C81325" w:rsidRDefault="00AA223C" w:rsidP="00F95312">
      <w:pPr>
        <w:pStyle w:val="NormalWeb"/>
        <w:spacing w:before="200" w:beforeAutospacing="0" w:after="0" w:afterAutospacing="0"/>
        <w:rPr>
          <w:rFonts w:ascii="Verdana" w:eastAsiaTheme="minorHAnsi" w:hAnsi="Verdana" w:cstheme="minorBidi"/>
          <w:b/>
          <w:lang w:eastAsia="en-US"/>
        </w:rPr>
      </w:pPr>
      <w:r w:rsidRPr="00C81325">
        <w:rPr>
          <w:rFonts w:ascii="Verdana" w:eastAsiaTheme="minorHAnsi" w:hAnsi="Verdana" w:cstheme="minorBidi"/>
          <w:b/>
          <w:lang w:eastAsia="en-US"/>
        </w:rPr>
        <w:t xml:space="preserve">2.4 </w:t>
      </w:r>
      <w:r w:rsidR="00F95312" w:rsidRPr="00C81325">
        <w:rPr>
          <w:rFonts w:ascii="Verdana" w:eastAsiaTheme="minorHAnsi" w:hAnsi="Verdana" w:cstheme="minorBidi"/>
          <w:b/>
          <w:lang w:eastAsia="en-US"/>
        </w:rPr>
        <w:t>Status of L</w:t>
      </w:r>
      <w:r w:rsidR="0053658C" w:rsidRPr="00C81325">
        <w:rPr>
          <w:rFonts w:ascii="Verdana" w:eastAsiaTheme="minorHAnsi" w:hAnsi="Verdana" w:cstheme="minorBidi"/>
          <w:b/>
          <w:lang w:eastAsia="en-US"/>
        </w:rPr>
        <w:t xml:space="preserve">ong </w:t>
      </w:r>
      <w:r w:rsidR="00F95312" w:rsidRPr="00C81325">
        <w:rPr>
          <w:rFonts w:ascii="Verdana" w:eastAsiaTheme="minorHAnsi" w:hAnsi="Verdana" w:cstheme="minorBidi"/>
          <w:b/>
          <w:lang w:eastAsia="en-US"/>
        </w:rPr>
        <w:t>T</w:t>
      </w:r>
      <w:r w:rsidR="0053658C" w:rsidRPr="00C81325">
        <w:rPr>
          <w:rFonts w:ascii="Verdana" w:eastAsiaTheme="minorHAnsi" w:hAnsi="Verdana" w:cstheme="minorBidi"/>
          <w:b/>
          <w:lang w:eastAsia="en-US"/>
        </w:rPr>
        <w:t>erm</w:t>
      </w:r>
      <w:r w:rsidR="00F95312" w:rsidRPr="00C81325">
        <w:rPr>
          <w:rFonts w:ascii="Verdana" w:eastAsiaTheme="minorHAnsi" w:hAnsi="Verdana" w:cstheme="minorBidi"/>
          <w:b/>
          <w:lang w:eastAsia="en-US"/>
        </w:rPr>
        <w:t>/S</w:t>
      </w:r>
      <w:r w:rsidR="0053658C" w:rsidRPr="00C81325">
        <w:rPr>
          <w:rFonts w:ascii="Verdana" w:eastAsiaTheme="minorHAnsi" w:hAnsi="Verdana" w:cstheme="minorBidi"/>
          <w:b/>
          <w:lang w:eastAsia="en-US"/>
        </w:rPr>
        <w:t xml:space="preserve">ervice </w:t>
      </w:r>
      <w:r w:rsidR="00F95312" w:rsidRPr="00C81325">
        <w:rPr>
          <w:rFonts w:ascii="Verdana" w:eastAsiaTheme="minorHAnsi" w:hAnsi="Verdana" w:cstheme="minorBidi"/>
          <w:b/>
          <w:lang w:eastAsia="en-US"/>
        </w:rPr>
        <w:t>L</w:t>
      </w:r>
      <w:r w:rsidR="0053658C" w:rsidRPr="00C81325">
        <w:rPr>
          <w:rFonts w:ascii="Verdana" w:eastAsiaTheme="minorHAnsi" w:hAnsi="Verdana" w:cstheme="minorBidi"/>
          <w:b/>
          <w:lang w:eastAsia="en-US"/>
        </w:rPr>
        <w:t>evel</w:t>
      </w:r>
      <w:r w:rsidR="00F95312" w:rsidRPr="00C81325">
        <w:rPr>
          <w:rFonts w:ascii="Verdana" w:eastAsiaTheme="minorHAnsi" w:hAnsi="Verdana" w:cstheme="minorBidi"/>
          <w:b/>
          <w:lang w:eastAsia="en-US"/>
        </w:rPr>
        <w:t xml:space="preserve"> Agreements</w:t>
      </w:r>
    </w:p>
    <w:p w14:paraId="7067D93F" w14:textId="77777777" w:rsidR="00DA512C" w:rsidRPr="00C81325" w:rsidRDefault="00F95312" w:rsidP="00A566A9">
      <w:pPr>
        <w:pStyle w:val="NormalWeb"/>
        <w:spacing w:before="200" w:beforeAutospacing="0" w:after="0" w:afterAutospacing="0"/>
        <w:jc w:val="both"/>
        <w:rPr>
          <w:rFonts w:ascii="Verdana" w:hAnsi="Verdana" w:cstheme="minorBidi"/>
          <w:lang w:eastAsia="en-US"/>
        </w:rPr>
      </w:pPr>
      <w:r w:rsidRPr="00C81325">
        <w:rPr>
          <w:rFonts w:ascii="Verdana" w:hAnsi="Verdana" w:cstheme="minorBidi"/>
          <w:lang w:eastAsia="en-US"/>
        </w:rPr>
        <w:t>As a result of the Covid-19 pandemic, All Wales Director</w:t>
      </w:r>
      <w:r w:rsidR="001E3617" w:rsidRPr="00C81325">
        <w:rPr>
          <w:rFonts w:ascii="Verdana" w:hAnsi="Verdana" w:cstheme="minorBidi"/>
          <w:lang w:eastAsia="en-US"/>
        </w:rPr>
        <w:t>s</w:t>
      </w:r>
      <w:r w:rsidRPr="00C81325">
        <w:rPr>
          <w:rFonts w:ascii="Verdana" w:hAnsi="Verdana" w:cstheme="minorBidi"/>
          <w:lang w:eastAsia="en-US"/>
        </w:rPr>
        <w:t xml:space="preserve"> of Finance </w:t>
      </w:r>
      <w:r w:rsidR="00204E18">
        <w:rPr>
          <w:rFonts w:ascii="Verdana" w:hAnsi="Verdana" w:cstheme="minorBidi"/>
          <w:lang w:eastAsia="en-US"/>
        </w:rPr>
        <w:t xml:space="preserve">initially </w:t>
      </w:r>
      <w:r w:rsidRPr="00C81325">
        <w:rPr>
          <w:rFonts w:ascii="Verdana" w:hAnsi="Verdana" w:cstheme="minorBidi"/>
          <w:lang w:eastAsia="en-US"/>
        </w:rPr>
        <w:t>ag</w:t>
      </w:r>
      <w:r w:rsidR="00547503" w:rsidRPr="00C81325">
        <w:rPr>
          <w:rFonts w:ascii="Verdana" w:hAnsi="Verdana" w:cstheme="minorBidi"/>
          <w:lang w:eastAsia="en-US"/>
        </w:rPr>
        <w:t>reed a funds flow approach for quarter</w:t>
      </w:r>
      <w:r w:rsidR="0053658C" w:rsidRPr="00C81325">
        <w:rPr>
          <w:rFonts w:ascii="Verdana" w:hAnsi="Verdana" w:cstheme="minorBidi"/>
          <w:lang w:eastAsia="en-US"/>
        </w:rPr>
        <w:t>s</w:t>
      </w:r>
      <w:r w:rsidR="00547503" w:rsidRPr="00C81325">
        <w:rPr>
          <w:rFonts w:ascii="Verdana" w:hAnsi="Verdana" w:cstheme="minorBidi"/>
          <w:lang w:eastAsia="en-US"/>
        </w:rPr>
        <w:t xml:space="preserve"> </w:t>
      </w:r>
      <w:r w:rsidRPr="00C81325">
        <w:rPr>
          <w:rFonts w:ascii="Verdana" w:hAnsi="Verdana" w:cstheme="minorBidi"/>
          <w:lang w:eastAsia="en-US"/>
        </w:rPr>
        <w:t>1</w:t>
      </w:r>
      <w:r w:rsidR="0053658C" w:rsidRPr="00C81325">
        <w:rPr>
          <w:rFonts w:ascii="Verdana" w:hAnsi="Verdana" w:cstheme="minorBidi"/>
          <w:lang w:eastAsia="en-US"/>
        </w:rPr>
        <w:t xml:space="preserve"> and 2</w:t>
      </w:r>
      <w:r w:rsidRPr="00C81325">
        <w:rPr>
          <w:rFonts w:ascii="Verdana" w:hAnsi="Verdana" w:cstheme="minorBidi"/>
          <w:lang w:eastAsia="en-US"/>
        </w:rPr>
        <w:t xml:space="preserve"> that was on the premise of keeping NHS Wales operating through giving stability to providers with the financial risk and significant opportunity costs sitting with commissioners.  For P</w:t>
      </w:r>
      <w:r w:rsidR="0053658C" w:rsidRPr="00C81325">
        <w:rPr>
          <w:rFonts w:ascii="Verdana" w:hAnsi="Verdana" w:cstheme="minorBidi"/>
          <w:lang w:eastAsia="en-US"/>
        </w:rPr>
        <w:t>ublic Health Wales</w:t>
      </w:r>
      <w:r w:rsidRPr="00C81325">
        <w:rPr>
          <w:rFonts w:ascii="Verdana" w:hAnsi="Verdana" w:cstheme="minorBidi"/>
          <w:lang w:eastAsia="en-US"/>
        </w:rPr>
        <w:t xml:space="preserve"> this meant that NHS LTAs and SLAs were essentially “block” agreements and would not generate a performance cost variation.  </w:t>
      </w:r>
      <w:r w:rsidR="00547503" w:rsidRPr="00C81325">
        <w:rPr>
          <w:rFonts w:ascii="Verdana" w:hAnsi="Verdana" w:cstheme="minorBidi"/>
          <w:lang w:eastAsia="en-US"/>
        </w:rPr>
        <w:t>This agre</w:t>
      </w:r>
      <w:r w:rsidR="00B95067" w:rsidRPr="00C81325">
        <w:rPr>
          <w:rFonts w:ascii="Verdana" w:hAnsi="Verdana" w:cstheme="minorBidi"/>
          <w:lang w:eastAsia="en-US"/>
        </w:rPr>
        <w:t xml:space="preserve">ement has been </w:t>
      </w:r>
      <w:r w:rsidR="008246C9" w:rsidRPr="00C81325">
        <w:rPr>
          <w:rFonts w:ascii="Verdana" w:hAnsi="Verdana" w:cstheme="minorBidi"/>
          <w:lang w:eastAsia="en-US"/>
        </w:rPr>
        <w:t xml:space="preserve">extended for the remainder of </w:t>
      </w:r>
      <w:r w:rsidR="00B95067" w:rsidRPr="00C81325">
        <w:rPr>
          <w:rFonts w:ascii="Verdana" w:hAnsi="Verdana" w:cstheme="minorBidi"/>
          <w:lang w:eastAsia="en-US"/>
        </w:rPr>
        <w:t>this financial year</w:t>
      </w:r>
      <w:r w:rsidR="00547503" w:rsidRPr="00C81325">
        <w:rPr>
          <w:rFonts w:ascii="Verdana" w:hAnsi="Verdana" w:cstheme="minorBidi"/>
          <w:lang w:eastAsia="en-US"/>
        </w:rPr>
        <w:t>.</w:t>
      </w:r>
    </w:p>
    <w:p w14:paraId="5B064A0F" w14:textId="77777777" w:rsidR="0053658C" w:rsidRPr="005F3065" w:rsidRDefault="0053658C" w:rsidP="00A566A9">
      <w:pPr>
        <w:pStyle w:val="NormalWeb"/>
        <w:spacing w:before="200" w:beforeAutospacing="0" w:after="0" w:afterAutospacing="0"/>
        <w:jc w:val="both"/>
        <w:rPr>
          <w:rFonts w:ascii="Verdana" w:hAnsi="Verdana" w:cstheme="minorBidi"/>
          <w:highlight w:val="magenta"/>
          <w:lang w:eastAsia="en-US"/>
        </w:rPr>
      </w:pPr>
    </w:p>
    <w:p w14:paraId="1B540B2D" w14:textId="77777777" w:rsidR="00B73677" w:rsidRPr="00C81325" w:rsidRDefault="00AA223C" w:rsidP="00A566A9">
      <w:pPr>
        <w:pStyle w:val="NormalWeb"/>
        <w:spacing w:before="200" w:beforeAutospacing="0" w:after="0" w:afterAutospacing="0"/>
        <w:jc w:val="both"/>
        <w:rPr>
          <w:rFonts w:ascii="Verdana" w:hAnsi="Verdana" w:cstheme="minorBidi"/>
          <w:b/>
          <w:lang w:eastAsia="en-US"/>
        </w:rPr>
      </w:pPr>
      <w:r w:rsidRPr="00C81325">
        <w:rPr>
          <w:rFonts w:ascii="Verdana" w:hAnsi="Verdana" w:cstheme="minorBidi"/>
          <w:b/>
          <w:lang w:eastAsia="en-US"/>
        </w:rPr>
        <w:t xml:space="preserve">2.5 </w:t>
      </w:r>
      <w:r w:rsidR="00B73677" w:rsidRPr="00C81325">
        <w:rPr>
          <w:rFonts w:ascii="Verdana" w:hAnsi="Verdana" w:cstheme="minorBidi"/>
          <w:b/>
          <w:lang w:eastAsia="en-US"/>
        </w:rPr>
        <w:t>Savings/Organisational Efficiencies</w:t>
      </w:r>
    </w:p>
    <w:p w14:paraId="023D7C24" w14:textId="77777777" w:rsidR="00DA512C" w:rsidRPr="00C81325" w:rsidRDefault="00DA512C" w:rsidP="00B73677">
      <w:pPr>
        <w:spacing w:after="0" w:line="240" w:lineRule="auto"/>
        <w:jc w:val="both"/>
        <w:rPr>
          <w:rFonts w:ascii="Verdana" w:eastAsia="Times New Roman" w:hAnsi="Verdana"/>
          <w:sz w:val="24"/>
          <w:szCs w:val="24"/>
        </w:rPr>
      </w:pPr>
    </w:p>
    <w:p w14:paraId="0BD02CCD" w14:textId="77777777" w:rsidR="00B73677" w:rsidRPr="00C81325" w:rsidRDefault="00B73677" w:rsidP="00B73677">
      <w:pPr>
        <w:spacing w:after="0" w:line="240" w:lineRule="auto"/>
        <w:jc w:val="both"/>
        <w:rPr>
          <w:rFonts w:ascii="Verdana" w:eastAsia="Times New Roman" w:hAnsi="Verdana"/>
          <w:sz w:val="24"/>
          <w:szCs w:val="24"/>
        </w:rPr>
      </w:pPr>
      <w:r w:rsidRPr="00C81325">
        <w:rPr>
          <w:rFonts w:ascii="Verdana" w:eastAsia="Times New Roman" w:hAnsi="Verdana"/>
          <w:sz w:val="24"/>
          <w:szCs w:val="24"/>
        </w:rPr>
        <w:t>Public Health Wales savings strategy for 2020/21, as set out in the IMTP, was £1.350m, made up of 1% Directorate savings</w:t>
      </w:r>
      <w:r w:rsidR="001C653D" w:rsidRPr="00C81325">
        <w:rPr>
          <w:rFonts w:ascii="Verdana" w:eastAsia="Times New Roman" w:hAnsi="Verdana"/>
          <w:sz w:val="24"/>
          <w:szCs w:val="24"/>
        </w:rPr>
        <w:t xml:space="preserve"> </w:t>
      </w:r>
      <w:r w:rsidR="00547503" w:rsidRPr="00C81325">
        <w:rPr>
          <w:rFonts w:ascii="Verdana" w:eastAsia="Times New Roman" w:hAnsi="Verdana"/>
          <w:sz w:val="24"/>
          <w:szCs w:val="24"/>
        </w:rPr>
        <w:t xml:space="preserve">£900k </w:t>
      </w:r>
      <w:r w:rsidRPr="00C81325">
        <w:rPr>
          <w:rFonts w:ascii="Verdana" w:eastAsia="Times New Roman" w:hAnsi="Verdana"/>
          <w:sz w:val="24"/>
          <w:szCs w:val="24"/>
        </w:rPr>
        <w:t>and 0.5% Organisational Efficiencies</w:t>
      </w:r>
      <w:r w:rsidR="00547503" w:rsidRPr="00C81325">
        <w:rPr>
          <w:rFonts w:ascii="Verdana" w:eastAsia="Times New Roman" w:hAnsi="Verdana"/>
          <w:sz w:val="24"/>
          <w:szCs w:val="24"/>
        </w:rPr>
        <w:t xml:space="preserve"> </w:t>
      </w:r>
      <w:r w:rsidR="001C653D" w:rsidRPr="00C81325">
        <w:rPr>
          <w:rFonts w:ascii="Verdana" w:eastAsia="Times New Roman" w:hAnsi="Verdana"/>
          <w:sz w:val="24"/>
          <w:szCs w:val="24"/>
        </w:rPr>
        <w:t>£</w:t>
      </w:r>
      <w:r w:rsidR="00547503" w:rsidRPr="00C81325">
        <w:rPr>
          <w:rFonts w:ascii="Verdana" w:eastAsia="Times New Roman" w:hAnsi="Verdana"/>
          <w:sz w:val="24"/>
          <w:szCs w:val="24"/>
        </w:rPr>
        <w:t>450k</w:t>
      </w:r>
      <w:r w:rsidRPr="00C81325">
        <w:rPr>
          <w:rFonts w:ascii="Verdana" w:eastAsia="Times New Roman" w:hAnsi="Verdana"/>
          <w:sz w:val="24"/>
          <w:szCs w:val="24"/>
        </w:rPr>
        <w:t xml:space="preserve">.  </w:t>
      </w:r>
    </w:p>
    <w:p w14:paraId="4C535F09" w14:textId="77777777" w:rsidR="00B73677" w:rsidRPr="00C81325" w:rsidRDefault="00B73677" w:rsidP="00B73677">
      <w:pPr>
        <w:spacing w:after="0" w:line="240" w:lineRule="auto"/>
        <w:jc w:val="both"/>
        <w:rPr>
          <w:rFonts w:ascii="Verdana" w:eastAsia="Times New Roman" w:hAnsi="Verdana"/>
          <w:sz w:val="24"/>
          <w:szCs w:val="24"/>
        </w:rPr>
      </w:pPr>
    </w:p>
    <w:p w14:paraId="3571AD55" w14:textId="77777777" w:rsidR="0051605F" w:rsidRPr="00C81325" w:rsidRDefault="00B73677" w:rsidP="0051605F">
      <w:pPr>
        <w:spacing w:after="0" w:line="240" w:lineRule="auto"/>
        <w:jc w:val="both"/>
        <w:rPr>
          <w:rFonts w:ascii="Verdana" w:eastAsia="Times New Roman" w:hAnsi="Verdana"/>
          <w:sz w:val="24"/>
          <w:szCs w:val="24"/>
        </w:rPr>
      </w:pPr>
      <w:r w:rsidRPr="00C81325">
        <w:rPr>
          <w:rFonts w:ascii="Verdana" w:eastAsia="Times New Roman" w:hAnsi="Verdana"/>
          <w:sz w:val="24"/>
          <w:szCs w:val="24"/>
        </w:rPr>
        <w:t>Of the £900k relating to the 1% savings target assigned to each Directorate</w:t>
      </w:r>
      <w:r w:rsidR="0053658C" w:rsidRPr="00C81325">
        <w:rPr>
          <w:rFonts w:ascii="Verdana" w:eastAsia="Times New Roman" w:hAnsi="Verdana"/>
          <w:sz w:val="24"/>
          <w:szCs w:val="24"/>
        </w:rPr>
        <w:t>,</w:t>
      </w:r>
      <w:r w:rsidRPr="00C81325">
        <w:rPr>
          <w:rFonts w:ascii="Verdana" w:eastAsia="Times New Roman" w:hAnsi="Verdana"/>
          <w:sz w:val="24"/>
          <w:szCs w:val="24"/>
        </w:rPr>
        <w:t xml:space="preserve"> £74k was met by increased vacancy fa</w:t>
      </w:r>
      <w:r w:rsidR="00C220C7" w:rsidRPr="00C81325">
        <w:rPr>
          <w:rFonts w:ascii="Verdana" w:eastAsia="Times New Roman" w:hAnsi="Verdana"/>
          <w:sz w:val="24"/>
          <w:szCs w:val="24"/>
        </w:rPr>
        <w:t>ctors</w:t>
      </w:r>
      <w:r w:rsidR="0053658C" w:rsidRPr="00C81325">
        <w:rPr>
          <w:rFonts w:ascii="Verdana" w:eastAsia="Times New Roman" w:hAnsi="Verdana"/>
          <w:sz w:val="24"/>
          <w:szCs w:val="24"/>
        </w:rPr>
        <w:t xml:space="preserve">, </w:t>
      </w:r>
      <w:r w:rsidR="0051605F" w:rsidRPr="00C81325">
        <w:rPr>
          <w:rFonts w:ascii="Verdana" w:eastAsia="Times New Roman" w:hAnsi="Verdana"/>
          <w:sz w:val="24"/>
          <w:szCs w:val="24"/>
        </w:rPr>
        <w:t xml:space="preserve">£75k from changes within staffing establishments, non-pay efficiencies of £670k and delivery of income generation schemes totalling £80k. </w:t>
      </w:r>
    </w:p>
    <w:p w14:paraId="651374F6" w14:textId="77777777" w:rsidR="00B73677" w:rsidRPr="00C81325" w:rsidRDefault="0053658C" w:rsidP="00B73677">
      <w:pPr>
        <w:spacing w:after="0" w:line="240" w:lineRule="auto"/>
        <w:jc w:val="both"/>
        <w:rPr>
          <w:rFonts w:ascii="Verdana" w:eastAsia="Times New Roman" w:hAnsi="Verdana"/>
          <w:sz w:val="24"/>
          <w:szCs w:val="24"/>
        </w:rPr>
      </w:pPr>
      <w:r w:rsidRPr="00C81325">
        <w:rPr>
          <w:rFonts w:ascii="Verdana" w:eastAsia="Times New Roman" w:hAnsi="Verdana"/>
          <w:sz w:val="24"/>
          <w:szCs w:val="24"/>
        </w:rPr>
        <w:t xml:space="preserve"> </w:t>
      </w:r>
      <w:r w:rsidR="00B73677" w:rsidRPr="00C81325">
        <w:rPr>
          <w:rFonts w:ascii="Verdana" w:eastAsia="Times New Roman" w:hAnsi="Verdana"/>
          <w:sz w:val="24"/>
          <w:szCs w:val="24"/>
        </w:rPr>
        <w:t xml:space="preserve"> </w:t>
      </w:r>
    </w:p>
    <w:p w14:paraId="367AEE77" w14:textId="77777777" w:rsidR="00B73677" w:rsidRDefault="00B73677" w:rsidP="007043FC">
      <w:pPr>
        <w:spacing w:after="0" w:line="240" w:lineRule="auto"/>
        <w:jc w:val="both"/>
        <w:rPr>
          <w:rFonts w:ascii="Verdana" w:eastAsia="Times New Roman" w:hAnsi="Verdana"/>
          <w:sz w:val="24"/>
          <w:szCs w:val="24"/>
        </w:rPr>
      </w:pPr>
      <w:r w:rsidRPr="00C81325">
        <w:rPr>
          <w:rFonts w:ascii="Verdana" w:eastAsia="Times New Roman" w:hAnsi="Verdana"/>
          <w:sz w:val="24"/>
          <w:szCs w:val="24"/>
        </w:rPr>
        <w:t xml:space="preserve">Of the £450k relating to Organisational efficiencies, £120k related to savings linked to VERs in </w:t>
      </w:r>
      <w:r w:rsidR="00B95067" w:rsidRPr="00C81325">
        <w:rPr>
          <w:rFonts w:ascii="Verdana" w:eastAsia="Times New Roman" w:hAnsi="Verdana"/>
          <w:sz w:val="24"/>
          <w:szCs w:val="24"/>
        </w:rPr>
        <w:t>20</w:t>
      </w:r>
      <w:r w:rsidRPr="00C81325">
        <w:rPr>
          <w:rFonts w:ascii="Verdana" w:eastAsia="Times New Roman" w:hAnsi="Verdana"/>
          <w:sz w:val="24"/>
          <w:szCs w:val="24"/>
        </w:rPr>
        <w:t xml:space="preserve">19/20 and was achieved in month 1.  The remaining efficiencies </w:t>
      </w:r>
      <w:r w:rsidR="001215CD">
        <w:rPr>
          <w:rFonts w:ascii="Verdana" w:eastAsia="Times New Roman" w:hAnsi="Verdana"/>
          <w:sz w:val="24"/>
          <w:szCs w:val="24"/>
        </w:rPr>
        <w:t>were</w:t>
      </w:r>
      <w:r w:rsidRPr="00C81325">
        <w:rPr>
          <w:rFonts w:ascii="Verdana" w:eastAsia="Times New Roman" w:hAnsi="Verdana"/>
          <w:sz w:val="24"/>
          <w:szCs w:val="24"/>
        </w:rPr>
        <w:t xml:space="preserve"> linked to </w:t>
      </w:r>
      <w:r w:rsidR="001C653D" w:rsidRPr="00C81325">
        <w:rPr>
          <w:rFonts w:ascii="Verdana" w:eastAsia="Times New Roman" w:hAnsi="Verdana"/>
          <w:sz w:val="24"/>
          <w:szCs w:val="24"/>
        </w:rPr>
        <w:t xml:space="preserve">£105k </w:t>
      </w:r>
      <w:r w:rsidRPr="00C81325">
        <w:rPr>
          <w:rFonts w:ascii="Verdana" w:eastAsia="Times New Roman" w:hAnsi="Verdana"/>
          <w:sz w:val="24"/>
          <w:szCs w:val="24"/>
        </w:rPr>
        <w:t xml:space="preserve">procurement efficiencies, </w:t>
      </w:r>
      <w:r w:rsidR="001C653D" w:rsidRPr="00C81325">
        <w:rPr>
          <w:rFonts w:ascii="Verdana" w:eastAsia="Times New Roman" w:hAnsi="Verdana"/>
          <w:sz w:val="24"/>
          <w:szCs w:val="24"/>
        </w:rPr>
        <w:t xml:space="preserve">£40k </w:t>
      </w:r>
      <w:r w:rsidRPr="00C81325">
        <w:rPr>
          <w:rFonts w:ascii="Verdana" w:eastAsia="Times New Roman" w:hAnsi="Verdana"/>
          <w:sz w:val="24"/>
          <w:szCs w:val="24"/>
        </w:rPr>
        <w:t xml:space="preserve">Salary Sacrifice Schemes and </w:t>
      </w:r>
      <w:r w:rsidR="001C653D" w:rsidRPr="00C81325">
        <w:rPr>
          <w:rFonts w:ascii="Verdana" w:eastAsia="Times New Roman" w:hAnsi="Verdana"/>
          <w:sz w:val="24"/>
          <w:szCs w:val="24"/>
        </w:rPr>
        <w:t xml:space="preserve">£185k </w:t>
      </w:r>
      <w:r w:rsidR="001215CD">
        <w:rPr>
          <w:rFonts w:ascii="Verdana" w:eastAsia="Times New Roman" w:hAnsi="Verdana"/>
          <w:sz w:val="24"/>
          <w:szCs w:val="24"/>
        </w:rPr>
        <w:t>unidentified (</w:t>
      </w:r>
      <w:r w:rsidR="001C653D" w:rsidRPr="00C81325">
        <w:rPr>
          <w:rFonts w:ascii="Verdana" w:eastAsia="Times New Roman" w:hAnsi="Verdana"/>
          <w:sz w:val="24"/>
          <w:szCs w:val="24"/>
        </w:rPr>
        <w:t>red schemes</w:t>
      </w:r>
      <w:r w:rsidR="001215CD">
        <w:rPr>
          <w:rFonts w:ascii="Verdana" w:eastAsia="Times New Roman" w:hAnsi="Verdana"/>
          <w:sz w:val="24"/>
          <w:szCs w:val="24"/>
        </w:rPr>
        <w:t>)</w:t>
      </w:r>
      <w:r w:rsidRPr="00C81325">
        <w:rPr>
          <w:rFonts w:ascii="Verdana" w:eastAsia="Times New Roman" w:hAnsi="Verdana"/>
          <w:sz w:val="24"/>
          <w:szCs w:val="24"/>
        </w:rPr>
        <w:t>.  Due to COVID-19 priorities, the</w:t>
      </w:r>
      <w:r w:rsidR="001C653D" w:rsidRPr="00C81325">
        <w:rPr>
          <w:rFonts w:ascii="Verdana" w:eastAsia="Times New Roman" w:hAnsi="Verdana"/>
          <w:sz w:val="24"/>
          <w:szCs w:val="24"/>
        </w:rPr>
        <w:t xml:space="preserve">se </w:t>
      </w:r>
      <w:r w:rsidRPr="00C81325">
        <w:rPr>
          <w:rFonts w:ascii="Verdana" w:eastAsia="Times New Roman" w:hAnsi="Verdana"/>
          <w:sz w:val="24"/>
          <w:szCs w:val="24"/>
        </w:rPr>
        <w:t xml:space="preserve">have </w:t>
      </w:r>
      <w:r w:rsidR="001C653D" w:rsidRPr="00C81325">
        <w:rPr>
          <w:rFonts w:ascii="Verdana" w:eastAsia="Times New Roman" w:hAnsi="Verdana"/>
          <w:sz w:val="24"/>
          <w:szCs w:val="24"/>
        </w:rPr>
        <w:t xml:space="preserve">all now </w:t>
      </w:r>
      <w:r w:rsidRPr="00C81325">
        <w:rPr>
          <w:rFonts w:ascii="Verdana" w:eastAsia="Times New Roman" w:hAnsi="Verdana"/>
          <w:sz w:val="24"/>
          <w:szCs w:val="24"/>
        </w:rPr>
        <w:t>been re-classified as red schemes.</w:t>
      </w:r>
    </w:p>
    <w:p w14:paraId="251B10B1" w14:textId="77777777" w:rsidR="0031273C" w:rsidRPr="00C81325" w:rsidRDefault="0031273C" w:rsidP="007043FC">
      <w:pPr>
        <w:spacing w:after="0" w:line="240" w:lineRule="auto"/>
        <w:jc w:val="both"/>
        <w:rPr>
          <w:rFonts w:ascii="Verdana" w:eastAsia="Times New Roman" w:hAnsi="Verdana"/>
          <w:sz w:val="24"/>
          <w:szCs w:val="24"/>
        </w:rPr>
      </w:pPr>
    </w:p>
    <w:p w14:paraId="1A5C1864" w14:textId="77777777" w:rsidR="00B73677" w:rsidRPr="00C81325" w:rsidRDefault="00AA223C" w:rsidP="00A566A9">
      <w:pPr>
        <w:pStyle w:val="NormalWeb"/>
        <w:spacing w:before="200" w:beforeAutospacing="0" w:after="0" w:afterAutospacing="0"/>
        <w:jc w:val="both"/>
        <w:rPr>
          <w:rFonts w:ascii="Verdana" w:hAnsi="Verdana" w:cstheme="minorBidi"/>
          <w:b/>
          <w:lang w:eastAsia="en-US"/>
        </w:rPr>
      </w:pPr>
      <w:r w:rsidRPr="00C81325">
        <w:rPr>
          <w:rFonts w:ascii="Verdana" w:hAnsi="Verdana" w:cstheme="minorBidi"/>
          <w:b/>
          <w:lang w:eastAsia="en-US"/>
        </w:rPr>
        <w:t xml:space="preserve">2.6 </w:t>
      </w:r>
      <w:r w:rsidR="00B73677" w:rsidRPr="00C81325">
        <w:rPr>
          <w:rFonts w:ascii="Verdana" w:hAnsi="Verdana" w:cstheme="minorBidi"/>
          <w:b/>
          <w:lang w:eastAsia="en-US"/>
        </w:rPr>
        <w:t>Investments</w:t>
      </w:r>
    </w:p>
    <w:p w14:paraId="5A206FBF" w14:textId="77777777" w:rsidR="00B73677" w:rsidRPr="00C81325" w:rsidRDefault="00B73677" w:rsidP="00B73677">
      <w:pPr>
        <w:spacing w:before="200" w:after="160" w:line="256" w:lineRule="auto"/>
        <w:jc w:val="both"/>
        <w:rPr>
          <w:rFonts w:ascii="Verdana" w:eastAsia="Times New Roman" w:hAnsi="Verdana"/>
          <w:sz w:val="24"/>
          <w:szCs w:val="24"/>
        </w:rPr>
      </w:pPr>
      <w:r w:rsidRPr="00C81325">
        <w:rPr>
          <w:rFonts w:ascii="Verdana" w:eastAsia="Times New Roman" w:hAnsi="Verdana"/>
          <w:sz w:val="24"/>
          <w:szCs w:val="24"/>
        </w:rPr>
        <w:t xml:space="preserve">There </w:t>
      </w:r>
      <w:r w:rsidR="00C955ED" w:rsidRPr="00C81325">
        <w:rPr>
          <w:rFonts w:ascii="Verdana" w:eastAsia="Times New Roman" w:hAnsi="Verdana"/>
          <w:sz w:val="24"/>
          <w:szCs w:val="24"/>
        </w:rPr>
        <w:t>has</w:t>
      </w:r>
      <w:r w:rsidRPr="00C81325">
        <w:rPr>
          <w:rFonts w:ascii="Verdana" w:eastAsia="Times New Roman" w:hAnsi="Verdana"/>
          <w:sz w:val="24"/>
          <w:szCs w:val="24"/>
        </w:rPr>
        <w:t xml:space="preserve"> be</w:t>
      </w:r>
      <w:r w:rsidR="00C955ED" w:rsidRPr="00C81325">
        <w:rPr>
          <w:rFonts w:ascii="Verdana" w:eastAsia="Times New Roman" w:hAnsi="Verdana"/>
          <w:sz w:val="24"/>
          <w:szCs w:val="24"/>
        </w:rPr>
        <w:t>en</w:t>
      </w:r>
      <w:r w:rsidRPr="00C81325">
        <w:rPr>
          <w:rFonts w:ascii="Verdana" w:eastAsia="Times New Roman" w:hAnsi="Verdana"/>
          <w:sz w:val="24"/>
          <w:szCs w:val="24"/>
        </w:rPr>
        <w:t xml:space="preserve"> slippage against investment</w:t>
      </w:r>
      <w:r w:rsidR="001C653D" w:rsidRPr="00C81325">
        <w:rPr>
          <w:rFonts w:ascii="Verdana" w:eastAsia="Times New Roman" w:hAnsi="Verdana"/>
          <w:sz w:val="24"/>
          <w:szCs w:val="24"/>
        </w:rPr>
        <w:t>s</w:t>
      </w:r>
      <w:r w:rsidRPr="00C81325">
        <w:rPr>
          <w:rFonts w:ascii="Verdana" w:eastAsia="Times New Roman" w:hAnsi="Verdana"/>
          <w:sz w:val="24"/>
          <w:szCs w:val="24"/>
        </w:rPr>
        <w:t xml:space="preserve"> within Public Health Wales due to delays in the allocation of internal investment funding as a result of COVID-19. </w:t>
      </w:r>
    </w:p>
    <w:p w14:paraId="296BCDCD" w14:textId="77777777" w:rsidR="00346DCD" w:rsidRPr="00C81325" w:rsidRDefault="00B73677" w:rsidP="00934F69">
      <w:pPr>
        <w:spacing w:before="200" w:after="160" w:line="256" w:lineRule="auto"/>
        <w:jc w:val="both"/>
        <w:rPr>
          <w:rFonts w:ascii="Verdana" w:eastAsia="Times New Roman" w:hAnsi="Verdana"/>
          <w:sz w:val="24"/>
          <w:szCs w:val="24"/>
        </w:rPr>
      </w:pPr>
      <w:r w:rsidRPr="00C81325">
        <w:rPr>
          <w:rFonts w:ascii="Verdana" w:eastAsia="Times New Roman" w:hAnsi="Verdana"/>
          <w:sz w:val="24"/>
          <w:szCs w:val="24"/>
        </w:rPr>
        <w:t xml:space="preserve">Due to the inability of our Directorates to pursue </w:t>
      </w:r>
      <w:r w:rsidR="00C955ED" w:rsidRPr="00C81325">
        <w:rPr>
          <w:rFonts w:ascii="Verdana" w:eastAsia="Times New Roman" w:hAnsi="Verdana"/>
          <w:sz w:val="24"/>
          <w:szCs w:val="24"/>
        </w:rPr>
        <w:t xml:space="preserve">their original </w:t>
      </w:r>
      <w:r w:rsidRPr="00C81325">
        <w:rPr>
          <w:rFonts w:ascii="Verdana" w:eastAsia="Times New Roman" w:hAnsi="Verdana"/>
          <w:sz w:val="24"/>
          <w:szCs w:val="24"/>
        </w:rPr>
        <w:t>investment</w:t>
      </w:r>
      <w:r w:rsidR="00C955ED" w:rsidRPr="00C81325">
        <w:rPr>
          <w:rFonts w:ascii="Verdana" w:eastAsia="Times New Roman" w:hAnsi="Verdana"/>
          <w:sz w:val="24"/>
          <w:szCs w:val="24"/>
        </w:rPr>
        <w:t xml:space="preserve"> plans</w:t>
      </w:r>
      <w:r w:rsidR="00C220C7" w:rsidRPr="00D93D22">
        <w:rPr>
          <w:rFonts w:ascii="Verdana" w:eastAsia="Times New Roman" w:hAnsi="Verdana"/>
          <w:sz w:val="24"/>
          <w:szCs w:val="24"/>
        </w:rPr>
        <w:t xml:space="preserve">, </w:t>
      </w:r>
      <w:r w:rsidR="00C81325" w:rsidRPr="00D93D22">
        <w:rPr>
          <w:rFonts w:ascii="Verdana" w:eastAsia="Times New Roman" w:hAnsi="Verdana"/>
          <w:sz w:val="24"/>
          <w:szCs w:val="24"/>
        </w:rPr>
        <w:t>£96</w:t>
      </w:r>
      <w:r w:rsidR="00617233" w:rsidRPr="00D93D22">
        <w:rPr>
          <w:rFonts w:ascii="Verdana" w:eastAsia="Times New Roman" w:hAnsi="Verdana"/>
          <w:sz w:val="24"/>
          <w:szCs w:val="24"/>
        </w:rPr>
        <w:t>4</w:t>
      </w:r>
      <w:r w:rsidR="007043FC" w:rsidRPr="00D93D22">
        <w:rPr>
          <w:rFonts w:ascii="Verdana" w:eastAsia="Times New Roman" w:hAnsi="Verdana"/>
          <w:sz w:val="24"/>
          <w:szCs w:val="24"/>
        </w:rPr>
        <w:t>k of</w:t>
      </w:r>
      <w:r w:rsidR="007043FC" w:rsidRPr="00C81325">
        <w:rPr>
          <w:rFonts w:ascii="Verdana" w:eastAsia="Times New Roman" w:hAnsi="Verdana"/>
          <w:sz w:val="24"/>
          <w:szCs w:val="24"/>
        </w:rPr>
        <w:t xml:space="preserve"> </w:t>
      </w:r>
      <w:r w:rsidR="00C14AA2" w:rsidRPr="00C81325">
        <w:rPr>
          <w:rFonts w:ascii="Verdana" w:eastAsia="Times New Roman" w:hAnsi="Verdana"/>
          <w:sz w:val="24"/>
          <w:szCs w:val="24"/>
        </w:rPr>
        <w:t>month’s</w:t>
      </w:r>
      <w:r w:rsidR="00C81325" w:rsidRPr="00C81325">
        <w:rPr>
          <w:rFonts w:ascii="Verdana" w:eastAsia="Times New Roman" w:hAnsi="Verdana"/>
          <w:sz w:val="24"/>
          <w:szCs w:val="24"/>
        </w:rPr>
        <w:t xml:space="preserve"> 1 – 9</w:t>
      </w:r>
      <w:r w:rsidRPr="00C81325">
        <w:rPr>
          <w:rFonts w:ascii="Verdana" w:eastAsia="Times New Roman" w:hAnsi="Verdana"/>
          <w:sz w:val="24"/>
          <w:szCs w:val="24"/>
        </w:rPr>
        <w:t xml:space="preserve"> investment slippage has been used to form part of Public Health Wales overall financial commitment to supporting the COVID-19 response. </w:t>
      </w:r>
      <w:r w:rsidR="00547503" w:rsidRPr="00C81325">
        <w:rPr>
          <w:rFonts w:ascii="Verdana" w:eastAsia="Times New Roman" w:hAnsi="Verdana"/>
          <w:sz w:val="24"/>
          <w:szCs w:val="24"/>
        </w:rPr>
        <w:t xml:space="preserve">The investment monies have been built into </w:t>
      </w:r>
      <w:r w:rsidR="001C653D" w:rsidRPr="00C81325">
        <w:rPr>
          <w:rFonts w:ascii="Verdana" w:eastAsia="Times New Roman" w:hAnsi="Verdana"/>
          <w:sz w:val="24"/>
          <w:szCs w:val="24"/>
        </w:rPr>
        <w:t>Public Health Wales</w:t>
      </w:r>
      <w:r w:rsidR="00547503" w:rsidRPr="00C81325">
        <w:rPr>
          <w:rFonts w:ascii="Verdana" w:eastAsia="Times New Roman" w:hAnsi="Verdana"/>
          <w:sz w:val="24"/>
          <w:szCs w:val="24"/>
        </w:rPr>
        <w:t xml:space="preserve"> revised Operational plans and forecast breakeven position.</w:t>
      </w:r>
    </w:p>
    <w:p w14:paraId="27C2FC07" w14:textId="77777777" w:rsidR="00FF7411" w:rsidRDefault="00FF7411" w:rsidP="005B39FA">
      <w:pPr>
        <w:jc w:val="both"/>
        <w:rPr>
          <w:rFonts w:ascii="Verdana" w:hAnsi="Verdana"/>
          <w:b/>
          <w:sz w:val="24"/>
          <w:szCs w:val="24"/>
          <w:highlight w:val="magenta"/>
        </w:rPr>
      </w:pPr>
    </w:p>
    <w:p w14:paraId="59F4FB9B" w14:textId="77777777" w:rsidR="005B39FA" w:rsidRPr="0057789B" w:rsidRDefault="00FF7411" w:rsidP="00FF7411">
      <w:pPr>
        <w:pStyle w:val="ListParagraph"/>
        <w:numPr>
          <w:ilvl w:val="0"/>
          <w:numId w:val="10"/>
        </w:numPr>
        <w:jc w:val="both"/>
        <w:rPr>
          <w:rFonts w:ascii="Verdana" w:hAnsi="Verdana"/>
          <w:b/>
          <w:u w:val="single"/>
        </w:rPr>
      </w:pPr>
      <w:r w:rsidRPr="0057789B">
        <w:rPr>
          <w:rFonts w:ascii="Verdana" w:hAnsi="Verdana"/>
          <w:b/>
          <w:u w:val="single"/>
        </w:rPr>
        <w:t>Forecast position</w:t>
      </w:r>
      <w:r w:rsidR="0075301D" w:rsidRPr="0057789B">
        <w:rPr>
          <w:rFonts w:ascii="Verdana" w:hAnsi="Verdana"/>
          <w:b/>
          <w:u w:val="single"/>
        </w:rPr>
        <w:t xml:space="preserve"> </w:t>
      </w:r>
    </w:p>
    <w:p w14:paraId="2665470C" w14:textId="77777777" w:rsidR="0075301D" w:rsidRPr="005F3065" w:rsidRDefault="0075301D" w:rsidP="00890ADD">
      <w:pPr>
        <w:jc w:val="both"/>
        <w:rPr>
          <w:rFonts w:ascii="Verdana" w:eastAsia="Times New Roman" w:hAnsi="Verdana"/>
          <w:b/>
          <w:sz w:val="24"/>
          <w:szCs w:val="24"/>
          <w:highlight w:val="magenta"/>
        </w:rPr>
      </w:pPr>
    </w:p>
    <w:p w14:paraId="166353C1" w14:textId="77777777" w:rsidR="0075301D" w:rsidRPr="0057789B" w:rsidRDefault="00934F69" w:rsidP="00890ADD">
      <w:pPr>
        <w:jc w:val="both"/>
        <w:rPr>
          <w:rFonts w:ascii="Verdana" w:eastAsia="Times New Roman" w:hAnsi="Verdana"/>
          <w:b/>
          <w:sz w:val="24"/>
          <w:szCs w:val="24"/>
        </w:rPr>
      </w:pPr>
      <w:r w:rsidRPr="0057789B">
        <w:rPr>
          <w:rFonts w:ascii="Verdana" w:eastAsia="Times New Roman" w:hAnsi="Verdana"/>
          <w:b/>
          <w:sz w:val="24"/>
          <w:szCs w:val="24"/>
        </w:rPr>
        <w:lastRenderedPageBreak/>
        <w:t xml:space="preserve">3.1 </w:t>
      </w:r>
      <w:r w:rsidR="0075301D" w:rsidRPr="0057789B">
        <w:rPr>
          <w:rFonts w:ascii="Verdana" w:eastAsia="Times New Roman" w:hAnsi="Verdana"/>
          <w:b/>
          <w:sz w:val="24"/>
          <w:szCs w:val="24"/>
        </w:rPr>
        <w:t>Covid-19</w:t>
      </w:r>
    </w:p>
    <w:p w14:paraId="7B90D605" w14:textId="77777777" w:rsidR="00890ADD" w:rsidRPr="0057789B" w:rsidRDefault="00890ADD" w:rsidP="00890ADD">
      <w:pPr>
        <w:jc w:val="both"/>
        <w:rPr>
          <w:rFonts w:ascii="Verdana" w:hAnsi="Verdana"/>
          <w:sz w:val="24"/>
          <w:szCs w:val="24"/>
          <w:lang w:eastAsia="en-GB"/>
        </w:rPr>
      </w:pPr>
      <w:r w:rsidRPr="0057789B">
        <w:rPr>
          <w:rFonts w:ascii="Verdana" w:eastAsia="Times New Roman" w:hAnsi="Verdana"/>
          <w:sz w:val="24"/>
          <w:szCs w:val="24"/>
        </w:rPr>
        <w:t xml:space="preserve">NHS </w:t>
      </w:r>
      <w:proofErr w:type="gramStart"/>
      <w:r w:rsidRPr="0057789B">
        <w:rPr>
          <w:rFonts w:ascii="Verdana" w:eastAsia="Times New Roman" w:hAnsi="Verdana"/>
          <w:sz w:val="24"/>
          <w:szCs w:val="24"/>
        </w:rPr>
        <w:t>Wales</w:t>
      </w:r>
      <w:proofErr w:type="gramEnd"/>
      <w:r w:rsidRPr="0057789B">
        <w:rPr>
          <w:rFonts w:ascii="Verdana" w:eastAsia="Times New Roman" w:hAnsi="Verdana"/>
          <w:sz w:val="24"/>
          <w:szCs w:val="24"/>
        </w:rPr>
        <w:t xml:space="preserve"> organisations are required to submit a COVID19 monitoring return as part of their Monthly Monitoring Returns to Welsh Government. This captures a forecast </w:t>
      </w:r>
      <w:r w:rsidRPr="0057789B">
        <w:rPr>
          <w:rFonts w:ascii="Verdana" w:hAnsi="Verdana"/>
          <w:sz w:val="24"/>
          <w:szCs w:val="24"/>
          <w:lang w:eastAsia="en-GB"/>
        </w:rPr>
        <w:t xml:space="preserve">for all COVID-19 costs for 2020/21 along with non-delivery of planned savings, planned operational expenditure cost reductions and slippage on planned investments. </w:t>
      </w:r>
    </w:p>
    <w:p w14:paraId="7E6F85E2" w14:textId="77777777" w:rsidR="00C955ED" w:rsidRPr="005F3065" w:rsidRDefault="00890ADD" w:rsidP="00C955ED">
      <w:pPr>
        <w:jc w:val="both"/>
        <w:rPr>
          <w:rFonts w:ascii="Verdana" w:hAnsi="Verdana"/>
          <w:sz w:val="24"/>
          <w:szCs w:val="24"/>
          <w:highlight w:val="magenta"/>
        </w:rPr>
      </w:pPr>
      <w:r w:rsidRPr="00416226">
        <w:rPr>
          <w:rFonts w:ascii="Verdana" w:hAnsi="Verdana"/>
          <w:b/>
          <w:sz w:val="24"/>
          <w:szCs w:val="24"/>
          <w:lang w:eastAsia="en-GB"/>
        </w:rPr>
        <w:t>Appendix 1</w:t>
      </w:r>
      <w:r w:rsidRPr="00416226">
        <w:rPr>
          <w:rFonts w:ascii="Verdana" w:hAnsi="Verdana"/>
          <w:sz w:val="24"/>
          <w:szCs w:val="24"/>
          <w:lang w:eastAsia="en-GB"/>
        </w:rPr>
        <w:t xml:space="preserve"> includes the full monitoring return submitted by Public Health Wales on 1</w:t>
      </w:r>
      <w:r w:rsidR="00416226" w:rsidRPr="00416226">
        <w:rPr>
          <w:rFonts w:ascii="Verdana" w:hAnsi="Verdana"/>
          <w:sz w:val="24"/>
          <w:szCs w:val="24"/>
          <w:lang w:eastAsia="en-GB"/>
        </w:rPr>
        <w:t>4 January 2021</w:t>
      </w:r>
      <w:r w:rsidRPr="00416226">
        <w:rPr>
          <w:rFonts w:ascii="Verdana" w:hAnsi="Verdana"/>
          <w:sz w:val="24"/>
          <w:szCs w:val="24"/>
          <w:lang w:eastAsia="en-GB"/>
        </w:rPr>
        <w:t xml:space="preserve">.  Table B3 within the return specifically relates to COVID-19.  Actual costs </w:t>
      </w:r>
      <w:r w:rsidR="00C955ED" w:rsidRPr="00416226">
        <w:rPr>
          <w:rFonts w:ascii="Verdana" w:hAnsi="Verdana"/>
          <w:sz w:val="24"/>
          <w:szCs w:val="24"/>
          <w:lang w:eastAsia="en-GB"/>
        </w:rPr>
        <w:t>have been</w:t>
      </w:r>
      <w:r w:rsidRPr="00416226">
        <w:rPr>
          <w:rFonts w:ascii="Verdana" w:hAnsi="Verdana"/>
          <w:sz w:val="24"/>
          <w:szCs w:val="24"/>
          <w:lang w:eastAsia="en-GB"/>
        </w:rPr>
        <w:t xml:space="preserve"> reported for April to </w:t>
      </w:r>
      <w:r w:rsidR="00416226" w:rsidRPr="00416226">
        <w:rPr>
          <w:rFonts w:ascii="Verdana" w:hAnsi="Verdana"/>
          <w:sz w:val="24"/>
          <w:szCs w:val="24"/>
          <w:lang w:eastAsia="en-GB"/>
        </w:rPr>
        <w:t>December 2020</w:t>
      </w:r>
      <w:r w:rsidRPr="00416226">
        <w:rPr>
          <w:rFonts w:ascii="Verdana" w:hAnsi="Verdana"/>
          <w:sz w:val="24"/>
          <w:szCs w:val="24"/>
          <w:lang w:eastAsia="en-GB"/>
        </w:rPr>
        <w:t xml:space="preserve"> and estimated costs have been included for </w:t>
      </w:r>
      <w:r w:rsidR="00416226" w:rsidRPr="00416226">
        <w:rPr>
          <w:rFonts w:ascii="Verdana" w:hAnsi="Verdana"/>
          <w:sz w:val="24"/>
          <w:szCs w:val="24"/>
          <w:lang w:eastAsia="en-GB"/>
        </w:rPr>
        <w:t>January</w:t>
      </w:r>
      <w:r w:rsidRPr="00416226">
        <w:rPr>
          <w:rFonts w:ascii="Verdana" w:hAnsi="Verdana"/>
          <w:sz w:val="24"/>
          <w:szCs w:val="24"/>
          <w:lang w:eastAsia="en-GB"/>
        </w:rPr>
        <w:t xml:space="preserve"> through to March</w:t>
      </w:r>
      <w:r w:rsidR="00416226" w:rsidRPr="00416226">
        <w:rPr>
          <w:rFonts w:ascii="Verdana" w:hAnsi="Verdana"/>
          <w:sz w:val="24"/>
          <w:szCs w:val="24"/>
          <w:lang w:eastAsia="en-GB"/>
        </w:rPr>
        <w:t xml:space="preserve"> 2021</w:t>
      </w:r>
      <w:r w:rsidRPr="00416226">
        <w:rPr>
          <w:rFonts w:ascii="Verdana" w:hAnsi="Verdana"/>
          <w:sz w:val="24"/>
          <w:szCs w:val="24"/>
          <w:lang w:eastAsia="en-GB"/>
        </w:rPr>
        <w:t xml:space="preserve">. </w:t>
      </w:r>
      <w:r w:rsidR="00C955ED" w:rsidRPr="00416226">
        <w:rPr>
          <w:rFonts w:ascii="Verdana" w:hAnsi="Verdana"/>
          <w:sz w:val="24"/>
          <w:szCs w:val="24"/>
          <w:lang w:eastAsia="en-GB"/>
        </w:rPr>
        <w:t xml:space="preserve"> </w:t>
      </w:r>
      <w:r w:rsidR="00617233">
        <w:rPr>
          <w:rFonts w:ascii="Verdana" w:hAnsi="Verdana"/>
          <w:sz w:val="24"/>
          <w:szCs w:val="24"/>
          <w:lang w:eastAsia="en-GB"/>
        </w:rPr>
        <w:t xml:space="preserve">It has been assumed </w:t>
      </w:r>
      <w:r w:rsidR="00C955ED" w:rsidRPr="00416226">
        <w:rPr>
          <w:rFonts w:ascii="Verdana" w:hAnsi="Verdana"/>
          <w:sz w:val="24"/>
          <w:szCs w:val="24"/>
          <w:lang w:eastAsia="en-GB"/>
        </w:rPr>
        <w:t>that</w:t>
      </w:r>
      <w:r w:rsidR="00C955ED" w:rsidRPr="00416226">
        <w:rPr>
          <w:rFonts w:ascii="Verdana" w:hAnsi="Verdana"/>
          <w:sz w:val="24"/>
          <w:szCs w:val="24"/>
        </w:rPr>
        <w:t xml:space="preserve"> Welsh Government will fund the remaining COVID-19 expenditure over and above internal funding already identified.</w:t>
      </w:r>
    </w:p>
    <w:p w14:paraId="177029E9" w14:textId="77777777" w:rsidR="00C955ED" w:rsidRPr="00416226" w:rsidRDefault="00C955ED" w:rsidP="00C955ED">
      <w:pPr>
        <w:jc w:val="both"/>
        <w:rPr>
          <w:rFonts w:ascii="Verdana" w:hAnsi="Verdana"/>
          <w:sz w:val="24"/>
          <w:szCs w:val="24"/>
        </w:rPr>
      </w:pPr>
      <w:r w:rsidRPr="00416226">
        <w:rPr>
          <w:rFonts w:ascii="Verdana" w:hAnsi="Verdana"/>
          <w:sz w:val="24"/>
          <w:szCs w:val="24"/>
        </w:rPr>
        <w:t>Table C</w:t>
      </w:r>
      <w:r w:rsidR="00A34923" w:rsidRPr="00416226">
        <w:rPr>
          <w:rFonts w:ascii="Verdana" w:hAnsi="Verdana"/>
          <w:sz w:val="24"/>
          <w:szCs w:val="24"/>
        </w:rPr>
        <w:t xml:space="preserve"> summarises the operational expenditure and funding source of the Public Health Wales Covid-19 response plan:</w:t>
      </w:r>
    </w:p>
    <w:p w14:paraId="45049E65" w14:textId="77777777" w:rsidR="004F01A3" w:rsidRPr="005F3065" w:rsidRDefault="004F01A3" w:rsidP="00C955ED">
      <w:pPr>
        <w:jc w:val="both"/>
        <w:rPr>
          <w:rFonts w:ascii="Verdana" w:hAnsi="Verdana"/>
          <w:sz w:val="24"/>
          <w:szCs w:val="24"/>
          <w:highlight w:val="magenta"/>
        </w:rPr>
      </w:pPr>
    </w:p>
    <w:p w14:paraId="5D3D5EDC" w14:textId="77777777" w:rsidR="0051605F" w:rsidRPr="005F3065" w:rsidRDefault="0051605F" w:rsidP="00C955ED">
      <w:pPr>
        <w:jc w:val="both"/>
        <w:rPr>
          <w:rFonts w:ascii="Verdana" w:hAnsi="Verdana"/>
          <w:sz w:val="24"/>
          <w:szCs w:val="24"/>
          <w:highlight w:val="magenta"/>
        </w:rPr>
      </w:pPr>
    </w:p>
    <w:p w14:paraId="166CF36B" w14:textId="77777777" w:rsidR="0051605F" w:rsidRPr="005F3065" w:rsidRDefault="0051605F" w:rsidP="00C955ED">
      <w:pPr>
        <w:jc w:val="both"/>
        <w:rPr>
          <w:rFonts w:ascii="Verdana" w:hAnsi="Verdana"/>
          <w:sz w:val="24"/>
          <w:szCs w:val="24"/>
          <w:highlight w:val="magenta"/>
        </w:rPr>
      </w:pPr>
    </w:p>
    <w:p w14:paraId="6CC30D03" w14:textId="77777777" w:rsidR="0051605F" w:rsidRPr="005F3065" w:rsidRDefault="0051605F" w:rsidP="00C955ED">
      <w:pPr>
        <w:jc w:val="both"/>
        <w:rPr>
          <w:rFonts w:ascii="Verdana" w:hAnsi="Verdana"/>
          <w:sz w:val="24"/>
          <w:szCs w:val="24"/>
          <w:highlight w:val="magenta"/>
        </w:rPr>
      </w:pPr>
    </w:p>
    <w:p w14:paraId="11D70E53" w14:textId="77777777" w:rsidR="00A54749" w:rsidRPr="005F3065" w:rsidRDefault="00A54749" w:rsidP="00C955ED">
      <w:pPr>
        <w:jc w:val="both"/>
        <w:rPr>
          <w:rFonts w:ascii="Verdana" w:hAnsi="Verdana"/>
          <w:sz w:val="24"/>
          <w:szCs w:val="24"/>
          <w:highlight w:val="magenta"/>
        </w:rPr>
      </w:pPr>
    </w:p>
    <w:p w14:paraId="024D3EBA" w14:textId="77777777" w:rsidR="00131B5B" w:rsidRPr="005F3065" w:rsidRDefault="00131B5B" w:rsidP="00C955ED">
      <w:pPr>
        <w:jc w:val="both"/>
        <w:rPr>
          <w:rFonts w:ascii="Verdana" w:hAnsi="Verdana"/>
          <w:sz w:val="24"/>
          <w:szCs w:val="24"/>
          <w:highlight w:val="magenta"/>
        </w:rPr>
      </w:pPr>
    </w:p>
    <w:p w14:paraId="686C1E5D" w14:textId="77777777" w:rsidR="00A54749" w:rsidRPr="005F3065" w:rsidRDefault="00A54749" w:rsidP="00C955ED">
      <w:pPr>
        <w:jc w:val="both"/>
        <w:rPr>
          <w:rFonts w:ascii="Verdana" w:hAnsi="Verdana"/>
          <w:sz w:val="24"/>
          <w:szCs w:val="24"/>
          <w:highlight w:val="magenta"/>
        </w:rPr>
      </w:pPr>
    </w:p>
    <w:p w14:paraId="16D5C9DB" w14:textId="77777777" w:rsidR="00C14AA2" w:rsidRPr="005F3065" w:rsidRDefault="00C14AA2" w:rsidP="00C955ED">
      <w:pPr>
        <w:jc w:val="both"/>
        <w:rPr>
          <w:rFonts w:ascii="Verdana" w:hAnsi="Verdana"/>
          <w:sz w:val="24"/>
          <w:szCs w:val="24"/>
          <w:highlight w:val="magenta"/>
        </w:rPr>
      </w:pPr>
    </w:p>
    <w:p w14:paraId="22AD888A" w14:textId="77777777" w:rsidR="00C14AA2" w:rsidRPr="005F3065" w:rsidRDefault="00C14AA2" w:rsidP="00C955ED">
      <w:pPr>
        <w:jc w:val="both"/>
        <w:rPr>
          <w:rFonts w:ascii="Verdana" w:hAnsi="Verdana"/>
          <w:sz w:val="24"/>
          <w:szCs w:val="24"/>
          <w:highlight w:val="magenta"/>
        </w:rPr>
      </w:pPr>
    </w:p>
    <w:p w14:paraId="765BCF86" w14:textId="77777777" w:rsidR="00C14AA2" w:rsidRPr="005F3065" w:rsidRDefault="00C14AA2" w:rsidP="00C955ED">
      <w:pPr>
        <w:jc w:val="both"/>
        <w:rPr>
          <w:rFonts w:ascii="Verdana" w:hAnsi="Verdana"/>
          <w:sz w:val="24"/>
          <w:szCs w:val="24"/>
          <w:highlight w:val="magenta"/>
        </w:rPr>
      </w:pPr>
    </w:p>
    <w:p w14:paraId="3B354D21" w14:textId="77777777" w:rsidR="00A54749" w:rsidRDefault="00A54749" w:rsidP="00C955ED">
      <w:pPr>
        <w:jc w:val="both"/>
        <w:rPr>
          <w:rFonts w:ascii="Verdana" w:hAnsi="Verdana"/>
          <w:sz w:val="24"/>
          <w:szCs w:val="24"/>
          <w:highlight w:val="magenta"/>
        </w:rPr>
      </w:pPr>
    </w:p>
    <w:p w14:paraId="06DCB1CD" w14:textId="77777777" w:rsidR="001215CD" w:rsidRDefault="001215CD" w:rsidP="00C955ED">
      <w:pPr>
        <w:jc w:val="both"/>
        <w:rPr>
          <w:rFonts w:ascii="Verdana" w:hAnsi="Verdana"/>
          <w:sz w:val="24"/>
          <w:szCs w:val="24"/>
          <w:highlight w:val="magenta"/>
        </w:rPr>
      </w:pPr>
    </w:p>
    <w:p w14:paraId="5B9DAB89" w14:textId="77777777" w:rsidR="00361C53" w:rsidRPr="005F3065" w:rsidRDefault="00361C53" w:rsidP="00C955ED">
      <w:pPr>
        <w:jc w:val="both"/>
        <w:rPr>
          <w:rFonts w:ascii="Verdana" w:hAnsi="Verdana"/>
          <w:sz w:val="24"/>
          <w:szCs w:val="24"/>
          <w:highlight w:val="magenta"/>
        </w:rPr>
      </w:pPr>
    </w:p>
    <w:p w14:paraId="4ACA8B19" w14:textId="77777777" w:rsidR="0031273C" w:rsidRDefault="0031273C" w:rsidP="00890ADD">
      <w:pPr>
        <w:jc w:val="both"/>
        <w:rPr>
          <w:rFonts w:ascii="Verdana" w:hAnsi="Verdana"/>
          <w:b/>
          <w:sz w:val="24"/>
          <w:szCs w:val="24"/>
          <w:lang w:eastAsia="en-GB"/>
        </w:rPr>
      </w:pPr>
    </w:p>
    <w:p w14:paraId="5747203D" w14:textId="77777777" w:rsidR="00890ADD" w:rsidRPr="00416226" w:rsidRDefault="00890ADD" w:rsidP="00890ADD">
      <w:pPr>
        <w:jc w:val="both"/>
        <w:rPr>
          <w:rFonts w:ascii="Verdana" w:hAnsi="Verdana"/>
          <w:b/>
          <w:sz w:val="24"/>
          <w:szCs w:val="24"/>
          <w:lang w:eastAsia="en-GB"/>
        </w:rPr>
      </w:pPr>
      <w:r w:rsidRPr="00416226">
        <w:rPr>
          <w:rFonts w:ascii="Verdana" w:hAnsi="Verdana"/>
          <w:b/>
          <w:sz w:val="24"/>
          <w:szCs w:val="24"/>
          <w:lang w:eastAsia="en-GB"/>
        </w:rPr>
        <w:t xml:space="preserve">Table </w:t>
      </w:r>
      <w:r w:rsidR="002A16EC" w:rsidRPr="00416226">
        <w:rPr>
          <w:rFonts w:ascii="Verdana" w:hAnsi="Verdana"/>
          <w:b/>
          <w:sz w:val="24"/>
          <w:szCs w:val="24"/>
          <w:lang w:eastAsia="en-GB"/>
        </w:rPr>
        <w:t>C</w:t>
      </w:r>
      <w:r w:rsidRPr="00416226">
        <w:rPr>
          <w:rFonts w:ascii="Verdana" w:hAnsi="Verdana"/>
          <w:b/>
          <w:sz w:val="24"/>
          <w:szCs w:val="24"/>
          <w:lang w:eastAsia="en-GB"/>
        </w:rPr>
        <w:t xml:space="preserve"> </w:t>
      </w:r>
      <w:r w:rsidR="002A16EC" w:rsidRPr="00416226">
        <w:rPr>
          <w:rFonts w:ascii="Verdana" w:hAnsi="Verdana"/>
          <w:b/>
          <w:sz w:val="24"/>
          <w:szCs w:val="24"/>
          <w:lang w:eastAsia="en-GB"/>
        </w:rPr>
        <w:t>– Covid-</w:t>
      </w:r>
      <w:r w:rsidR="005F532F" w:rsidRPr="00416226">
        <w:rPr>
          <w:rFonts w:ascii="Verdana" w:hAnsi="Verdana"/>
          <w:b/>
          <w:sz w:val="24"/>
          <w:szCs w:val="24"/>
          <w:lang w:eastAsia="en-GB"/>
        </w:rPr>
        <w:t>19 financial for</w:t>
      </w:r>
      <w:r w:rsidR="0057789B" w:rsidRPr="00416226">
        <w:rPr>
          <w:rFonts w:ascii="Verdana" w:hAnsi="Verdana"/>
          <w:b/>
          <w:sz w:val="24"/>
          <w:szCs w:val="24"/>
          <w:lang w:eastAsia="en-GB"/>
        </w:rPr>
        <w:t>ecast at month 9</w:t>
      </w:r>
      <w:r w:rsidR="002A16EC" w:rsidRPr="00416226">
        <w:rPr>
          <w:rFonts w:ascii="Verdana" w:hAnsi="Verdana"/>
          <w:b/>
          <w:sz w:val="24"/>
          <w:szCs w:val="24"/>
          <w:lang w:eastAsia="en-GB"/>
        </w:rPr>
        <w:t xml:space="preserve"> </w:t>
      </w:r>
    </w:p>
    <w:p w14:paraId="5EAC9C0D" w14:textId="77777777" w:rsidR="002A16EC" w:rsidRPr="00416226" w:rsidRDefault="0031273C" w:rsidP="00890ADD">
      <w:pPr>
        <w:jc w:val="both"/>
        <w:rPr>
          <w:rFonts w:ascii="Verdana" w:hAnsi="Verdana"/>
          <w:sz w:val="24"/>
          <w:szCs w:val="24"/>
          <w:lang w:eastAsia="en-GB"/>
        </w:rPr>
      </w:pPr>
      <w:r w:rsidRPr="0031273C">
        <w:rPr>
          <w:noProof/>
          <w:lang w:eastAsia="en-GB"/>
        </w:rPr>
        <w:lastRenderedPageBreak/>
        <w:drawing>
          <wp:inline distT="0" distB="0" distL="0" distR="0" wp14:anchorId="773A1C86" wp14:editId="0B652CCE">
            <wp:extent cx="5731510" cy="763614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636141"/>
                    </a:xfrm>
                    <a:prstGeom prst="rect">
                      <a:avLst/>
                    </a:prstGeom>
                    <a:noFill/>
                    <a:ln>
                      <a:noFill/>
                    </a:ln>
                  </pic:spPr>
                </pic:pic>
              </a:graphicData>
            </a:graphic>
          </wp:inline>
        </w:drawing>
      </w:r>
    </w:p>
    <w:p w14:paraId="1EEB7B09" w14:textId="77777777" w:rsidR="00BA1C8A" w:rsidRPr="005F3065" w:rsidRDefault="00BA1C8A" w:rsidP="00796A68">
      <w:pPr>
        <w:spacing w:after="240"/>
        <w:jc w:val="both"/>
        <w:rPr>
          <w:rFonts w:ascii="Verdana" w:hAnsi="Verdana"/>
          <w:sz w:val="24"/>
          <w:szCs w:val="24"/>
          <w:highlight w:val="magenta"/>
        </w:rPr>
      </w:pPr>
    </w:p>
    <w:p w14:paraId="4ADBD9B7" w14:textId="77777777" w:rsidR="002A16EC" w:rsidRPr="00617233" w:rsidRDefault="002A16EC" w:rsidP="0031273C">
      <w:pPr>
        <w:spacing w:after="240"/>
        <w:jc w:val="both"/>
        <w:rPr>
          <w:rFonts w:ascii="Verdana" w:hAnsi="Verdana"/>
          <w:color w:val="FF0000"/>
          <w:sz w:val="24"/>
          <w:szCs w:val="24"/>
        </w:rPr>
      </w:pPr>
      <w:r w:rsidRPr="0031273C">
        <w:rPr>
          <w:rFonts w:ascii="Verdana" w:hAnsi="Verdana"/>
          <w:sz w:val="24"/>
          <w:szCs w:val="24"/>
        </w:rPr>
        <w:t xml:space="preserve">Actual costs </w:t>
      </w:r>
      <w:r w:rsidR="00A34923" w:rsidRPr="0031273C">
        <w:rPr>
          <w:rFonts w:ascii="Verdana" w:hAnsi="Verdana"/>
          <w:sz w:val="24"/>
          <w:szCs w:val="24"/>
        </w:rPr>
        <w:t xml:space="preserve">for Antigen testing </w:t>
      </w:r>
      <w:r w:rsidRPr="0031273C">
        <w:rPr>
          <w:rFonts w:ascii="Verdana" w:hAnsi="Verdana"/>
          <w:sz w:val="24"/>
          <w:szCs w:val="24"/>
        </w:rPr>
        <w:t xml:space="preserve">have been reported </w:t>
      </w:r>
      <w:r w:rsidR="00416226" w:rsidRPr="0031273C">
        <w:rPr>
          <w:rFonts w:ascii="Verdana" w:hAnsi="Verdana"/>
          <w:sz w:val="24"/>
          <w:szCs w:val="24"/>
        </w:rPr>
        <w:t xml:space="preserve">for </w:t>
      </w:r>
      <w:r w:rsidRPr="0031273C">
        <w:rPr>
          <w:rFonts w:ascii="Verdana" w:hAnsi="Verdana"/>
          <w:sz w:val="24"/>
          <w:szCs w:val="24"/>
        </w:rPr>
        <w:t xml:space="preserve">April through to </w:t>
      </w:r>
      <w:r w:rsidR="00416226" w:rsidRPr="0031273C">
        <w:rPr>
          <w:rFonts w:ascii="Verdana" w:hAnsi="Verdana"/>
          <w:sz w:val="24"/>
          <w:szCs w:val="24"/>
        </w:rPr>
        <w:t>December 2020</w:t>
      </w:r>
      <w:r w:rsidR="0031273C" w:rsidRPr="0031273C">
        <w:rPr>
          <w:rFonts w:ascii="Verdana" w:hAnsi="Verdana"/>
          <w:sz w:val="24"/>
          <w:szCs w:val="24"/>
        </w:rPr>
        <w:t>.  S</w:t>
      </w:r>
      <w:r w:rsidR="0031273C" w:rsidRPr="0031273C">
        <w:rPr>
          <w:rFonts w:ascii="Verdana" w:eastAsia="Times New Roman" w:hAnsi="Verdana" w:cs="Arial"/>
          <w:iCs/>
          <w:sz w:val="24"/>
          <w:szCs w:val="24"/>
          <w:lang w:eastAsia="en-GB"/>
        </w:rPr>
        <w:t xml:space="preserve">amples received to December for testing in </w:t>
      </w:r>
      <w:r w:rsidR="0031273C">
        <w:rPr>
          <w:rFonts w:ascii="Verdana" w:eastAsia="Times New Roman" w:hAnsi="Verdana" w:cs="Arial"/>
          <w:iCs/>
          <w:sz w:val="24"/>
          <w:szCs w:val="24"/>
          <w:lang w:eastAsia="en-GB"/>
        </w:rPr>
        <w:t>Welsh</w:t>
      </w:r>
      <w:r w:rsidR="0031273C" w:rsidRPr="0031273C">
        <w:rPr>
          <w:rFonts w:ascii="Verdana" w:eastAsia="Times New Roman" w:hAnsi="Verdana" w:cs="Arial"/>
          <w:iCs/>
          <w:sz w:val="24"/>
          <w:szCs w:val="24"/>
          <w:lang w:eastAsia="en-GB"/>
        </w:rPr>
        <w:t xml:space="preserve"> lab</w:t>
      </w:r>
      <w:r w:rsidR="0031273C">
        <w:rPr>
          <w:rFonts w:ascii="Verdana" w:eastAsia="Times New Roman" w:hAnsi="Verdana" w:cs="Arial"/>
          <w:iCs/>
          <w:sz w:val="24"/>
          <w:szCs w:val="24"/>
          <w:lang w:eastAsia="en-GB"/>
        </w:rPr>
        <w:t>oratories</w:t>
      </w:r>
      <w:r w:rsidR="0031273C" w:rsidRPr="0031273C">
        <w:rPr>
          <w:rFonts w:ascii="Verdana" w:eastAsia="Times New Roman" w:hAnsi="Verdana" w:cs="Arial"/>
          <w:iCs/>
          <w:sz w:val="24"/>
          <w:szCs w:val="24"/>
          <w:lang w:eastAsia="en-GB"/>
        </w:rPr>
        <w:t xml:space="preserve"> have not exceeded 50% of the capacity available and </w:t>
      </w:r>
      <w:r w:rsidR="0031273C" w:rsidRPr="0031273C">
        <w:rPr>
          <w:rFonts w:ascii="Verdana" w:eastAsia="Times New Roman" w:hAnsi="Verdana" w:cs="Times New Roman"/>
          <w:iCs/>
          <w:sz w:val="24"/>
          <w:szCs w:val="24"/>
          <w:lang w:eastAsia="en-GB"/>
        </w:rPr>
        <w:t xml:space="preserve">therefore </w:t>
      </w:r>
      <w:r w:rsidR="0031273C">
        <w:rPr>
          <w:rFonts w:ascii="Verdana" w:eastAsia="Times New Roman" w:hAnsi="Verdana" w:cs="Times New Roman"/>
          <w:iCs/>
          <w:sz w:val="24"/>
          <w:szCs w:val="24"/>
          <w:lang w:eastAsia="en-GB"/>
        </w:rPr>
        <w:lastRenderedPageBreak/>
        <w:t>the forecast for</w:t>
      </w:r>
      <w:r w:rsidR="0031273C" w:rsidRPr="0031273C">
        <w:rPr>
          <w:rFonts w:ascii="Verdana" w:eastAsia="Times New Roman" w:hAnsi="Verdana" w:cs="Times New Roman"/>
          <w:iCs/>
          <w:sz w:val="24"/>
          <w:szCs w:val="24"/>
          <w:lang w:eastAsia="en-GB"/>
        </w:rPr>
        <w:t xml:space="preserve"> Q4 </w:t>
      </w:r>
      <w:r w:rsidR="0031273C">
        <w:rPr>
          <w:rFonts w:ascii="Verdana" w:eastAsia="Times New Roman" w:hAnsi="Verdana" w:cs="Times New Roman"/>
          <w:iCs/>
          <w:sz w:val="24"/>
          <w:szCs w:val="24"/>
          <w:lang w:eastAsia="en-GB"/>
        </w:rPr>
        <w:t xml:space="preserve">has been reduced </w:t>
      </w:r>
      <w:r w:rsidR="0031273C" w:rsidRPr="0031273C">
        <w:rPr>
          <w:rFonts w:ascii="Verdana" w:eastAsia="Times New Roman" w:hAnsi="Verdana" w:cs="Times New Roman"/>
          <w:iCs/>
          <w:sz w:val="24"/>
          <w:szCs w:val="24"/>
          <w:lang w:eastAsia="en-GB"/>
        </w:rPr>
        <w:t>based on the assumption that the current levels of testing in Welsh lab</w:t>
      </w:r>
      <w:r w:rsidR="0031273C">
        <w:rPr>
          <w:rFonts w:ascii="Verdana" w:eastAsia="Times New Roman" w:hAnsi="Verdana" w:cs="Times New Roman"/>
          <w:iCs/>
          <w:sz w:val="24"/>
          <w:szCs w:val="24"/>
          <w:lang w:eastAsia="en-GB"/>
        </w:rPr>
        <w:t>oratories w</w:t>
      </w:r>
      <w:r w:rsidR="0031273C" w:rsidRPr="0031273C">
        <w:rPr>
          <w:rFonts w:ascii="Verdana" w:eastAsia="Times New Roman" w:hAnsi="Verdana" w:cs="Times New Roman"/>
          <w:iCs/>
          <w:sz w:val="24"/>
          <w:szCs w:val="24"/>
          <w:lang w:eastAsia="en-GB"/>
        </w:rPr>
        <w:t>ill continue.  E</w:t>
      </w:r>
      <w:r w:rsidRPr="0031273C">
        <w:rPr>
          <w:rFonts w:ascii="Verdana" w:hAnsi="Verdana"/>
          <w:sz w:val="24"/>
          <w:szCs w:val="24"/>
        </w:rPr>
        <w:t>stimate</w:t>
      </w:r>
      <w:r w:rsidR="00A34923" w:rsidRPr="0031273C">
        <w:rPr>
          <w:rFonts w:ascii="Verdana" w:hAnsi="Verdana"/>
          <w:sz w:val="24"/>
          <w:szCs w:val="24"/>
        </w:rPr>
        <w:t xml:space="preserve">d costs for </w:t>
      </w:r>
      <w:r w:rsidR="00416226" w:rsidRPr="0031273C">
        <w:rPr>
          <w:rFonts w:ascii="Verdana" w:hAnsi="Verdana"/>
          <w:sz w:val="24"/>
          <w:szCs w:val="24"/>
        </w:rPr>
        <w:t>January</w:t>
      </w:r>
      <w:r w:rsidR="00A34923" w:rsidRPr="0031273C">
        <w:rPr>
          <w:rFonts w:ascii="Verdana" w:hAnsi="Verdana"/>
          <w:sz w:val="24"/>
          <w:szCs w:val="24"/>
        </w:rPr>
        <w:t xml:space="preserve"> through to March </w:t>
      </w:r>
      <w:r w:rsidR="00416226" w:rsidRPr="0031273C">
        <w:rPr>
          <w:rFonts w:ascii="Verdana" w:hAnsi="Verdana"/>
          <w:sz w:val="24"/>
          <w:szCs w:val="24"/>
        </w:rPr>
        <w:t xml:space="preserve">2021 </w:t>
      </w:r>
      <w:r w:rsidR="0031273C" w:rsidRPr="0031273C">
        <w:rPr>
          <w:rFonts w:ascii="Verdana" w:hAnsi="Verdana"/>
          <w:sz w:val="24"/>
          <w:szCs w:val="24"/>
        </w:rPr>
        <w:t xml:space="preserve">are </w:t>
      </w:r>
      <w:r w:rsidR="00A34923" w:rsidRPr="0031273C">
        <w:rPr>
          <w:rFonts w:ascii="Verdana" w:hAnsi="Verdana"/>
          <w:sz w:val="24"/>
          <w:szCs w:val="24"/>
        </w:rPr>
        <w:t xml:space="preserve">based on the following testing </w:t>
      </w:r>
      <w:r w:rsidR="00416226" w:rsidRPr="0031273C">
        <w:rPr>
          <w:rFonts w:ascii="Verdana" w:hAnsi="Verdana"/>
          <w:sz w:val="24"/>
          <w:szCs w:val="24"/>
        </w:rPr>
        <w:t>numbers</w:t>
      </w:r>
      <w:r w:rsidRPr="0031273C">
        <w:rPr>
          <w:rFonts w:ascii="Verdana" w:hAnsi="Verdana"/>
          <w:sz w:val="24"/>
          <w:szCs w:val="24"/>
        </w:rPr>
        <w:t>:</w:t>
      </w:r>
      <w:r w:rsidR="00617233" w:rsidRPr="0031273C">
        <w:rPr>
          <w:rFonts w:ascii="Verdana" w:hAnsi="Verdana"/>
          <w:sz w:val="24"/>
          <w:szCs w:val="24"/>
        </w:rPr>
        <w:t xml:space="preserve"> </w:t>
      </w:r>
    </w:p>
    <w:tbl>
      <w:tblPr>
        <w:tblStyle w:val="TableGrid"/>
        <w:tblW w:w="6521" w:type="dxa"/>
        <w:tblInd w:w="-5" w:type="dxa"/>
        <w:tblLayout w:type="fixed"/>
        <w:tblLook w:val="04A0" w:firstRow="1" w:lastRow="0" w:firstColumn="1" w:lastColumn="0" w:noHBand="0" w:noVBand="1"/>
      </w:tblPr>
      <w:tblGrid>
        <w:gridCol w:w="2552"/>
        <w:gridCol w:w="1276"/>
        <w:gridCol w:w="1276"/>
        <w:gridCol w:w="1417"/>
      </w:tblGrid>
      <w:tr w:rsidR="00416226" w:rsidRPr="00416226" w14:paraId="318CDD2B" w14:textId="77777777" w:rsidTr="00416226">
        <w:tc>
          <w:tcPr>
            <w:tcW w:w="2552" w:type="dxa"/>
          </w:tcPr>
          <w:p w14:paraId="6F3C2C53" w14:textId="77777777" w:rsidR="00416226" w:rsidRPr="00416226" w:rsidRDefault="00416226" w:rsidP="00F46284">
            <w:pPr>
              <w:spacing w:after="240"/>
              <w:rPr>
                <w:rFonts w:ascii="Verdana" w:hAnsi="Verdana"/>
                <w:sz w:val="24"/>
                <w:szCs w:val="24"/>
              </w:rPr>
            </w:pPr>
          </w:p>
        </w:tc>
        <w:tc>
          <w:tcPr>
            <w:tcW w:w="1276" w:type="dxa"/>
          </w:tcPr>
          <w:p w14:paraId="727D6D1A" w14:textId="77777777" w:rsidR="00416226" w:rsidRPr="00416226" w:rsidRDefault="00416226" w:rsidP="00F46284">
            <w:pPr>
              <w:spacing w:after="240"/>
              <w:jc w:val="center"/>
              <w:rPr>
                <w:rFonts w:ascii="Verdana" w:hAnsi="Verdana"/>
                <w:b/>
                <w:sz w:val="24"/>
                <w:szCs w:val="24"/>
              </w:rPr>
            </w:pPr>
            <w:r w:rsidRPr="00416226">
              <w:rPr>
                <w:rFonts w:ascii="Verdana" w:hAnsi="Verdana"/>
                <w:b/>
                <w:sz w:val="24"/>
                <w:szCs w:val="24"/>
              </w:rPr>
              <w:t>Jan-20</w:t>
            </w:r>
          </w:p>
        </w:tc>
        <w:tc>
          <w:tcPr>
            <w:tcW w:w="1276" w:type="dxa"/>
          </w:tcPr>
          <w:p w14:paraId="50CF6F83" w14:textId="77777777" w:rsidR="00416226" w:rsidRPr="00416226" w:rsidRDefault="00416226" w:rsidP="00F46284">
            <w:pPr>
              <w:spacing w:after="240"/>
              <w:jc w:val="center"/>
              <w:rPr>
                <w:rFonts w:ascii="Verdana" w:hAnsi="Verdana"/>
                <w:b/>
                <w:sz w:val="24"/>
                <w:szCs w:val="24"/>
              </w:rPr>
            </w:pPr>
            <w:r w:rsidRPr="00416226">
              <w:rPr>
                <w:rFonts w:ascii="Verdana" w:hAnsi="Verdana"/>
                <w:b/>
                <w:sz w:val="24"/>
                <w:szCs w:val="24"/>
              </w:rPr>
              <w:t>Feb-20</w:t>
            </w:r>
          </w:p>
        </w:tc>
        <w:tc>
          <w:tcPr>
            <w:tcW w:w="1417" w:type="dxa"/>
          </w:tcPr>
          <w:p w14:paraId="40F5D22D" w14:textId="77777777" w:rsidR="00416226" w:rsidRPr="00416226" w:rsidRDefault="00416226" w:rsidP="00F46284">
            <w:pPr>
              <w:spacing w:after="240"/>
              <w:jc w:val="center"/>
              <w:rPr>
                <w:rFonts w:ascii="Verdana" w:hAnsi="Verdana"/>
                <w:b/>
                <w:sz w:val="24"/>
                <w:szCs w:val="24"/>
              </w:rPr>
            </w:pPr>
            <w:r w:rsidRPr="00416226">
              <w:rPr>
                <w:rFonts w:ascii="Verdana" w:hAnsi="Verdana"/>
                <w:b/>
                <w:sz w:val="24"/>
                <w:szCs w:val="24"/>
              </w:rPr>
              <w:t>Mar-20</w:t>
            </w:r>
          </w:p>
        </w:tc>
      </w:tr>
      <w:tr w:rsidR="00416226" w:rsidRPr="00416226" w14:paraId="2CC118B6" w14:textId="77777777" w:rsidTr="00416226">
        <w:tc>
          <w:tcPr>
            <w:tcW w:w="2552" w:type="dxa"/>
          </w:tcPr>
          <w:p w14:paraId="040D85C7" w14:textId="77777777" w:rsidR="00416226" w:rsidRPr="00416226" w:rsidRDefault="00416226" w:rsidP="00F46284">
            <w:pPr>
              <w:spacing w:after="240"/>
              <w:rPr>
                <w:rFonts w:ascii="Verdana" w:hAnsi="Verdana"/>
                <w:sz w:val="24"/>
                <w:szCs w:val="24"/>
              </w:rPr>
            </w:pPr>
            <w:r w:rsidRPr="00416226">
              <w:rPr>
                <w:rFonts w:ascii="Verdana" w:hAnsi="Verdana"/>
                <w:sz w:val="24"/>
                <w:szCs w:val="24"/>
              </w:rPr>
              <w:t>Tests per day</w:t>
            </w:r>
          </w:p>
        </w:tc>
        <w:tc>
          <w:tcPr>
            <w:tcW w:w="1276" w:type="dxa"/>
          </w:tcPr>
          <w:p w14:paraId="15D1DDE4"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5,000</w:t>
            </w:r>
          </w:p>
        </w:tc>
        <w:tc>
          <w:tcPr>
            <w:tcW w:w="1276" w:type="dxa"/>
          </w:tcPr>
          <w:p w14:paraId="2F3A28F4"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5,000</w:t>
            </w:r>
          </w:p>
        </w:tc>
        <w:tc>
          <w:tcPr>
            <w:tcW w:w="1417" w:type="dxa"/>
          </w:tcPr>
          <w:p w14:paraId="6541EA29"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5,000</w:t>
            </w:r>
          </w:p>
        </w:tc>
      </w:tr>
      <w:tr w:rsidR="00416226" w:rsidRPr="005F3065" w14:paraId="442F551D" w14:textId="77777777" w:rsidTr="00416226">
        <w:tc>
          <w:tcPr>
            <w:tcW w:w="2552" w:type="dxa"/>
          </w:tcPr>
          <w:p w14:paraId="06DDD497" w14:textId="77777777" w:rsidR="00416226" w:rsidRPr="00416226" w:rsidRDefault="00416226" w:rsidP="00F46284">
            <w:pPr>
              <w:spacing w:after="240"/>
              <w:rPr>
                <w:rFonts w:ascii="Verdana" w:hAnsi="Verdana"/>
                <w:sz w:val="24"/>
                <w:szCs w:val="24"/>
              </w:rPr>
            </w:pPr>
            <w:r w:rsidRPr="00416226">
              <w:rPr>
                <w:rFonts w:ascii="Verdana" w:hAnsi="Verdana"/>
                <w:sz w:val="24"/>
                <w:szCs w:val="24"/>
              </w:rPr>
              <w:t>Total monthly tests</w:t>
            </w:r>
          </w:p>
        </w:tc>
        <w:tc>
          <w:tcPr>
            <w:tcW w:w="1276" w:type="dxa"/>
          </w:tcPr>
          <w:p w14:paraId="07314980"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155,000</w:t>
            </w:r>
          </w:p>
        </w:tc>
        <w:tc>
          <w:tcPr>
            <w:tcW w:w="1276" w:type="dxa"/>
          </w:tcPr>
          <w:p w14:paraId="08DD6029"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140,000</w:t>
            </w:r>
          </w:p>
        </w:tc>
        <w:tc>
          <w:tcPr>
            <w:tcW w:w="1417" w:type="dxa"/>
          </w:tcPr>
          <w:p w14:paraId="2FBEC243" w14:textId="77777777" w:rsidR="00416226" w:rsidRPr="00416226" w:rsidRDefault="00416226" w:rsidP="00416226">
            <w:pPr>
              <w:spacing w:after="240"/>
              <w:jc w:val="center"/>
              <w:rPr>
                <w:rFonts w:ascii="Verdana" w:hAnsi="Verdana"/>
                <w:sz w:val="24"/>
                <w:szCs w:val="24"/>
              </w:rPr>
            </w:pPr>
            <w:r w:rsidRPr="00416226">
              <w:rPr>
                <w:rFonts w:ascii="Verdana" w:hAnsi="Verdana"/>
                <w:sz w:val="24"/>
                <w:szCs w:val="24"/>
              </w:rPr>
              <w:t>155,000</w:t>
            </w:r>
          </w:p>
        </w:tc>
      </w:tr>
    </w:tbl>
    <w:p w14:paraId="66E10C07" w14:textId="77777777" w:rsidR="002A16EC" w:rsidRPr="005F3065" w:rsidRDefault="002A16EC" w:rsidP="002A16EC">
      <w:pPr>
        <w:spacing w:after="240"/>
        <w:rPr>
          <w:rFonts w:ascii="Verdana" w:hAnsi="Verdana"/>
          <w:sz w:val="24"/>
          <w:szCs w:val="24"/>
          <w:highlight w:val="magenta"/>
        </w:rPr>
      </w:pPr>
    </w:p>
    <w:p w14:paraId="62976838" w14:textId="77777777" w:rsidR="002A16EC" w:rsidRPr="00416226" w:rsidRDefault="002A16EC" w:rsidP="00796A68">
      <w:pPr>
        <w:spacing w:after="240"/>
        <w:jc w:val="both"/>
        <w:rPr>
          <w:rFonts w:ascii="Verdana" w:hAnsi="Verdana"/>
          <w:sz w:val="24"/>
          <w:szCs w:val="24"/>
        </w:rPr>
      </w:pPr>
      <w:r w:rsidRPr="00416226">
        <w:rPr>
          <w:rFonts w:ascii="Verdana" w:hAnsi="Verdana"/>
          <w:sz w:val="24"/>
          <w:szCs w:val="24"/>
        </w:rPr>
        <w:t xml:space="preserve">There is an assumption that </w:t>
      </w:r>
      <w:r w:rsidR="004F01A3" w:rsidRPr="00416226">
        <w:rPr>
          <w:rFonts w:ascii="Verdana" w:hAnsi="Verdana"/>
          <w:sz w:val="24"/>
          <w:szCs w:val="24"/>
        </w:rPr>
        <w:t>3</w:t>
      </w:r>
      <w:r w:rsidRPr="00416226">
        <w:rPr>
          <w:rFonts w:ascii="Verdana" w:hAnsi="Verdana"/>
          <w:sz w:val="24"/>
          <w:szCs w:val="24"/>
        </w:rPr>
        <w:t>00</w:t>
      </w:r>
      <w:r w:rsidR="00A34923" w:rsidRPr="00416226">
        <w:rPr>
          <w:rFonts w:ascii="Verdana" w:hAnsi="Verdana"/>
          <w:sz w:val="24"/>
          <w:szCs w:val="24"/>
        </w:rPr>
        <w:t xml:space="preserve"> </w:t>
      </w:r>
      <w:r w:rsidRPr="00416226">
        <w:rPr>
          <w:rFonts w:ascii="Verdana" w:hAnsi="Verdana"/>
          <w:sz w:val="24"/>
          <w:szCs w:val="24"/>
        </w:rPr>
        <w:t xml:space="preserve">tests per day are </w:t>
      </w:r>
      <w:r w:rsidR="00E04656" w:rsidRPr="00416226">
        <w:rPr>
          <w:rFonts w:ascii="Verdana" w:hAnsi="Verdana"/>
          <w:sz w:val="24"/>
          <w:szCs w:val="24"/>
        </w:rPr>
        <w:t xml:space="preserve">funded </w:t>
      </w:r>
      <w:r w:rsidRPr="00416226">
        <w:rPr>
          <w:rFonts w:ascii="Verdana" w:hAnsi="Verdana"/>
          <w:sz w:val="24"/>
          <w:szCs w:val="24"/>
        </w:rPr>
        <w:t>through UK allocation from Roche and the remaining are undertaken on a mix of other platforms.  This includes current platforms plus</w:t>
      </w:r>
      <w:r w:rsidR="0051605F" w:rsidRPr="00416226">
        <w:rPr>
          <w:rFonts w:ascii="Verdana" w:hAnsi="Verdana"/>
          <w:sz w:val="24"/>
          <w:szCs w:val="24"/>
        </w:rPr>
        <w:t xml:space="preserve"> the</w:t>
      </w:r>
      <w:r w:rsidRPr="00416226">
        <w:rPr>
          <w:rFonts w:ascii="Verdana" w:hAnsi="Verdana"/>
          <w:sz w:val="24"/>
          <w:szCs w:val="24"/>
        </w:rPr>
        <w:t xml:space="preserve"> additional platforms</w:t>
      </w:r>
      <w:r w:rsidR="0051605F" w:rsidRPr="00416226">
        <w:rPr>
          <w:rFonts w:ascii="Verdana" w:hAnsi="Verdana"/>
          <w:sz w:val="24"/>
          <w:szCs w:val="24"/>
        </w:rPr>
        <w:t xml:space="preserve"> now</w:t>
      </w:r>
      <w:r w:rsidRPr="00416226">
        <w:rPr>
          <w:rFonts w:ascii="Verdana" w:hAnsi="Verdana"/>
          <w:sz w:val="24"/>
          <w:szCs w:val="24"/>
        </w:rPr>
        <w:t xml:space="preserve"> operational within ‘Hot’ laboratories.  Actual costs will be influenced by any changes to the UK allocation and by the future testing requirements for NHS </w:t>
      </w:r>
      <w:proofErr w:type="gramStart"/>
      <w:r w:rsidRPr="00416226">
        <w:rPr>
          <w:rFonts w:ascii="Verdana" w:hAnsi="Verdana"/>
          <w:sz w:val="24"/>
          <w:szCs w:val="24"/>
        </w:rPr>
        <w:t>Wales</w:t>
      </w:r>
      <w:proofErr w:type="gramEnd"/>
      <w:r w:rsidRPr="00416226">
        <w:rPr>
          <w:rFonts w:ascii="Verdana" w:hAnsi="Verdana"/>
          <w:sz w:val="24"/>
          <w:szCs w:val="24"/>
        </w:rPr>
        <w:t xml:space="preserve"> laboratories. </w:t>
      </w:r>
    </w:p>
    <w:p w14:paraId="658619F6" w14:textId="77777777" w:rsidR="0051605F" w:rsidRPr="005F3065" w:rsidRDefault="00163E3F" w:rsidP="0051605F">
      <w:pPr>
        <w:spacing w:after="240"/>
        <w:jc w:val="both"/>
        <w:rPr>
          <w:rFonts w:ascii="Verdana" w:hAnsi="Verdana"/>
          <w:sz w:val="24"/>
          <w:szCs w:val="24"/>
          <w:highlight w:val="magenta"/>
        </w:rPr>
      </w:pPr>
      <w:r w:rsidRPr="00416226">
        <w:rPr>
          <w:rFonts w:ascii="Verdana" w:hAnsi="Verdana"/>
          <w:sz w:val="24"/>
          <w:szCs w:val="24"/>
        </w:rPr>
        <w:t>T</w:t>
      </w:r>
      <w:r w:rsidR="0051605F" w:rsidRPr="00416226">
        <w:rPr>
          <w:rFonts w:ascii="Verdana" w:hAnsi="Verdana"/>
          <w:sz w:val="24"/>
          <w:szCs w:val="24"/>
        </w:rPr>
        <w:t>he original plan was for P</w:t>
      </w:r>
      <w:r w:rsidRPr="00416226">
        <w:rPr>
          <w:rFonts w:ascii="Verdana" w:hAnsi="Verdana"/>
          <w:sz w:val="24"/>
          <w:szCs w:val="24"/>
        </w:rPr>
        <w:t>ublic Health Wales</w:t>
      </w:r>
      <w:r w:rsidR="0051605F" w:rsidRPr="00416226">
        <w:rPr>
          <w:rFonts w:ascii="Verdana" w:hAnsi="Verdana"/>
          <w:sz w:val="24"/>
          <w:szCs w:val="24"/>
        </w:rPr>
        <w:t xml:space="preserve"> to provide capacity for antibody testing to be undertaken in the IP5 lab</w:t>
      </w:r>
      <w:r w:rsidRPr="00416226">
        <w:rPr>
          <w:rFonts w:ascii="Verdana" w:hAnsi="Verdana"/>
          <w:sz w:val="24"/>
          <w:szCs w:val="24"/>
        </w:rPr>
        <w:t>oratory</w:t>
      </w:r>
      <w:r w:rsidR="0051605F" w:rsidRPr="00416226">
        <w:rPr>
          <w:rFonts w:ascii="Verdana" w:hAnsi="Verdana"/>
          <w:sz w:val="24"/>
          <w:szCs w:val="24"/>
        </w:rPr>
        <w:t>.  W</w:t>
      </w:r>
      <w:r w:rsidRPr="00416226">
        <w:rPr>
          <w:rFonts w:ascii="Verdana" w:hAnsi="Verdana"/>
          <w:sz w:val="24"/>
          <w:szCs w:val="24"/>
        </w:rPr>
        <w:t xml:space="preserve">elsh Government </w:t>
      </w:r>
      <w:r w:rsidR="0051605F" w:rsidRPr="00416226">
        <w:rPr>
          <w:rFonts w:ascii="Verdana" w:hAnsi="Verdana"/>
          <w:sz w:val="24"/>
          <w:szCs w:val="24"/>
        </w:rPr>
        <w:t xml:space="preserve">approved a contract with Ortho Clinical Diagnostics for the supply of testing kits to deliver this capacity.  Due to </w:t>
      </w:r>
      <w:r w:rsidRPr="00416226">
        <w:rPr>
          <w:rFonts w:ascii="Verdana" w:hAnsi="Verdana"/>
          <w:sz w:val="24"/>
          <w:szCs w:val="24"/>
        </w:rPr>
        <w:t xml:space="preserve">a change in </w:t>
      </w:r>
      <w:r w:rsidR="0051605F" w:rsidRPr="00416226">
        <w:rPr>
          <w:rFonts w:ascii="Verdana" w:hAnsi="Verdana"/>
          <w:sz w:val="24"/>
          <w:szCs w:val="24"/>
        </w:rPr>
        <w:t>W</w:t>
      </w:r>
      <w:r w:rsidRPr="00416226">
        <w:rPr>
          <w:rFonts w:ascii="Verdana" w:hAnsi="Verdana"/>
          <w:sz w:val="24"/>
          <w:szCs w:val="24"/>
        </w:rPr>
        <w:t xml:space="preserve">elsh Government </w:t>
      </w:r>
      <w:r w:rsidR="0051605F" w:rsidRPr="00416226">
        <w:rPr>
          <w:rFonts w:ascii="Verdana" w:hAnsi="Verdana"/>
          <w:sz w:val="24"/>
          <w:szCs w:val="24"/>
        </w:rPr>
        <w:t>policy</w:t>
      </w:r>
      <w:r w:rsidRPr="00416226">
        <w:rPr>
          <w:rFonts w:ascii="Verdana" w:hAnsi="Verdana"/>
          <w:sz w:val="24"/>
          <w:szCs w:val="24"/>
        </w:rPr>
        <w:t xml:space="preserve"> on antibody testing</w:t>
      </w:r>
      <w:r w:rsidR="0051605F" w:rsidRPr="00416226">
        <w:rPr>
          <w:rFonts w:ascii="Verdana" w:hAnsi="Verdana"/>
          <w:sz w:val="24"/>
          <w:szCs w:val="24"/>
        </w:rPr>
        <w:t xml:space="preserve"> P</w:t>
      </w:r>
      <w:r w:rsidRPr="00416226">
        <w:rPr>
          <w:rFonts w:ascii="Verdana" w:hAnsi="Verdana"/>
          <w:sz w:val="24"/>
          <w:szCs w:val="24"/>
        </w:rPr>
        <w:t>ublic Health Wales</w:t>
      </w:r>
      <w:r w:rsidR="0051605F" w:rsidRPr="00416226">
        <w:rPr>
          <w:rFonts w:ascii="Verdana" w:hAnsi="Verdana"/>
          <w:sz w:val="24"/>
          <w:szCs w:val="24"/>
        </w:rPr>
        <w:t xml:space="preserve"> are working with Ortho Clinical Diagnostics to verify and validate the kits for use as antigen testing kits.  </w:t>
      </w:r>
      <w:r w:rsidR="00416226">
        <w:rPr>
          <w:rFonts w:ascii="Verdana" w:hAnsi="Verdana"/>
          <w:sz w:val="24"/>
          <w:szCs w:val="24"/>
        </w:rPr>
        <w:t>No additional costs have been included in the forecast for antibody testing.</w:t>
      </w:r>
      <w:r w:rsidR="0051605F" w:rsidRPr="005F3065">
        <w:rPr>
          <w:rFonts w:ascii="Verdana" w:hAnsi="Verdana"/>
          <w:sz w:val="24"/>
          <w:szCs w:val="24"/>
          <w:highlight w:val="magenta"/>
        </w:rPr>
        <w:t xml:space="preserve"> </w:t>
      </w:r>
    </w:p>
    <w:p w14:paraId="649EE89A" w14:textId="77777777" w:rsidR="004C287E" w:rsidRPr="0057789B" w:rsidRDefault="004C287E" w:rsidP="00346DCD">
      <w:pPr>
        <w:jc w:val="both"/>
        <w:rPr>
          <w:rFonts w:ascii="Verdana" w:hAnsi="Verdana"/>
          <w:b/>
          <w:sz w:val="24"/>
          <w:szCs w:val="24"/>
        </w:rPr>
      </w:pPr>
      <w:r w:rsidRPr="0057789B">
        <w:rPr>
          <w:rFonts w:ascii="Verdana" w:hAnsi="Verdana"/>
          <w:b/>
          <w:sz w:val="24"/>
          <w:szCs w:val="24"/>
        </w:rPr>
        <w:t>3.2 All other Directorates</w:t>
      </w:r>
    </w:p>
    <w:p w14:paraId="3F4E4DE9" w14:textId="77777777" w:rsidR="007E37E4" w:rsidRPr="0057789B" w:rsidRDefault="004C287E" w:rsidP="007E37E4">
      <w:pPr>
        <w:jc w:val="both"/>
        <w:rPr>
          <w:rFonts w:ascii="Verdana" w:hAnsi="Verdana"/>
          <w:sz w:val="24"/>
          <w:szCs w:val="24"/>
        </w:rPr>
      </w:pPr>
      <w:r w:rsidRPr="0057789B">
        <w:rPr>
          <w:rFonts w:ascii="Verdana" w:hAnsi="Verdana"/>
          <w:sz w:val="24"/>
          <w:szCs w:val="24"/>
        </w:rPr>
        <w:t>Following the income and expenditure budget scrutiny process a breakeven position has been forecasted for P</w:t>
      </w:r>
      <w:r w:rsidR="00163E3F" w:rsidRPr="0057789B">
        <w:rPr>
          <w:rFonts w:ascii="Verdana" w:hAnsi="Verdana"/>
          <w:sz w:val="24"/>
          <w:szCs w:val="24"/>
        </w:rPr>
        <w:t xml:space="preserve">ublic </w:t>
      </w:r>
      <w:r w:rsidRPr="0057789B">
        <w:rPr>
          <w:rFonts w:ascii="Verdana" w:hAnsi="Verdana"/>
          <w:sz w:val="24"/>
          <w:szCs w:val="24"/>
        </w:rPr>
        <w:t>H</w:t>
      </w:r>
      <w:r w:rsidR="00163E3F" w:rsidRPr="0057789B">
        <w:rPr>
          <w:rFonts w:ascii="Verdana" w:hAnsi="Verdana"/>
          <w:sz w:val="24"/>
          <w:szCs w:val="24"/>
        </w:rPr>
        <w:t>ealth Wales</w:t>
      </w:r>
      <w:r w:rsidRPr="0057789B">
        <w:rPr>
          <w:rFonts w:ascii="Verdana" w:hAnsi="Verdana"/>
          <w:sz w:val="24"/>
          <w:szCs w:val="24"/>
        </w:rPr>
        <w:t xml:space="preserve">.  This </w:t>
      </w:r>
      <w:r w:rsidR="007E37E4" w:rsidRPr="0057789B">
        <w:rPr>
          <w:rFonts w:ascii="Verdana" w:hAnsi="Verdana"/>
          <w:sz w:val="24"/>
          <w:szCs w:val="24"/>
        </w:rPr>
        <w:t>includes</w:t>
      </w:r>
      <w:r w:rsidRPr="0057789B">
        <w:rPr>
          <w:rFonts w:ascii="Verdana" w:hAnsi="Verdana"/>
          <w:sz w:val="24"/>
          <w:szCs w:val="24"/>
        </w:rPr>
        <w:t xml:space="preserve"> a</w:t>
      </w:r>
      <w:r w:rsidR="007E37E4" w:rsidRPr="0057789B">
        <w:rPr>
          <w:rFonts w:ascii="Verdana" w:hAnsi="Verdana"/>
          <w:sz w:val="24"/>
          <w:szCs w:val="24"/>
        </w:rPr>
        <w:t>n</w:t>
      </w:r>
      <w:r w:rsidRPr="0057789B">
        <w:rPr>
          <w:rFonts w:ascii="Verdana" w:hAnsi="Verdana"/>
          <w:sz w:val="24"/>
          <w:szCs w:val="24"/>
        </w:rPr>
        <w:t xml:space="preserve"> </w:t>
      </w:r>
      <w:r w:rsidR="007E37E4" w:rsidRPr="0057789B">
        <w:rPr>
          <w:rFonts w:ascii="Verdana" w:hAnsi="Verdana"/>
          <w:sz w:val="24"/>
          <w:szCs w:val="24"/>
        </w:rPr>
        <w:t>assumption that Welsh Government will fund the remaining COVID-19 expenditure over and above internal funding already identified.</w:t>
      </w:r>
    </w:p>
    <w:p w14:paraId="3A0FC80D" w14:textId="77777777" w:rsidR="00BA1C8A" w:rsidRPr="0057789B" w:rsidRDefault="007E37E4" w:rsidP="007E37E4">
      <w:pPr>
        <w:jc w:val="both"/>
        <w:rPr>
          <w:rFonts w:ascii="Verdana" w:hAnsi="Verdana"/>
          <w:sz w:val="24"/>
          <w:szCs w:val="24"/>
        </w:rPr>
      </w:pPr>
      <w:r w:rsidRPr="0057789B">
        <w:rPr>
          <w:rFonts w:ascii="Verdana" w:hAnsi="Verdana"/>
          <w:sz w:val="24"/>
          <w:szCs w:val="24"/>
        </w:rPr>
        <w:t xml:space="preserve">There remains a clear finance focus on the response, reactivation of essential services and other priorities to ensure underlying financial balance is maintained within the parameters of the Board approved budget for </w:t>
      </w:r>
      <w:r w:rsidR="00131B5B" w:rsidRPr="0057789B">
        <w:rPr>
          <w:rFonts w:ascii="Verdana" w:hAnsi="Verdana"/>
          <w:sz w:val="24"/>
          <w:szCs w:val="24"/>
        </w:rPr>
        <w:t>20</w:t>
      </w:r>
      <w:r w:rsidRPr="0057789B">
        <w:rPr>
          <w:rFonts w:ascii="Verdana" w:hAnsi="Verdana"/>
          <w:sz w:val="24"/>
          <w:szCs w:val="24"/>
        </w:rPr>
        <w:t>20/21.</w:t>
      </w:r>
    </w:p>
    <w:p w14:paraId="0A7A5D7D" w14:textId="77777777" w:rsidR="007E37E4" w:rsidRPr="005F3065" w:rsidRDefault="007E37E4" w:rsidP="007E37E4">
      <w:pPr>
        <w:jc w:val="both"/>
        <w:rPr>
          <w:rFonts w:ascii="Verdana" w:hAnsi="Verdana"/>
          <w:sz w:val="24"/>
          <w:szCs w:val="24"/>
          <w:highlight w:val="magenta"/>
        </w:rPr>
      </w:pPr>
      <w:r w:rsidRPr="005F3065">
        <w:rPr>
          <w:rFonts w:ascii="Verdana" w:hAnsi="Verdana"/>
          <w:sz w:val="24"/>
          <w:szCs w:val="24"/>
          <w:highlight w:val="magenta"/>
        </w:rPr>
        <w:t xml:space="preserve"> </w:t>
      </w:r>
    </w:p>
    <w:p w14:paraId="136131D2" w14:textId="77777777" w:rsidR="00FF7411" w:rsidRPr="000A7F62" w:rsidRDefault="00FF7411" w:rsidP="00FF7411">
      <w:pPr>
        <w:pStyle w:val="ListParagraph"/>
        <w:numPr>
          <w:ilvl w:val="0"/>
          <w:numId w:val="10"/>
        </w:numPr>
        <w:jc w:val="both"/>
        <w:rPr>
          <w:rFonts w:ascii="Verdana" w:hAnsi="Verdana"/>
          <w:b/>
          <w:u w:val="single"/>
        </w:rPr>
      </w:pPr>
      <w:r w:rsidRPr="000A7F62">
        <w:rPr>
          <w:rFonts w:ascii="Verdana" w:hAnsi="Verdana"/>
          <w:b/>
          <w:u w:val="single"/>
        </w:rPr>
        <w:t>Capital</w:t>
      </w:r>
    </w:p>
    <w:p w14:paraId="12C0FB9D" w14:textId="77777777" w:rsidR="00FF7411" w:rsidRPr="005F3065" w:rsidRDefault="00FF7411" w:rsidP="00FF7411">
      <w:pPr>
        <w:pStyle w:val="ListParagraph"/>
        <w:ind w:left="360"/>
        <w:jc w:val="both"/>
        <w:rPr>
          <w:rFonts w:ascii="Verdana" w:hAnsi="Verdana"/>
          <w:b/>
          <w:highlight w:val="magenta"/>
        </w:rPr>
      </w:pPr>
    </w:p>
    <w:p w14:paraId="108183F7" w14:textId="77777777" w:rsidR="00FF7411" w:rsidRPr="000A7F62" w:rsidRDefault="00FF7411" w:rsidP="00FF7411">
      <w:pPr>
        <w:spacing w:after="0" w:line="240" w:lineRule="auto"/>
        <w:jc w:val="both"/>
        <w:rPr>
          <w:rFonts w:ascii="Verdana" w:hAnsi="Verdana"/>
          <w:sz w:val="24"/>
          <w:szCs w:val="24"/>
        </w:rPr>
      </w:pPr>
      <w:r w:rsidRPr="000A7F62">
        <w:rPr>
          <w:rFonts w:ascii="Verdana" w:hAnsi="Verdana"/>
          <w:sz w:val="24"/>
          <w:szCs w:val="24"/>
        </w:rPr>
        <w:lastRenderedPageBreak/>
        <w:t>Public Health Wales capita</w:t>
      </w:r>
      <w:r w:rsidR="00C34119" w:rsidRPr="000A7F62">
        <w:rPr>
          <w:rFonts w:ascii="Verdana" w:hAnsi="Verdana"/>
          <w:sz w:val="24"/>
          <w:szCs w:val="24"/>
        </w:rPr>
        <w:t>l funding for 2020/21 totals £11</w:t>
      </w:r>
      <w:r w:rsidR="00535AC9" w:rsidRPr="000A7F62">
        <w:rPr>
          <w:rFonts w:ascii="Verdana" w:hAnsi="Verdana"/>
          <w:sz w:val="24"/>
          <w:szCs w:val="24"/>
        </w:rPr>
        <w:t>.910</w:t>
      </w:r>
      <w:r w:rsidRPr="000A7F62">
        <w:rPr>
          <w:rFonts w:ascii="Verdana" w:hAnsi="Verdana"/>
          <w:sz w:val="24"/>
          <w:szCs w:val="24"/>
        </w:rPr>
        <w:t xml:space="preserve">m, </w:t>
      </w:r>
      <w:r w:rsidR="00535AC9" w:rsidRPr="000A7F62">
        <w:rPr>
          <w:rFonts w:ascii="Verdana" w:hAnsi="Verdana"/>
          <w:sz w:val="24"/>
          <w:szCs w:val="24"/>
        </w:rPr>
        <w:t>with £0.400</w:t>
      </w:r>
      <w:r w:rsidR="00C34119" w:rsidRPr="000A7F62">
        <w:rPr>
          <w:rFonts w:ascii="Verdana" w:hAnsi="Verdana"/>
          <w:sz w:val="24"/>
          <w:szCs w:val="24"/>
        </w:rPr>
        <w:t>m unapproved</w:t>
      </w:r>
      <w:r w:rsidR="00062C6C" w:rsidRPr="000A7F62">
        <w:rPr>
          <w:rFonts w:ascii="Verdana" w:hAnsi="Verdana"/>
          <w:sz w:val="24"/>
          <w:szCs w:val="24"/>
        </w:rPr>
        <w:t xml:space="preserve"> contingency held for IP5</w:t>
      </w:r>
      <w:r w:rsidR="000A7F62">
        <w:rPr>
          <w:rFonts w:ascii="Verdana" w:hAnsi="Verdana"/>
          <w:sz w:val="24"/>
          <w:szCs w:val="24"/>
        </w:rPr>
        <w:t xml:space="preserve">, </w:t>
      </w:r>
      <w:r w:rsidR="000A7F62" w:rsidRPr="000A7F62">
        <w:rPr>
          <w:rFonts w:ascii="Verdana" w:hAnsi="Verdana"/>
          <w:sz w:val="24"/>
          <w:szCs w:val="24"/>
        </w:rPr>
        <w:t>summary of the schemes detailed in Table D</w:t>
      </w:r>
      <w:r w:rsidR="000A7F62">
        <w:rPr>
          <w:rFonts w:ascii="Verdana" w:hAnsi="Verdana"/>
          <w:sz w:val="24"/>
          <w:szCs w:val="24"/>
        </w:rPr>
        <w:t xml:space="preserve">.  </w:t>
      </w:r>
    </w:p>
    <w:p w14:paraId="53B04A9C" w14:textId="77777777" w:rsidR="00163E3F" w:rsidRPr="005F3065" w:rsidRDefault="00163E3F" w:rsidP="00FF7411">
      <w:pPr>
        <w:spacing w:after="0" w:line="240" w:lineRule="auto"/>
        <w:jc w:val="both"/>
        <w:rPr>
          <w:rFonts w:ascii="Verdana" w:hAnsi="Verdana"/>
          <w:sz w:val="24"/>
          <w:szCs w:val="24"/>
          <w:highlight w:val="magenta"/>
        </w:rPr>
      </w:pPr>
    </w:p>
    <w:p w14:paraId="2D2B1F23" w14:textId="77777777" w:rsidR="00062C6C" w:rsidRPr="005F3065" w:rsidRDefault="00062C6C" w:rsidP="00FF7411">
      <w:pPr>
        <w:spacing w:after="0" w:line="240" w:lineRule="auto"/>
        <w:jc w:val="both"/>
        <w:rPr>
          <w:rFonts w:ascii="Verdana" w:hAnsi="Verdana"/>
          <w:sz w:val="24"/>
          <w:szCs w:val="24"/>
          <w:highlight w:val="magenta"/>
        </w:rPr>
      </w:pPr>
    </w:p>
    <w:tbl>
      <w:tblPr>
        <w:tblW w:w="9480" w:type="dxa"/>
        <w:tblLook w:val="04A0" w:firstRow="1" w:lastRow="0" w:firstColumn="1" w:lastColumn="0" w:noHBand="0" w:noVBand="1"/>
      </w:tblPr>
      <w:tblGrid>
        <w:gridCol w:w="1976"/>
        <w:gridCol w:w="4649"/>
        <w:gridCol w:w="1478"/>
        <w:gridCol w:w="1377"/>
      </w:tblGrid>
      <w:tr w:rsidR="000A7F62" w:rsidRPr="000A7F62" w14:paraId="613AB428" w14:textId="77777777" w:rsidTr="000A7F62">
        <w:trPr>
          <w:trHeight w:val="660"/>
        </w:trPr>
        <w:tc>
          <w:tcPr>
            <w:tcW w:w="1976" w:type="dxa"/>
            <w:tcBorders>
              <w:top w:val="nil"/>
              <w:left w:val="nil"/>
              <w:bottom w:val="nil"/>
              <w:right w:val="nil"/>
            </w:tcBorders>
            <w:shd w:val="clear" w:color="000000" w:fill="95B3D7"/>
            <w:noWrap/>
            <w:vAlign w:val="center"/>
            <w:hideMark/>
          </w:tcPr>
          <w:p w14:paraId="6A563ABC"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Fund</w:t>
            </w:r>
          </w:p>
        </w:tc>
        <w:tc>
          <w:tcPr>
            <w:tcW w:w="4649" w:type="dxa"/>
            <w:tcBorders>
              <w:top w:val="nil"/>
              <w:left w:val="nil"/>
              <w:bottom w:val="nil"/>
              <w:right w:val="nil"/>
            </w:tcBorders>
            <w:shd w:val="clear" w:color="000000" w:fill="95B3D7"/>
            <w:vAlign w:val="center"/>
            <w:hideMark/>
          </w:tcPr>
          <w:p w14:paraId="091820E8"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Details</w:t>
            </w:r>
          </w:p>
        </w:tc>
        <w:tc>
          <w:tcPr>
            <w:tcW w:w="1478" w:type="dxa"/>
            <w:tcBorders>
              <w:top w:val="nil"/>
              <w:left w:val="nil"/>
              <w:bottom w:val="nil"/>
              <w:right w:val="nil"/>
            </w:tcBorders>
            <w:shd w:val="clear" w:color="000000" w:fill="95B3D7"/>
            <w:vAlign w:val="center"/>
            <w:hideMark/>
          </w:tcPr>
          <w:p w14:paraId="7DB31941"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2020/21 Allocation £000's</w:t>
            </w:r>
          </w:p>
        </w:tc>
        <w:tc>
          <w:tcPr>
            <w:tcW w:w="1377" w:type="dxa"/>
            <w:tcBorders>
              <w:top w:val="nil"/>
              <w:left w:val="nil"/>
              <w:bottom w:val="nil"/>
              <w:right w:val="nil"/>
            </w:tcBorders>
            <w:shd w:val="clear" w:color="000000" w:fill="95B3D7"/>
            <w:vAlign w:val="center"/>
            <w:hideMark/>
          </w:tcPr>
          <w:p w14:paraId="5ADCBC90"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YTD Spend 2020/21 £000's</w:t>
            </w:r>
          </w:p>
        </w:tc>
      </w:tr>
      <w:tr w:rsidR="000A7F62" w:rsidRPr="000A7F62" w14:paraId="4EFC0698" w14:textId="77777777" w:rsidTr="000A7F62">
        <w:trPr>
          <w:trHeight w:val="300"/>
        </w:trPr>
        <w:tc>
          <w:tcPr>
            <w:tcW w:w="1976" w:type="dxa"/>
            <w:tcBorders>
              <w:top w:val="nil"/>
              <w:left w:val="nil"/>
              <w:bottom w:val="nil"/>
              <w:right w:val="nil"/>
            </w:tcBorders>
            <w:shd w:val="clear" w:color="auto" w:fill="auto"/>
            <w:noWrap/>
            <w:vAlign w:val="center"/>
            <w:hideMark/>
          </w:tcPr>
          <w:p w14:paraId="241E4630"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3877693E"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COVID 19 various</w:t>
            </w:r>
          </w:p>
        </w:tc>
        <w:tc>
          <w:tcPr>
            <w:tcW w:w="1478" w:type="dxa"/>
            <w:tcBorders>
              <w:top w:val="nil"/>
              <w:left w:val="nil"/>
              <w:bottom w:val="nil"/>
              <w:right w:val="nil"/>
            </w:tcBorders>
            <w:shd w:val="clear" w:color="auto" w:fill="auto"/>
            <w:noWrap/>
            <w:vAlign w:val="center"/>
            <w:hideMark/>
          </w:tcPr>
          <w:p w14:paraId="580D4624"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160</w:t>
            </w:r>
          </w:p>
        </w:tc>
        <w:tc>
          <w:tcPr>
            <w:tcW w:w="1377" w:type="dxa"/>
            <w:tcBorders>
              <w:top w:val="nil"/>
              <w:left w:val="nil"/>
              <w:bottom w:val="nil"/>
              <w:right w:val="nil"/>
            </w:tcBorders>
            <w:shd w:val="clear" w:color="auto" w:fill="auto"/>
            <w:noWrap/>
            <w:vAlign w:val="center"/>
            <w:hideMark/>
          </w:tcPr>
          <w:p w14:paraId="1048AC05"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153</w:t>
            </w:r>
          </w:p>
        </w:tc>
      </w:tr>
      <w:tr w:rsidR="000A7F62" w:rsidRPr="000A7F62" w14:paraId="2488D97E" w14:textId="77777777" w:rsidTr="000A7F62">
        <w:trPr>
          <w:trHeight w:val="300"/>
        </w:trPr>
        <w:tc>
          <w:tcPr>
            <w:tcW w:w="1976" w:type="dxa"/>
            <w:tcBorders>
              <w:top w:val="nil"/>
              <w:left w:val="nil"/>
              <w:bottom w:val="nil"/>
              <w:right w:val="nil"/>
            </w:tcBorders>
            <w:shd w:val="clear" w:color="auto" w:fill="auto"/>
            <w:noWrap/>
            <w:vAlign w:val="center"/>
            <w:hideMark/>
          </w:tcPr>
          <w:p w14:paraId="3595D9B3"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50CD71C2"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Screening Mobile upscale - Recovery following COVID-19</w:t>
            </w:r>
          </w:p>
        </w:tc>
        <w:tc>
          <w:tcPr>
            <w:tcW w:w="1478" w:type="dxa"/>
            <w:tcBorders>
              <w:top w:val="nil"/>
              <w:left w:val="nil"/>
              <w:bottom w:val="nil"/>
              <w:right w:val="nil"/>
            </w:tcBorders>
            <w:shd w:val="clear" w:color="auto" w:fill="auto"/>
            <w:noWrap/>
            <w:vAlign w:val="center"/>
            <w:hideMark/>
          </w:tcPr>
          <w:p w14:paraId="7491EF1F"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57</w:t>
            </w:r>
          </w:p>
        </w:tc>
        <w:tc>
          <w:tcPr>
            <w:tcW w:w="1377" w:type="dxa"/>
            <w:tcBorders>
              <w:top w:val="nil"/>
              <w:left w:val="nil"/>
              <w:bottom w:val="nil"/>
              <w:right w:val="nil"/>
            </w:tcBorders>
            <w:shd w:val="clear" w:color="auto" w:fill="auto"/>
            <w:noWrap/>
            <w:vAlign w:val="center"/>
            <w:hideMark/>
          </w:tcPr>
          <w:p w14:paraId="1D8F7BB0"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58</w:t>
            </w:r>
          </w:p>
        </w:tc>
      </w:tr>
      <w:tr w:rsidR="000A7F62" w:rsidRPr="000A7F62" w14:paraId="47D24852" w14:textId="77777777" w:rsidTr="000A7F62">
        <w:trPr>
          <w:trHeight w:val="300"/>
        </w:trPr>
        <w:tc>
          <w:tcPr>
            <w:tcW w:w="1976" w:type="dxa"/>
            <w:tcBorders>
              <w:top w:val="nil"/>
              <w:left w:val="nil"/>
              <w:bottom w:val="nil"/>
              <w:right w:val="nil"/>
            </w:tcBorders>
            <w:shd w:val="clear" w:color="auto" w:fill="auto"/>
            <w:noWrap/>
            <w:vAlign w:val="center"/>
            <w:hideMark/>
          </w:tcPr>
          <w:p w14:paraId="310C8659"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488ADA6D"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Matrix Heating system control mechanism  (</w:t>
            </w:r>
            <w:proofErr w:type="spellStart"/>
            <w:r w:rsidRPr="000A7F62">
              <w:rPr>
                <w:rFonts w:ascii="Arial" w:eastAsia="Times New Roman" w:hAnsi="Arial" w:cs="Arial"/>
                <w:sz w:val="16"/>
                <w:szCs w:val="16"/>
                <w:lang w:eastAsia="en-GB"/>
              </w:rPr>
              <w:t>b/f</w:t>
            </w:r>
            <w:proofErr w:type="spellEnd"/>
            <w:r w:rsidRPr="000A7F62">
              <w:rPr>
                <w:rFonts w:ascii="Arial" w:eastAsia="Times New Roman" w:hAnsi="Arial" w:cs="Arial"/>
                <w:sz w:val="16"/>
                <w:szCs w:val="16"/>
                <w:lang w:eastAsia="en-GB"/>
              </w:rPr>
              <w:t xml:space="preserve"> form 19/20)</w:t>
            </w:r>
          </w:p>
        </w:tc>
        <w:tc>
          <w:tcPr>
            <w:tcW w:w="1478" w:type="dxa"/>
            <w:tcBorders>
              <w:top w:val="nil"/>
              <w:left w:val="nil"/>
              <w:bottom w:val="nil"/>
              <w:right w:val="nil"/>
            </w:tcBorders>
            <w:shd w:val="clear" w:color="auto" w:fill="auto"/>
            <w:noWrap/>
            <w:vAlign w:val="center"/>
            <w:hideMark/>
          </w:tcPr>
          <w:p w14:paraId="11EA5620"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12</w:t>
            </w:r>
          </w:p>
        </w:tc>
        <w:tc>
          <w:tcPr>
            <w:tcW w:w="1377" w:type="dxa"/>
            <w:tcBorders>
              <w:top w:val="nil"/>
              <w:left w:val="nil"/>
              <w:bottom w:val="nil"/>
              <w:right w:val="nil"/>
            </w:tcBorders>
            <w:shd w:val="clear" w:color="auto" w:fill="auto"/>
            <w:noWrap/>
            <w:vAlign w:val="center"/>
            <w:hideMark/>
          </w:tcPr>
          <w:p w14:paraId="65F6CAE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07FCBC35" w14:textId="77777777" w:rsidTr="000A7F62">
        <w:trPr>
          <w:trHeight w:val="300"/>
        </w:trPr>
        <w:tc>
          <w:tcPr>
            <w:tcW w:w="1976" w:type="dxa"/>
            <w:tcBorders>
              <w:top w:val="nil"/>
              <w:left w:val="nil"/>
              <w:bottom w:val="nil"/>
              <w:right w:val="nil"/>
            </w:tcBorders>
            <w:shd w:val="clear" w:color="auto" w:fill="auto"/>
            <w:noWrap/>
            <w:vAlign w:val="center"/>
            <w:hideMark/>
          </w:tcPr>
          <w:p w14:paraId="692D542B"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0B02E26C"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CSIMS Cervical information system NHAIS replacement </w:t>
            </w:r>
          </w:p>
        </w:tc>
        <w:tc>
          <w:tcPr>
            <w:tcW w:w="1478" w:type="dxa"/>
            <w:tcBorders>
              <w:top w:val="nil"/>
              <w:left w:val="nil"/>
              <w:bottom w:val="nil"/>
              <w:right w:val="nil"/>
            </w:tcBorders>
            <w:shd w:val="clear" w:color="auto" w:fill="auto"/>
            <w:noWrap/>
            <w:vAlign w:val="center"/>
            <w:hideMark/>
          </w:tcPr>
          <w:p w14:paraId="08B4F2D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281</w:t>
            </w:r>
          </w:p>
        </w:tc>
        <w:tc>
          <w:tcPr>
            <w:tcW w:w="1377" w:type="dxa"/>
            <w:tcBorders>
              <w:top w:val="nil"/>
              <w:left w:val="nil"/>
              <w:bottom w:val="nil"/>
              <w:right w:val="nil"/>
            </w:tcBorders>
            <w:shd w:val="clear" w:color="auto" w:fill="auto"/>
            <w:noWrap/>
            <w:vAlign w:val="center"/>
            <w:hideMark/>
          </w:tcPr>
          <w:p w14:paraId="20D434DD"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218</w:t>
            </w:r>
          </w:p>
        </w:tc>
      </w:tr>
      <w:tr w:rsidR="000A7F62" w:rsidRPr="000A7F62" w14:paraId="37AFE890" w14:textId="77777777" w:rsidTr="000A7F62">
        <w:trPr>
          <w:trHeight w:val="300"/>
        </w:trPr>
        <w:tc>
          <w:tcPr>
            <w:tcW w:w="1976" w:type="dxa"/>
            <w:tcBorders>
              <w:top w:val="nil"/>
              <w:left w:val="nil"/>
              <w:bottom w:val="nil"/>
              <w:right w:val="nil"/>
            </w:tcBorders>
            <w:shd w:val="clear" w:color="auto" w:fill="auto"/>
            <w:noWrap/>
            <w:vAlign w:val="center"/>
            <w:hideMark/>
          </w:tcPr>
          <w:p w14:paraId="05CD0065"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2494CC9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Contingency</w:t>
            </w:r>
          </w:p>
        </w:tc>
        <w:tc>
          <w:tcPr>
            <w:tcW w:w="1478" w:type="dxa"/>
            <w:tcBorders>
              <w:top w:val="nil"/>
              <w:left w:val="nil"/>
              <w:bottom w:val="nil"/>
              <w:right w:val="nil"/>
            </w:tcBorders>
            <w:shd w:val="clear" w:color="auto" w:fill="auto"/>
            <w:noWrap/>
            <w:vAlign w:val="center"/>
            <w:hideMark/>
          </w:tcPr>
          <w:p w14:paraId="7B7911D8"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99</w:t>
            </w:r>
          </w:p>
        </w:tc>
        <w:tc>
          <w:tcPr>
            <w:tcW w:w="1377" w:type="dxa"/>
            <w:tcBorders>
              <w:top w:val="nil"/>
              <w:left w:val="nil"/>
              <w:bottom w:val="nil"/>
              <w:right w:val="nil"/>
            </w:tcBorders>
            <w:shd w:val="clear" w:color="auto" w:fill="auto"/>
            <w:noWrap/>
            <w:vAlign w:val="center"/>
            <w:hideMark/>
          </w:tcPr>
          <w:p w14:paraId="6EAE81A1"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4EE0F19F" w14:textId="77777777" w:rsidTr="000A7F62">
        <w:trPr>
          <w:trHeight w:val="300"/>
        </w:trPr>
        <w:tc>
          <w:tcPr>
            <w:tcW w:w="1976" w:type="dxa"/>
            <w:tcBorders>
              <w:top w:val="nil"/>
              <w:left w:val="nil"/>
              <w:bottom w:val="nil"/>
              <w:right w:val="nil"/>
            </w:tcBorders>
            <w:shd w:val="clear" w:color="auto" w:fill="auto"/>
            <w:noWrap/>
            <w:vAlign w:val="center"/>
            <w:hideMark/>
          </w:tcPr>
          <w:p w14:paraId="7279A58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3FCFA48D"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IT - New laptops/desktops/ replacement</w:t>
            </w:r>
          </w:p>
        </w:tc>
        <w:tc>
          <w:tcPr>
            <w:tcW w:w="1478" w:type="dxa"/>
            <w:tcBorders>
              <w:top w:val="nil"/>
              <w:left w:val="nil"/>
              <w:bottom w:val="nil"/>
              <w:right w:val="nil"/>
            </w:tcBorders>
            <w:shd w:val="clear" w:color="auto" w:fill="auto"/>
            <w:noWrap/>
            <w:vAlign w:val="center"/>
            <w:hideMark/>
          </w:tcPr>
          <w:p w14:paraId="1BE888C5"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511</w:t>
            </w:r>
          </w:p>
        </w:tc>
        <w:tc>
          <w:tcPr>
            <w:tcW w:w="1377" w:type="dxa"/>
            <w:tcBorders>
              <w:top w:val="nil"/>
              <w:left w:val="nil"/>
              <w:bottom w:val="nil"/>
              <w:right w:val="nil"/>
            </w:tcBorders>
            <w:shd w:val="clear" w:color="auto" w:fill="auto"/>
            <w:noWrap/>
            <w:vAlign w:val="center"/>
            <w:hideMark/>
          </w:tcPr>
          <w:p w14:paraId="42D3B559"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11</w:t>
            </w:r>
          </w:p>
        </w:tc>
      </w:tr>
      <w:tr w:rsidR="000A7F62" w:rsidRPr="000A7F62" w14:paraId="5F051C2D" w14:textId="77777777" w:rsidTr="000A7F62">
        <w:trPr>
          <w:trHeight w:val="495"/>
        </w:trPr>
        <w:tc>
          <w:tcPr>
            <w:tcW w:w="1976" w:type="dxa"/>
            <w:tcBorders>
              <w:top w:val="nil"/>
              <w:left w:val="nil"/>
              <w:bottom w:val="nil"/>
              <w:right w:val="nil"/>
            </w:tcBorders>
            <w:shd w:val="clear" w:color="auto" w:fill="auto"/>
            <w:noWrap/>
            <w:vAlign w:val="center"/>
            <w:hideMark/>
          </w:tcPr>
          <w:p w14:paraId="26A235E2"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37F9DFC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Retinal Image Management System </w:t>
            </w:r>
            <w:proofErr w:type="spellStart"/>
            <w:r w:rsidRPr="000A7F62">
              <w:rPr>
                <w:rFonts w:ascii="Arial" w:eastAsia="Times New Roman" w:hAnsi="Arial" w:cs="Arial"/>
                <w:sz w:val="16"/>
                <w:szCs w:val="16"/>
                <w:lang w:eastAsia="en-GB"/>
              </w:rPr>
              <w:t>Optpmize</w:t>
            </w:r>
            <w:proofErr w:type="spellEnd"/>
            <w:r w:rsidRPr="000A7F62">
              <w:rPr>
                <w:rFonts w:ascii="Arial" w:eastAsia="Times New Roman" w:hAnsi="Arial" w:cs="Arial"/>
                <w:sz w:val="16"/>
                <w:szCs w:val="16"/>
                <w:lang w:eastAsia="en-GB"/>
              </w:rPr>
              <w:t xml:space="preserve"> Software Support - DESW</w:t>
            </w:r>
          </w:p>
        </w:tc>
        <w:tc>
          <w:tcPr>
            <w:tcW w:w="1478" w:type="dxa"/>
            <w:tcBorders>
              <w:top w:val="nil"/>
              <w:left w:val="nil"/>
              <w:bottom w:val="nil"/>
              <w:right w:val="nil"/>
            </w:tcBorders>
            <w:shd w:val="clear" w:color="auto" w:fill="auto"/>
            <w:noWrap/>
            <w:vAlign w:val="center"/>
            <w:hideMark/>
          </w:tcPr>
          <w:p w14:paraId="080A32AE"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25</w:t>
            </w:r>
          </w:p>
        </w:tc>
        <w:tc>
          <w:tcPr>
            <w:tcW w:w="1377" w:type="dxa"/>
            <w:tcBorders>
              <w:top w:val="nil"/>
              <w:left w:val="nil"/>
              <w:bottom w:val="nil"/>
              <w:right w:val="nil"/>
            </w:tcBorders>
            <w:shd w:val="clear" w:color="auto" w:fill="auto"/>
            <w:noWrap/>
            <w:vAlign w:val="center"/>
            <w:hideMark/>
          </w:tcPr>
          <w:p w14:paraId="0A46F3D6"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4D270FEB" w14:textId="77777777" w:rsidTr="000A7F62">
        <w:trPr>
          <w:trHeight w:val="300"/>
        </w:trPr>
        <w:tc>
          <w:tcPr>
            <w:tcW w:w="1976" w:type="dxa"/>
            <w:tcBorders>
              <w:top w:val="nil"/>
              <w:left w:val="nil"/>
              <w:bottom w:val="nil"/>
              <w:right w:val="nil"/>
            </w:tcBorders>
            <w:shd w:val="clear" w:color="auto" w:fill="auto"/>
            <w:noWrap/>
            <w:vAlign w:val="center"/>
            <w:hideMark/>
          </w:tcPr>
          <w:p w14:paraId="6216D678"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212E978E"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Replacement of virtual infrastructure at CQ2</w:t>
            </w:r>
          </w:p>
        </w:tc>
        <w:tc>
          <w:tcPr>
            <w:tcW w:w="1478" w:type="dxa"/>
            <w:tcBorders>
              <w:top w:val="nil"/>
              <w:left w:val="nil"/>
              <w:bottom w:val="nil"/>
              <w:right w:val="nil"/>
            </w:tcBorders>
            <w:shd w:val="clear" w:color="auto" w:fill="auto"/>
            <w:noWrap/>
            <w:vAlign w:val="center"/>
            <w:hideMark/>
          </w:tcPr>
          <w:p w14:paraId="1378F3E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266</w:t>
            </w:r>
          </w:p>
        </w:tc>
        <w:tc>
          <w:tcPr>
            <w:tcW w:w="1377" w:type="dxa"/>
            <w:tcBorders>
              <w:top w:val="nil"/>
              <w:left w:val="nil"/>
              <w:bottom w:val="nil"/>
              <w:right w:val="nil"/>
            </w:tcBorders>
            <w:shd w:val="clear" w:color="auto" w:fill="auto"/>
            <w:noWrap/>
            <w:vAlign w:val="center"/>
            <w:hideMark/>
          </w:tcPr>
          <w:p w14:paraId="22310204"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758DEE00" w14:textId="77777777" w:rsidTr="000A7F62">
        <w:trPr>
          <w:trHeight w:val="300"/>
        </w:trPr>
        <w:tc>
          <w:tcPr>
            <w:tcW w:w="1976" w:type="dxa"/>
            <w:tcBorders>
              <w:top w:val="nil"/>
              <w:left w:val="nil"/>
              <w:bottom w:val="nil"/>
              <w:right w:val="nil"/>
            </w:tcBorders>
            <w:shd w:val="clear" w:color="auto" w:fill="auto"/>
            <w:noWrap/>
            <w:vAlign w:val="center"/>
            <w:hideMark/>
          </w:tcPr>
          <w:p w14:paraId="6E9A9A9C"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3C2A569F"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LINC (£58k re provided from 19/20)</w:t>
            </w:r>
          </w:p>
        </w:tc>
        <w:tc>
          <w:tcPr>
            <w:tcW w:w="1478" w:type="dxa"/>
            <w:tcBorders>
              <w:top w:val="nil"/>
              <w:left w:val="nil"/>
              <w:bottom w:val="nil"/>
              <w:right w:val="nil"/>
            </w:tcBorders>
            <w:shd w:val="clear" w:color="auto" w:fill="auto"/>
            <w:noWrap/>
            <w:vAlign w:val="center"/>
            <w:hideMark/>
          </w:tcPr>
          <w:p w14:paraId="3F49E6A8"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58</w:t>
            </w:r>
          </w:p>
        </w:tc>
        <w:tc>
          <w:tcPr>
            <w:tcW w:w="1377" w:type="dxa"/>
            <w:tcBorders>
              <w:top w:val="nil"/>
              <w:left w:val="nil"/>
              <w:bottom w:val="nil"/>
              <w:right w:val="nil"/>
            </w:tcBorders>
            <w:shd w:val="clear" w:color="auto" w:fill="auto"/>
            <w:noWrap/>
            <w:vAlign w:val="center"/>
            <w:hideMark/>
          </w:tcPr>
          <w:p w14:paraId="11228D28"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58</w:t>
            </w:r>
          </w:p>
        </w:tc>
      </w:tr>
      <w:tr w:rsidR="000A7F62" w:rsidRPr="000A7F62" w14:paraId="7E431284" w14:textId="77777777" w:rsidTr="000A7F62">
        <w:trPr>
          <w:trHeight w:val="300"/>
        </w:trPr>
        <w:tc>
          <w:tcPr>
            <w:tcW w:w="1976" w:type="dxa"/>
            <w:tcBorders>
              <w:top w:val="nil"/>
              <w:left w:val="nil"/>
              <w:bottom w:val="nil"/>
              <w:right w:val="nil"/>
            </w:tcBorders>
            <w:shd w:val="clear" w:color="auto" w:fill="auto"/>
            <w:noWrap/>
            <w:vAlign w:val="center"/>
            <w:hideMark/>
          </w:tcPr>
          <w:p w14:paraId="60F07839"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04411739"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Screening - Replacement Generators and biopsy chair</w:t>
            </w:r>
          </w:p>
        </w:tc>
        <w:tc>
          <w:tcPr>
            <w:tcW w:w="1478" w:type="dxa"/>
            <w:tcBorders>
              <w:top w:val="nil"/>
              <w:left w:val="nil"/>
              <w:bottom w:val="nil"/>
              <w:right w:val="nil"/>
            </w:tcBorders>
            <w:shd w:val="clear" w:color="auto" w:fill="auto"/>
            <w:noWrap/>
            <w:vAlign w:val="center"/>
            <w:hideMark/>
          </w:tcPr>
          <w:p w14:paraId="5024AA7E"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48</w:t>
            </w:r>
          </w:p>
        </w:tc>
        <w:tc>
          <w:tcPr>
            <w:tcW w:w="1377" w:type="dxa"/>
            <w:tcBorders>
              <w:top w:val="nil"/>
              <w:left w:val="nil"/>
              <w:bottom w:val="nil"/>
              <w:right w:val="nil"/>
            </w:tcBorders>
            <w:shd w:val="clear" w:color="auto" w:fill="auto"/>
            <w:noWrap/>
            <w:vAlign w:val="center"/>
            <w:hideMark/>
          </w:tcPr>
          <w:p w14:paraId="29AD73E0"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8</w:t>
            </w:r>
          </w:p>
        </w:tc>
      </w:tr>
      <w:tr w:rsidR="000A7F62" w:rsidRPr="000A7F62" w14:paraId="036E0298" w14:textId="77777777" w:rsidTr="000A7F62">
        <w:trPr>
          <w:trHeight w:val="465"/>
        </w:trPr>
        <w:tc>
          <w:tcPr>
            <w:tcW w:w="1976" w:type="dxa"/>
            <w:tcBorders>
              <w:top w:val="nil"/>
              <w:left w:val="nil"/>
              <w:bottom w:val="nil"/>
              <w:right w:val="nil"/>
            </w:tcBorders>
            <w:shd w:val="clear" w:color="auto" w:fill="auto"/>
            <w:noWrap/>
            <w:vAlign w:val="center"/>
            <w:hideMark/>
          </w:tcPr>
          <w:p w14:paraId="6E2A505B"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68599D61"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Replacement dated lighting systems with LED lighting systems </w:t>
            </w:r>
          </w:p>
        </w:tc>
        <w:tc>
          <w:tcPr>
            <w:tcW w:w="1478" w:type="dxa"/>
            <w:tcBorders>
              <w:top w:val="nil"/>
              <w:left w:val="nil"/>
              <w:bottom w:val="nil"/>
              <w:right w:val="nil"/>
            </w:tcBorders>
            <w:shd w:val="clear" w:color="auto" w:fill="auto"/>
            <w:noWrap/>
            <w:vAlign w:val="center"/>
            <w:hideMark/>
          </w:tcPr>
          <w:p w14:paraId="50F788D9"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24</w:t>
            </w:r>
          </w:p>
        </w:tc>
        <w:tc>
          <w:tcPr>
            <w:tcW w:w="1377" w:type="dxa"/>
            <w:tcBorders>
              <w:top w:val="nil"/>
              <w:left w:val="nil"/>
              <w:bottom w:val="nil"/>
              <w:right w:val="nil"/>
            </w:tcBorders>
            <w:shd w:val="clear" w:color="auto" w:fill="auto"/>
            <w:noWrap/>
            <w:vAlign w:val="center"/>
            <w:hideMark/>
          </w:tcPr>
          <w:p w14:paraId="4349DB47"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24</w:t>
            </w:r>
          </w:p>
        </w:tc>
      </w:tr>
      <w:tr w:rsidR="000A7F62" w:rsidRPr="000A7F62" w14:paraId="2E199985" w14:textId="77777777" w:rsidTr="000A7F62">
        <w:trPr>
          <w:trHeight w:val="495"/>
        </w:trPr>
        <w:tc>
          <w:tcPr>
            <w:tcW w:w="1976" w:type="dxa"/>
            <w:tcBorders>
              <w:top w:val="nil"/>
              <w:left w:val="nil"/>
              <w:bottom w:val="nil"/>
              <w:right w:val="nil"/>
            </w:tcBorders>
            <w:shd w:val="clear" w:color="auto" w:fill="auto"/>
            <w:noWrap/>
            <w:vAlign w:val="center"/>
            <w:hideMark/>
          </w:tcPr>
          <w:p w14:paraId="2E6645DB"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Discretionary</w:t>
            </w:r>
          </w:p>
        </w:tc>
        <w:tc>
          <w:tcPr>
            <w:tcW w:w="4649" w:type="dxa"/>
            <w:tcBorders>
              <w:top w:val="nil"/>
              <w:left w:val="nil"/>
              <w:bottom w:val="nil"/>
              <w:right w:val="nil"/>
            </w:tcBorders>
            <w:shd w:val="clear" w:color="auto" w:fill="auto"/>
            <w:vAlign w:val="center"/>
            <w:hideMark/>
          </w:tcPr>
          <w:p w14:paraId="2492A4B9"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Class 1 safety cabinet replacement x 6 (Cardiff x4, Carmarthen x 1, Bangor x 1)</w:t>
            </w:r>
          </w:p>
        </w:tc>
        <w:tc>
          <w:tcPr>
            <w:tcW w:w="1478" w:type="dxa"/>
            <w:tcBorders>
              <w:top w:val="nil"/>
              <w:left w:val="nil"/>
              <w:bottom w:val="nil"/>
              <w:right w:val="nil"/>
            </w:tcBorders>
            <w:shd w:val="clear" w:color="auto" w:fill="auto"/>
            <w:noWrap/>
            <w:vAlign w:val="center"/>
            <w:hideMark/>
          </w:tcPr>
          <w:p w14:paraId="28C60F98"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146</w:t>
            </w:r>
          </w:p>
        </w:tc>
        <w:tc>
          <w:tcPr>
            <w:tcW w:w="1377" w:type="dxa"/>
            <w:tcBorders>
              <w:top w:val="nil"/>
              <w:left w:val="nil"/>
              <w:bottom w:val="nil"/>
              <w:right w:val="nil"/>
            </w:tcBorders>
            <w:shd w:val="clear" w:color="auto" w:fill="auto"/>
            <w:noWrap/>
            <w:vAlign w:val="center"/>
            <w:hideMark/>
          </w:tcPr>
          <w:p w14:paraId="51511182"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03C3A814" w14:textId="77777777" w:rsidTr="000A7F62">
        <w:trPr>
          <w:trHeight w:val="300"/>
        </w:trPr>
        <w:tc>
          <w:tcPr>
            <w:tcW w:w="6625" w:type="dxa"/>
            <w:gridSpan w:val="2"/>
            <w:tcBorders>
              <w:top w:val="nil"/>
              <w:left w:val="nil"/>
              <w:bottom w:val="nil"/>
              <w:right w:val="nil"/>
            </w:tcBorders>
            <w:shd w:val="clear" w:color="000000" w:fill="DCE6F1"/>
            <w:noWrap/>
            <w:vAlign w:val="center"/>
            <w:hideMark/>
          </w:tcPr>
          <w:p w14:paraId="27234F5F"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Discretionary Total</w:t>
            </w:r>
          </w:p>
        </w:tc>
        <w:tc>
          <w:tcPr>
            <w:tcW w:w="1478" w:type="dxa"/>
            <w:tcBorders>
              <w:top w:val="nil"/>
              <w:left w:val="nil"/>
              <w:bottom w:val="nil"/>
              <w:right w:val="nil"/>
            </w:tcBorders>
            <w:shd w:val="clear" w:color="000000" w:fill="DCE6F1"/>
            <w:noWrap/>
            <w:vAlign w:val="center"/>
            <w:hideMark/>
          </w:tcPr>
          <w:p w14:paraId="10A8B101"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1,687</w:t>
            </w:r>
          </w:p>
        </w:tc>
        <w:tc>
          <w:tcPr>
            <w:tcW w:w="1377" w:type="dxa"/>
            <w:tcBorders>
              <w:top w:val="nil"/>
              <w:left w:val="nil"/>
              <w:bottom w:val="nil"/>
              <w:right w:val="nil"/>
            </w:tcBorders>
            <w:shd w:val="clear" w:color="000000" w:fill="DCE6F1"/>
            <w:noWrap/>
            <w:vAlign w:val="center"/>
            <w:hideMark/>
          </w:tcPr>
          <w:p w14:paraId="329B1D66"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530</w:t>
            </w:r>
          </w:p>
        </w:tc>
      </w:tr>
      <w:tr w:rsidR="000A7F62" w:rsidRPr="000A7F62" w14:paraId="1A04FB49" w14:textId="77777777" w:rsidTr="000A7F62">
        <w:trPr>
          <w:trHeight w:val="300"/>
        </w:trPr>
        <w:tc>
          <w:tcPr>
            <w:tcW w:w="1976" w:type="dxa"/>
            <w:tcBorders>
              <w:top w:val="nil"/>
              <w:left w:val="nil"/>
              <w:bottom w:val="nil"/>
              <w:right w:val="nil"/>
            </w:tcBorders>
            <w:shd w:val="clear" w:color="auto" w:fill="auto"/>
            <w:noWrap/>
            <w:vAlign w:val="center"/>
            <w:hideMark/>
          </w:tcPr>
          <w:p w14:paraId="0413A876"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01327C41"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Cepheid Systems</w:t>
            </w:r>
          </w:p>
        </w:tc>
        <w:tc>
          <w:tcPr>
            <w:tcW w:w="1478" w:type="dxa"/>
            <w:tcBorders>
              <w:top w:val="nil"/>
              <w:left w:val="nil"/>
              <w:bottom w:val="nil"/>
              <w:right w:val="nil"/>
            </w:tcBorders>
            <w:shd w:val="clear" w:color="auto" w:fill="auto"/>
            <w:noWrap/>
            <w:vAlign w:val="center"/>
            <w:hideMark/>
          </w:tcPr>
          <w:p w14:paraId="08D584BC"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718</w:t>
            </w:r>
          </w:p>
        </w:tc>
        <w:tc>
          <w:tcPr>
            <w:tcW w:w="1377" w:type="dxa"/>
            <w:tcBorders>
              <w:top w:val="nil"/>
              <w:left w:val="nil"/>
              <w:bottom w:val="nil"/>
              <w:right w:val="nil"/>
            </w:tcBorders>
            <w:shd w:val="clear" w:color="auto" w:fill="auto"/>
            <w:noWrap/>
            <w:vAlign w:val="center"/>
            <w:hideMark/>
          </w:tcPr>
          <w:p w14:paraId="0251DFD7"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718</w:t>
            </w:r>
          </w:p>
        </w:tc>
      </w:tr>
      <w:tr w:rsidR="000A7F62" w:rsidRPr="000A7F62" w14:paraId="3E7E86E4" w14:textId="77777777" w:rsidTr="000A7F62">
        <w:trPr>
          <w:trHeight w:val="300"/>
        </w:trPr>
        <w:tc>
          <w:tcPr>
            <w:tcW w:w="1976" w:type="dxa"/>
            <w:tcBorders>
              <w:top w:val="nil"/>
              <w:left w:val="nil"/>
              <w:bottom w:val="nil"/>
              <w:right w:val="nil"/>
            </w:tcBorders>
            <w:shd w:val="clear" w:color="auto" w:fill="auto"/>
            <w:noWrap/>
            <w:vAlign w:val="center"/>
            <w:hideMark/>
          </w:tcPr>
          <w:p w14:paraId="4C28D5E2"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55A21455" w14:textId="77777777" w:rsidR="000A7F62" w:rsidRPr="000A7F62" w:rsidRDefault="000A7F62" w:rsidP="000A7F62">
            <w:pPr>
              <w:spacing w:after="0" w:line="240" w:lineRule="auto"/>
              <w:rPr>
                <w:rFonts w:ascii="Arial" w:eastAsia="Times New Roman" w:hAnsi="Arial" w:cs="Arial"/>
                <w:sz w:val="16"/>
                <w:szCs w:val="16"/>
                <w:lang w:eastAsia="en-GB"/>
              </w:rPr>
            </w:pPr>
            <w:proofErr w:type="spellStart"/>
            <w:r w:rsidRPr="000A7F62">
              <w:rPr>
                <w:rFonts w:ascii="Arial" w:eastAsia="Times New Roman" w:hAnsi="Arial" w:cs="Arial"/>
                <w:sz w:val="16"/>
                <w:szCs w:val="16"/>
                <w:lang w:eastAsia="en-GB"/>
              </w:rPr>
              <w:t>Eplex</w:t>
            </w:r>
            <w:proofErr w:type="spellEnd"/>
          </w:p>
        </w:tc>
        <w:tc>
          <w:tcPr>
            <w:tcW w:w="1478" w:type="dxa"/>
            <w:tcBorders>
              <w:top w:val="nil"/>
              <w:left w:val="nil"/>
              <w:bottom w:val="nil"/>
              <w:right w:val="nil"/>
            </w:tcBorders>
            <w:shd w:val="clear" w:color="auto" w:fill="auto"/>
            <w:noWrap/>
            <w:vAlign w:val="center"/>
            <w:hideMark/>
          </w:tcPr>
          <w:p w14:paraId="45F2DF2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553</w:t>
            </w:r>
          </w:p>
        </w:tc>
        <w:tc>
          <w:tcPr>
            <w:tcW w:w="1377" w:type="dxa"/>
            <w:tcBorders>
              <w:top w:val="nil"/>
              <w:left w:val="nil"/>
              <w:bottom w:val="nil"/>
              <w:right w:val="nil"/>
            </w:tcBorders>
            <w:shd w:val="clear" w:color="auto" w:fill="auto"/>
            <w:noWrap/>
            <w:vAlign w:val="center"/>
            <w:hideMark/>
          </w:tcPr>
          <w:p w14:paraId="11672EE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553</w:t>
            </w:r>
          </w:p>
        </w:tc>
      </w:tr>
      <w:tr w:rsidR="000A7F62" w:rsidRPr="000A7F62" w14:paraId="28FAA0D6" w14:textId="77777777" w:rsidTr="000A7F62">
        <w:trPr>
          <w:trHeight w:val="300"/>
        </w:trPr>
        <w:tc>
          <w:tcPr>
            <w:tcW w:w="1976" w:type="dxa"/>
            <w:tcBorders>
              <w:top w:val="nil"/>
              <w:left w:val="nil"/>
              <w:bottom w:val="nil"/>
              <w:right w:val="nil"/>
            </w:tcBorders>
            <w:shd w:val="clear" w:color="auto" w:fill="auto"/>
            <w:noWrap/>
            <w:vAlign w:val="center"/>
            <w:hideMark/>
          </w:tcPr>
          <w:p w14:paraId="1709BD29"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6BAA89AF"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PerkinElmer Platforms &amp; Reagents</w:t>
            </w:r>
          </w:p>
        </w:tc>
        <w:tc>
          <w:tcPr>
            <w:tcW w:w="1478" w:type="dxa"/>
            <w:tcBorders>
              <w:top w:val="nil"/>
              <w:left w:val="nil"/>
              <w:bottom w:val="nil"/>
              <w:right w:val="nil"/>
            </w:tcBorders>
            <w:shd w:val="clear" w:color="auto" w:fill="auto"/>
            <w:noWrap/>
            <w:vAlign w:val="center"/>
            <w:hideMark/>
          </w:tcPr>
          <w:p w14:paraId="0870FCD5"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740</w:t>
            </w:r>
          </w:p>
        </w:tc>
        <w:tc>
          <w:tcPr>
            <w:tcW w:w="1377" w:type="dxa"/>
            <w:tcBorders>
              <w:top w:val="nil"/>
              <w:left w:val="nil"/>
              <w:bottom w:val="nil"/>
              <w:right w:val="nil"/>
            </w:tcBorders>
            <w:shd w:val="clear" w:color="auto" w:fill="auto"/>
            <w:noWrap/>
            <w:vAlign w:val="center"/>
            <w:hideMark/>
          </w:tcPr>
          <w:p w14:paraId="71A02D66"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740</w:t>
            </w:r>
          </w:p>
        </w:tc>
      </w:tr>
      <w:tr w:rsidR="000A7F62" w:rsidRPr="000A7F62" w14:paraId="07D1ACE3" w14:textId="77777777" w:rsidTr="000A7F62">
        <w:trPr>
          <w:trHeight w:val="300"/>
        </w:trPr>
        <w:tc>
          <w:tcPr>
            <w:tcW w:w="1976" w:type="dxa"/>
            <w:tcBorders>
              <w:top w:val="nil"/>
              <w:left w:val="nil"/>
              <w:bottom w:val="nil"/>
              <w:right w:val="nil"/>
            </w:tcBorders>
            <w:shd w:val="clear" w:color="auto" w:fill="auto"/>
            <w:noWrap/>
            <w:vAlign w:val="center"/>
            <w:hideMark/>
          </w:tcPr>
          <w:p w14:paraId="31F8F21B"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366CD0C6"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Hot Labs &amp; Laboratory Resilience</w:t>
            </w:r>
          </w:p>
        </w:tc>
        <w:tc>
          <w:tcPr>
            <w:tcW w:w="1478" w:type="dxa"/>
            <w:tcBorders>
              <w:top w:val="nil"/>
              <w:left w:val="nil"/>
              <w:bottom w:val="nil"/>
              <w:right w:val="nil"/>
            </w:tcBorders>
            <w:shd w:val="clear" w:color="auto" w:fill="auto"/>
            <w:noWrap/>
            <w:vAlign w:val="center"/>
            <w:hideMark/>
          </w:tcPr>
          <w:p w14:paraId="0792030A"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2,365</w:t>
            </w:r>
          </w:p>
        </w:tc>
        <w:tc>
          <w:tcPr>
            <w:tcW w:w="1377" w:type="dxa"/>
            <w:tcBorders>
              <w:top w:val="nil"/>
              <w:left w:val="nil"/>
              <w:bottom w:val="nil"/>
              <w:right w:val="nil"/>
            </w:tcBorders>
            <w:shd w:val="clear" w:color="auto" w:fill="auto"/>
            <w:noWrap/>
            <w:vAlign w:val="center"/>
            <w:hideMark/>
          </w:tcPr>
          <w:p w14:paraId="078B589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1,718</w:t>
            </w:r>
          </w:p>
        </w:tc>
      </w:tr>
      <w:tr w:rsidR="000A7F62" w:rsidRPr="000A7F62" w14:paraId="2FD4E2CB" w14:textId="77777777" w:rsidTr="000A7F62">
        <w:trPr>
          <w:trHeight w:val="540"/>
        </w:trPr>
        <w:tc>
          <w:tcPr>
            <w:tcW w:w="1976" w:type="dxa"/>
            <w:tcBorders>
              <w:top w:val="nil"/>
              <w:left w:val="nil"/>
              <w:bottom w:val="nil"/>
              <w:right w:val="nil"/>
            </w:tcBorders>
            <w:shd w:val="clear" w:color="auto" w:fill="auto"/>
            <w:noWrap/>
            <w:vAlign w:val="center"/>
            <w:hideMark/>
          </w:tcPr>
          <w:p w14:paraId="11E23DC2"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2F680548"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MAST 3 x </w:t>
            </w:r>
            <w:proofErr w:type="spellStart"/>
            <w:r w:rsidRPr="000A7F62">
              <w:rPr>
                <w:rFonts w:ascii="Arial" w:eastAsia="Times New Roman" w:hAnsi="Arial" w:cs="Arial"/>
                <w:sz w:val="16"/>
                <w:szCs w:val="16"/>
                <w:lang w:eastAsia="en-GB"/>
              </w:rPr>
              <w:t>Microlab</w:t>
            </w:r>
            <w:proofErr w:type="spellEnd"/>
            <w:r w:rsidRPr="000A7F62">
              <w:rPr>
                <w:rFonts w:ascii="Arial" w:eastAsia="Times New Roman" w:hAnsi="Arial" w:cs="Arial"/>
                <w:sz w:val="16"/>
                <w:szCs w:val="16"/>
                <w:lang w:eastAsia="en-GB"/>
              </w:rPr>
              <w:t xml:space="preserve"> </w:t>
            </w:r>
            <w:proofErr w:type="spellStart"/>
            <w:r w:rsidRPr="000A7F62">
              <w:rPr>
                <w:rFonts w:ascii="Arial" w:eastAsia="Times New Roman" w:hAnsi="Arial" w:cs="Arial"/>
                <w:sz w:val="16"/>
                <w:szCs w:val="16"/>
                <w:lang w:eastAsia="en-GB"/>
              </w:rPr>
              <w:t>Startlet</w:t>
            </w:r>
            <w:proofErr w:type="spellEnd"/>
            <w:r w:rsidRPr="000A7F62">
              <w:rPr>
                <w:rFonts w:ascii="Arial" w:eastAsia="Times New Roman" w:hAnsi="Arial" w:cs="Arial"/>
                <w:sz w:val="16"/>
                <w:szCs w:val="16"/>
                <w:lang w:eastAsia="en-GB"/>
              </w:rPr>
              <w:t>, optical Unit and thermal cylinder</w:t>
            </w:r>
          </w:p>
        </w:tc>
        <w:tc>
          <w:tcPr>
            <w:tcW w:w="1478" w:type="dxa"/>
            <w:tcBorders>
              <w:top w:val="nil"/>
              <w:left w:val="nil"/>
              <w:bottom w:val="nil"/>
              <w:right w:val="nil"/>
            </w:tcBorders>
            <w:shd w:val="clear" w:color="auto" w:fill="auto"/>
            <w:noWrap/>
            <w:vAlign w:val="center"/>
            <w:hideMark/>
          </w:tcPr>
          <w:p w14:paraId="449F71C6"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429</w:t>
            </w:r>
          </w:p>
        </w:tc>
        <w:tc>
          <w:tcPr>
            <w:tcW w:w="1377" w:type="dxa"/>
            <w:tcBorders>
              <w:top w:val="nil"/>
              <w:left w:val="nil"/>
              <w:bottom w:val="nil"/>
              <w:right w:val="nil"/>
            </w:tcBorders>
            <w:shd w:val="clear" w:color="auto" w:fill="auto"/>
            <w:noWrap/>
            <w:vAlign w:val="center"/>
            <w:hideMark/>
          </w:tcPr>
          <w:p w14:paraId="33DC91DF"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429</w:t>
            </w:r>
          </w:p>
        </w:tc>
      </w:tr>
      <w:tr w:rsidR="000A7F62" w:rsidRPr="000A7F62" w14:paraId="6AFD6BA1" w14:textId="77777777" w:rsidTr="000A7F62">
        <w:trPr>
          <w:trHeight w:val="300"/>
        </w:trPr>
        <w:tc>
          <w:tcPr>
            <w:tcW w:w="1976" w:type="dxa"/>
            <w:tcBorders>
              <w:top w:val="nil"/>
              <w:left w:val="nil"/>
              <w:bottom w:val="nil"/>
              <w:right w:val="nil"/>
            </w:tcBorders>
            <w:shd w:val="clear" w:color="auto" w:fill="auto"/>
            <w:noWrap/>
            <w:vAlign w:val="center"/>
            <w:hideMark/>
          </w:tcPr>
          <w:p w14:paraId="150D43DD"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38F13F0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Imperial Park 5</w:t>
            </w:r>
          </w:p>
        </w:tc>
        <w:tc>
          <w:tcPr>
            <w:tcW w:w="1478" w:type="dxa"/>
            <w:tcBorders>
              <w:top w:val="nil"/>
              <w:left w:val="nil"/>
              <w:bottom w:val="nil"/>
              <w:right w:val="nil"/>
            </w:tcBorders>
            <w:shd w:val="clear" w:color="auto" w:fill="auto"/>
            <w:noWrap/>
            <w:vAlign w:val="center"/>
            <w:hideMark/>
          </w:tcPr>
          <w:p w14:paraId="1A0B4C1B"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4,000</w:t>
            </w:r>
          </w:p>
        </w:tc>
        <w:tc>
          <w:tcPr>
            <w:tcW w:w="1377" w:type="dxa"/>
            <w:tcBorders>
              <w:top w:val="nil"/>
              <w:left w:val="nil"/>
              <w:bottom w:val="nil"/>
              <w:right w:val="nil"/>
            </w:tcBorders>
            <w:shd w:val="clear" w:color="auto" w:fill="auto"/>
            <w:noWrap/>
            <w:vAlign w:val="center"/>
            <w:hideMark/>
          </w:tcPr>
          <w:p w14:paraId="3E735E82"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4,676</w:t>
            </w:r>
          </w:p>
        </w:tc>
      </w:tr>
      <w:tr w:rsidR="000A7F62" w:rsidRPr="000A7F62" w14:paraId="44AB8904" w14:textId="77777777" w:rsidTr="000A7F62">
        <w:trPr>
          <w:trHeight w:val="300"/>
        </w:trPr>
        <w:tc>
          <w:tcPr>
            <w:tcW w:w="1976" w:type="dxa"/>
            <w:tcBorders>
              <w:top w:val="nil"/>
              <w:left w:val="nil"/>
              <w:bottom w:val="nil"/>
              <w:right w:val="nil"/>
            </w:tcBorders>
            <w:shd w:val="clear" w:color="auto" w:fill="auto"/>
            <w:noWrap/>
            <w:vAlign w:val="center"/>
            <w:hideMark/>
          </w:tcPr>
          <w:p w14:paraId="1716E77E"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64BB84BE"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MAST </w:t>
            </w:r>
            <w:proofErr w:type="spellStart"/>
            <w:r w:rsidRPr="000A7F62">
              <w:rPr>
                <w:rFonts w:ascii="Arial" w:eastAsia="Times New Roman" w:hAnsi="Arial" w:cs="Arial"/>
                <w:sz w:val="16"/>
                <w:szCs w:val="16"/>
                <w:lang w:eastAsia="en-GB"/>
              </w:rPr>
              <w:t>Seegene</w:t>
            </w:r>
            <w:proofErr w:type="spellEnd"/>
          </w:p>
        </w:tc>
        <w:tc>
          <w:tcPr>
            <w:tcW w:w="1478" w:type="dxa"/>
            <w:tcBorders>
              <w:top w:val="nil"/>
              <w:left w:val="nil"/>
              <w:bottom w:val="nil"/>
              <w:right w:val="nil"/>
            </w:tcBorders>
            <w:shd w:val="clear" w:color="auto" w:fill="auto"/>
            <w:noWrap/>
            <w:vAlign w:val="center"/>
            <w:hideMark/>
          </w:tcPr>
          <w:p w14:paraId="08E0612A"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666</w:t>
            </w:r>
          </w:p>
        </w:tc>
        <w:tc>
          <w:tcPr>
            <w:tcW w:w="1377" w:type="dxa"/>
            <w:tcBorders>
              <w:top w:val="nil"/>
              <w:left w:val="nil"/>
              <w:bottom w:val="nil"/>
              <w:right w:val="nil"/>
            </w:tcBorders>
            <w:shd w:val="clear" w:color="auto" w:fill="auto"/>
            <w:noWrap/>
            <w:vAlign w:val="center"/>
            <w:hideMark/>
          </w:tcPr>
          <w:p w14:paraId="22FC5091"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672</w:t>
            </w:r>
          </w:p>
        </w:tc>
      </w:tr>
      <w:tr w:rsidR="000A7F62" w:rsidRPr="000A7F62" w14:paraId="0832488C" w14:textId="77777777" w:rsidTr="000A7F62">
        <w:trPr>
          <w:trHeight w:val="300"/>
        </w:trPr>
        <w:tc>
          <w:tcPr>
            <w:tcW w:w="1976" w:type="dxa"/>
            <w:tcBorders>
              <w:top w:val="nil"/>
              <w:left w:val="nil"/>
              <w:bottom w:val="nil"/>
              <w:right w:val="nil"/>
            </w:tcBorders>
            <w:shd w:val="clear" w:color="auto" w:fill="auto"/>
            <w:noWrap/>
            <w:vAlign w:val="center"/>
            <w:hideMark/>
          </w:tcPr>
          <w:p w14:paraId="03B43D17"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w:t>
            </w:r>
          </w:p>
        </w:tc>
        <w:tc>
          <w:tcPr>
            <w:tcW w:w="4649" w:type="dxa"/>
            <w:tcBorders>
              <w:top w:val="nil"/>
              <w:left w:val="nil"/>
              <w:bottom w:val="nil"/>
              <w:right w:val="nil"/>
            </w:tcBorders>
            <w:shd w:val="clear" w:color="auto" w:fill="auto"/>
            <w:vAlign w:val="center"/>
            <w:hideMark/>
          </w:tcPr>
          <w:p w14:paraId="34985EA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LINC</w:t>
            </w:r>
          </w:p>
        </w:tc>
        <w:tc>
          <w:tcPr>
            <w:tcW w:w="1478" w:type="dxa"/>
            <w:tcBorders>
              <w:top w:val="nil"/>
              <w:left w:val="nil"/>
              <w:bottom w:val="nil"/>
              <w:right w:val="nil"/>
            </w:tcBorders>
            <w:shd w:val="clear" w:color="auto" w:fill="auto"/>
            <w:noWrap/>
            <w:vAlign w:val="center"/>
            <w:hideMark/>
          </w:tcPr>
          <w:p w14:paraId="547397C3"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752</w:t>
            </w:r>
          </w:p>
        </w:tc>
        <w:tc>
          <w:tcPr>
            <w:tcW w:w="1377" w:type="dxa"/>
            <w:tcBorders>
              <w:top w:val="nil"/>
              <w:left w:val="nil"/>
              <w:bottom w:val="nil"/>
              <w:right w:val="nil"/>
            </w:tcBorders>
            <w:shd w:val="clear" w:color="auto" w:fill="auto"/>
            <w:noWrap/>
            <w:vAlign w:val="center"/>
            <w:hideMark/>
          </w:tcPr>
          <w:p w14:paraId="7191FA0A"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376</w:t>
            </w:r>
          </w:p>
        </w:tc>
      </w:tr>
      <w:tr w:rsidR="000A7F62" w:rsidRPr="000A7F62" w14:paraId="52974F17" w14:textId="77777777" w:rsidTr="000A7F62">
        <w:trPr>
          <w:trHeight w:val="300"/>
        </w:trPr>
        <w:tc>
          <w:tcPr>
            <w:tcW w:w="1976" w:type="dxa"/>
            <w:tcBorders>
              <w:top w:val="nil"/>
              <w:left w:val="nil"/>
              <w:bottom w:val="nil"/>
              <w:right w:val="nil"/>
            </w:tcBorders>
            <w:shd w:val="clear" w:color="000000" w:fill="DCE6F1"/>
            <w:noWrap/>
            <w:vAlign w:val="center"/>
            <w:hideMark/>
          </w:tcPr>
          <w:p w14:paraId="0C15E087"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Strategic Total</w:t>
            </w:r>
          </w:p>
        </w:tc>
        <w:tc>
          <w:tcPr>
            <w:tcW w:w="4649" w:type="dxa"/>
            <w:tcBorders>
              <w:top w:val="nil"/>
              <w:left w:val="nil"/>
              <w:bottom w:val="nil"/>
              <w:right w:val="nil"/>
            </w:tcBorders>
            <w:shd w:val="clear" w:color="000000" w:fill="DCE6F1"/>
            <w:vAlign w:val="center"/>
            <w:hideMark/>
          </w:tcPr>
          <w:p w14:paraId="3E536153"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 </w:t>
            </w:r>
          </w:p>
        </w:tc>
        <w:tc>
          <w:tcPr>
            <w:tcW w:w="1478" w:type="dxa"/>
            <w:tcBorders>
              <w:top w:val="nil"/>
              <w:left w:val="nil"/>
              <w:bottom w:val="nil"/>
              <w:right w:val="nil"/>
            </w:tcBorders>
            <w:shd w:val="clear" w:color="000000" w:fill="DCE6F1"/>
            <w:noWrap/>
            <w:vAlign w:val="center"/>
            <w:hideMark/>
          </w:tcPr>
          <w:p w14:paraId="1FC99588"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10,223</w:t>
            </w:r>
          </w:p>
        </w:tc>
        <w:tc>
          <w:tcPr>
            <w:tcW w:w="1377" w:type="dxa"/>
            <w:tcBorders>
              <w:top w:val="nil"/>
              <w:left w:val="nil"/>
              <w:bottom w:val="nil"/>
              <w:right w:val="nil"/>
            </w:tcBorders>
            <w:shd w:val="clear" w:color="000000" w:fill="DCE6F1"/>
            <w:noWrap/>
            <w:vAlign w:val="center"/>
            <w:hideMark/>
          </w:tcPr>
          <w:p w14:paraId="137A36DC"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9,882</w:t>
            </w:r>
          </w:p>
        </w:tc>
      </w:tr>
      <w:tr w:rsidR="000A7F62" w:rsidRPr="000A7F62" w14:paraId="3501AD53" w14:textId="77777777" w:rsidTr="000A7F62">
        <w:trPr>
          <w:trHeight w:val="300"/>
        </w:trPr>
        <w:tc>
          <w:tcPr>
            <w:tcW w:w="1976" w:type="dxa"/>
            <w:tcBorders>
              <w:top w:val="nil"/>
              <w:left w:val="nil"/>
              <w:bottom w:val="nil"/>
              <w:right w:val="nil"/>
            </w:tcBorders>
            <w:shd w:val="clear" w:color="auto" w:fill="auto"/>
            <w:noWrap/>
            <w:vAlign w:val="center"/>
            <w:hideMark/>
          </w:tcPr>
          <w:p w14:paraId="11C215E7"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PHE Grant</w:t>
            </w:r>
          </w:p>
        </w:tc>
        <w:tc>
          <w:tcPr>
            <w:tcW w:w="4649" w:type="dxa"/>
            <w:tcBorders>
              <w:top w:val="nil"/>
              <w:left w:val="nil"/>
              <w:bottom w:val="nil"/>
              <w:right w:val="nil"/>
            </w:tcBorders>
            <w:shd w:val="clear" w:color="auto" w:fill="auto"/>
            <w:vAlign w:val="center"/>
            <w:hideMark/>
          </w:tcPr>
          <w:p w14:paraId="5DCEEBA6"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 xml:space="preserve">Additional genome sequencing </w:t>
            </w:r>
          </w:p>
        </w:tc>
        <w:tc>
          <w:tcPr>
            <w:tcW w:w="1478" w:type="dxa"/>
            <w:tcBorders>
              <w:top w:val="nil"/>
              <w:left w:val="nil"/>
              <w:bottom w:val="nil"/>
              <w:right w:val="nil"/>
            </w:tcBorders>
            <w:shd w:val="clear" w:color="auto" w:fill="auto"/>
            <w:noWrap/>
            <w:vAlign w:val="center"/>
            <w:hideMark/>
          </w:tcPr>
          <w:p w14:paraId="66332A00"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26</w:t>
            </w:r>
          </w:p>
        </w:tc>
        <w:tc>
          <w:tcPr>
            <w:tcW w:w="1377" w:type="dxa"/>
            <w:tcBorders>
              <w:top w:val="nil"/>
              <w:left w:val="nil"/>
              <w:bottom w:val="nil"/>
              <w:right w:val="nil"/>
            </w:tcBorders>
            <w:shd w:val="clear" w:color="auto" w:fill="auto"/>
            <w:noWrap/>
            <w:vAlign w:val="center"/>
            <w:hideMark/>
          </w:tcPr>
          <w:p w14:paraId="53DF3504"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0</w:t>
            </w:r>
          </w:p>
        </w:tc>
      </w:tr>
      <w:tr w:rsidR="000A7F62" w:rsidRPr="000A7F62" w14:paraId="64B46F9C" w14:textId="77777777" w:rsidTr="000A7F62">
        <w:trPr>
          <w:trHeight w:val="300"/>
        </w:trPr>
        <w:tc>
          <w:tcPr>
            <w:tcW w:w="6625" w:type="dxa"/>
            <w:gridSpan w:val="2"/>
            <w:tcBorders>
              <w:top w:val="nil"/>
              <w:left w:val="nil"/>
              <w:bottom w:val="nil"/>
              <w:right w:val="nil"/>
            </w:tcBorders>
            <w:shd w:val="clear" w:color="000000" w:fill="DCE6F1"/>
            <w:noWrap/>
            <w:vAlign w:val="center"/>
            <w:hideMark/>
          </w:tcPr>
          <w:p w14:paraId="1C631EF3"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Total Approved Schemes</w:t>
            </w:r>
          </w:p>
        </w:tc>
        <w:tc>
          <w:tcPr>
            <w:tcW w:w="1478" w:type="dxa"/>
            <w:tcBorders>
              <w:top w:val="nil"/>
              <w:left w:val="nil"/>
              <w:bottom w:val="nil"/>
              <w:right w:val="nil"/>
            </w:tcBorders>
            <w:shd w:val="clear" w:color="000000" w:fill="DCE6F1"/>
            <w:noWrap/>
            <w:vAlign w:val="center"/>
            <w:hideMark/>
          </w:tcPr>
          <w:p w14:paraId="21A702EE"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11,936</w:t>
            </w:r>
          </w:p>
        </w:tc>
        <w:tc>
          <w:tcPr>
            <w:tcW w:w="1377" w:type="dxa"/>
            <w:tcBorders>
              <w:top w:val="nil"/>
              <w:left w:val="nil"/>
              <w:bottom w:val="nil"/>
              <w:right w:val="nil"/>
            </w:tcBorders>
            <w:shd w:val="clear" w:color="000000" w:fill="DCE6F1"/>
            <w:noWrap/>
            <w:vAlign w:val="center"/>
            <w:hideMark/>
          </w:tcPr>
          <w:p w14:paraId="1F283636"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10,413</w:t>
            </w:r>
          </w:p>
        </w:tc>
      </w:tr>
      <w:tr w:rsidR="000A7F62" w:rsidRPr="000A7F62" w14:paraId="36A27CF5" w14:textId="77777777" w:rsidTr="000A7F62">
        <w:trPr>
          <w:trHeight w:val="300"/>
        </w:trPr>
        <w:tc>
          <w:tcPr>
            <w:tcW w:w="1976" w:type="dxa"/>
            <w:tcBorders>
              <w:top w:val="nil"/>
              <w:left w:val="nil"/>
              <w:bottom w:val="nil"/>
              <w:right w:val="nil"/>
            </w:tcBorders>
            <w:shd w:val="clear" w:color="auto" w:fill="auto"/>
            <w:noWrap/>
            <w:vAlign w:val="center"/>
            <w:hideMark/>
          </w:tcPr>
          <w:p w14:paraId="792AA423"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Strategic (Unapproved)</w:t>
            </w:r>
          </w:p>
        </w:tc>
        <w:tc>
          <w:tcPr>
            <w:tcW w:w="4649" w:type="dxa"/>
            <w:tcBorders>
              <w:top w:val="nil"/>
              <w:left w:val="nil"/>
              <w:bottom w:val="nil"/>
              <w:right w:val="nil"/>
            </w:tcBorders>
            <w:shd w:val="clear" w:color="auto" w:fill="auto"/>
            <w:vAlign w:val="center"/>
            <w:hideMark/>
          </w:tcPr>
          <w:p w14:paraId="73E7C534" w14:textId="77777777" w:rsidR="000A7F62" w:rsidRPr="000A7F62" w:rsidRDefault="000A7F62" w:rsidP="000A7F62">
            <w:pPr>
              <w:spacing w:after="0" w:line="240" w:lineRule="auto"/>
              <w:rPr>
                <w:rFonts w:ascii="Arial" w:eastAsia="Times New Roman" w:hAnsi="Arial" w:cs="Arial"/>
                <w:sz w:val="16"/>
                <w:szCs w:val="16"/>
                <w:lang w:eastAsia="en-GB"/>
              </w:rPr>
            </w:pPr>
            <w:r w:rsidRPr="000A7F62">
              <w:rPr>
                <w:rFonts w:ascii="Arial" w:eastAsia="Times New Roman" w:hAnsi="Arial" w:cs="Arial"/>
                <w:sz w:val="16"/>
                <w:szCs w:val="16"/>
                <w:lang w:eastAsia="en-GB"/>
              </w:rPr>
              <w:t>Imperial Park 5 - contingency</w:t>
            </w:r>
          </w:p>
        </w:tc>
        <w:tc>
          <w:tcPr>
            <w:tcW w:w="1478" w:type="dxa"/>
            <w:tcBorders>
              <w:top w:val="nil"/>
              <w:left w:val="nil"/>
              <w:bottom w:val="nil"/>
              <w:right w:val="nil"/>
            </w:tcBorders>
            <w:shd w:val="clear" w:color="auto" w:fill="auto"/>
            <w:noWrap/>
            <w:vAlign w:val="center"/>
            <w:hideMark/>
          </w:tcPr>
          <w:p w14:paraId="1D854AB6"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400</w:t>
            </w:r>
          </w:p>
        </w:tc>
        <w:tc>
          <w:tcPr>
            <w:tcW w:w="1377" w:type="dxa"/>
            <w:tcBorders>
              <w:top w:val="nil"/>
              <w:left w:val="nil"/>
              <w:bottom w:val="nil"/>
              <w:right w:val="nil"/>
            </w:tcBorders>
            <w:shd w:val="clear" w:color="auto" w:fill="auto"/>
            <w:noWrap/>
            <w:vAlign w:val="center"/>
            <w:hideMark/>
          </w:tcPr>
          <w:p w14:paraId="1D8FF479" w14:textId="77777777" w:rsidR="000A7F62" w:rsidRPr="000A7F62" w:rsidRDefault="000A7F62" w:rsidP="000A7F62">
            <w:pPr>
              <w:spacing w:after="0" w:line="240" w:lineRule="auto"/>
              <w:jc w:val="center"/>
              <w:rPr>
                <w:rFonts w:ascii="Arial" w:eastAsia="Times New Roman" w:hAnsi="Arial" w:cs="Arial"/>
                <w:sz w:val="16"/>
                <w:szCs w:val="16"/>
                <w:lang w:eastAsia="en-GB"/>
              </w:rPr>
            </w:pPr>
            <w:r w:rsidRPr="000A7F62">
              <w:rPr>
                <w:rFonts w:ascii="Arial" w:eastAsia="Times New Roman" w:hAnsi="Arial" w:cs="Arial"/>
                <w:sz w:val="16"/>
                <w:szCs w:val="16"/>
                <w:lang w:eastAsia="en-GB"/>
              </w:rPr>
              <w:t>0</w:t>
            </w:r>
          </w:p>
        </w:tc>
      </w:tr>
      <w:tr w:rsidR="000A7F62" w:rsidRPr="000A7F62" w14:paraId="1EBCA5AA" w14:textId="77777777" w:rsidTr="000A7F62">
        <w:trPr>
          <w:trHeight w:val="300"/>
        </w:trPr>
        <w:tc>
          <w:tcPr>
            <w:tcW w:w="6625" w:type="dxa"/>
            <w:gridSpan w:val="2"/>
            <w:tcBorders>
              <w:top w:val="nil"/>
              <w:left w:val="nil"/>
              <w:bottom w:val="nil"/>
              <w:right w:val="nil"/>
            </w:tcBorders>
            <w:shd w:val="clear" w:color="000000" w:fill="95B3D7"/>
            <w:noWrap/>
            <w:vAlign w:val="center"/>
            <w:hideMark/>
          </w:tcPr>
          <w:p w14:paraId="12A082EC" w14:textId="77777777" w:rsidR="000A7F62" w:rsidRPr="000A7F62" w:rsidRDefault="000A7F62" w:rsidP="000A7F62">
            <w:pPr>
              <w:spacing w:after="0" w:line="240" w:lineRule="auto"/>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Total Schemes (Approved &amp; Unapproved)</w:t>
            </w:r>
          </w:p>
        </w:tc>
        <w:tc>
          <w:tcPr>
            <w:tcW w:w="1478" w:type="dxa"/>
            <w:tcBorders>
              <w:top w:val="nil"/>
              <w:left w:val="nil"/>
              <w:bottom w:val="nil"/>
              <w:right w:val="nil"/>
            </w:tcBorders>
            <w:shd w:val="clear" w:color="000000" w:fill="95B3D7"/>
            <w:noWrap/>
            <w:vAlign w:val="center"/>
            <w:hideMark/>
          </w:tcPr>
          <w:p w14:paraId="32CB48E3"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12,336</w:t>
            </w:r>
          </w:p>
        </w:tc>
        <w:tc>
          <w:tcPr>
            <w:tcW w:w="1377" w:type="dxa"/>
            <w:tcBorders>
              <w:top w:val="nil"/>
              <w:left w:val="nil"/>
              <w:bottom w:val="nil"/>
              <w:right w:val="nil"/>
            </w:tcBorders>
            <w:shd w:val="clear" w:color="000000" w:fill="95B3D7"/>
            <w:noWrap/>
            <w:vAlign w:val="center"/>
            <w:hideMark/>
          </w:tcPr>
          <w:p w14:paraId="3BB80C4C" w14:textId="77777777" w:rsidR="000A7F62" w:rsidRPr="000A7F62" w:rsidRDefault="000A7F62" w:rsidP="000A7F62">
            <w:pPr>
              <w:spacing w:after="0" w:line="240" w:lineRule="auto"/>
              <w:jc w:val="center"/>
              <w:rPr>
                <w:rFonts w:ascii="Arial" w:eastAsia="Times New Roman" w:hAnsi="Arial" w:cs="Arial"/>
                <w:b/>
                <w:bCs/>
                <w:sz w:val="16"/>
                <w:szCs w:val="16"/>
                <w:lang w:eastAsia="en-GB"/>
              </w:rPr>
            </w:pPr>
            <w:r w:rsidRPr="000A7F62">
              <w:rPr>
                <w:rFonts w:ascii="Arial" w:eastAsia="Times New Roman" w:hAnsi="Arial" w:cs="Arial"/>
                <w:b/>
                <w:bCs/>
                <w:sz w:val="16"/>
                <w:szCs w:val="16"/>
                <w:lang w:eastAsia="en-GB"/>
              </w:rPr>
              <w:t>10,413</w:t>
            </w:r>
          </w:p>
        </w:tc>
      </w:tr>
    </w:tbl>
    <w:p w14:paraId="462C2D5E" w14:textId="77777777" w:rsidR="00C20909" w:rsidRPr="005F3065" w:rsidRDefault="00C20909" w:rsidP="00734CA8">
      <w:pPr>
        <w:jc w:val="both"/>
        <w:rPr>
          <w:rFonts w:ascii="Verdana" w:hAnsi="Verdana" w:cs="Times New Roman"/>
          <w:sz w:val="24"/>
          <w:szCs w:val="24"/>
          <w:highlight w:val="magenta"/>
          <w:lang w:eastAsia="en-GB"/>
        </w:rPr>
      </w:pPr>
    </w:p>
    <w:p w14:paraId="27D55B59" w14:textId="77777777" w:rsidR="00FF7411" w:rsidRPr="000A7F62" w:rsidRDefault="00587F86" w:rsidP="00734CA8">
      <w:pPr>
        <w:jc w:val="both"/>
        <w:rPr>
          <w:rFonts w:ascii="Verdana" w:hAnsi="Verdana" w:cs="Times New Roman"/>
          <w:sz w:val="24"/>
          <w:szCs w:val="24"/>
          <w:lang w:eastAsia="en-GB"/>
        </w:rPr>
      </w:pPr>
      <w:r w:rsidRPr="000A7F62">
        <w:rPr>
          <w:rFonts w:ascii="Verdana" w:hAnsi="Verdana" w:cs="Times New Roman"/>
          <w:sz w:val="24"/>
          <w:szCs w:val="24"/>
          <w:lang w:eastAsia="en-GB"/>
        </w:rPr>
        <w:t>P</w:t>
      </w:r>
      <w:r w:rsidR="00163E3F" w:rsidRPr="000A7F62">
        <w:rPr>
          <w:rFonts w:ascii="Verdana" w:hAnsi="Verdana" w:cs="Times New Roman"/>
          <w:sz w:val="24"/>
          <w:szCs w:val="24"/>
          <w:lang w:eastAsia="en-GB"/>
        </w:rPr>
        <w:t>ublic Health Wales</w:t>
      </w:r>
      <w:r w:rsidRPr="000A7F62">
        <w:rPr>
          <w:rFonts w:ascii="Verdana" w:hAnsi="Verdana" w:cs="Times New Roman"/>
          <w:sz w:val="24"/>
          <w:szCs w:val="24"/>
          <w:lang w:eastAsia="en-GB"/>
        </w:rPr>
        <w:t xml:space="preserve"> </w:t>
      </w:r>
      <w:r w:rsidR="00163E3F" w:rsidRPr="000A7F62">
        <w:rPr>
          <w:rFonts w:ascii="Verdana" w:hAnsi="Verdana" w:cs="Times New Roman"/>
          <w:sz w:val="24"/>
          <w:szCs w:val="24"/>
          <w:lang w:eastAsia="en-GB"/>
        </w:rPr>
        <w:t>d</w:t>
      </w:r>
      <w:r w:rsidR="00FF7411" w:rsidRPr="000A7F62">
        <w:rPr>
          <w:rFonts w:ascii="Verdana" w:hAnsi="Verdana" w:cs="Times New Roman"/>
          <w:sz w:val="24"/>
          <w:szCs w:val="24"/>
          <w:lang w:eastAsia="en-GB"/>
        </w:rPr>
        <w:t>iscretionary</w:t>
      </w:r>
      <w:r w:rsidRPr="000A7F62">
        <w:rPr>
          <w:rFonts w:ascii="Verdana" w:hAnsi="Verdana" w:cs="Times New Roman"/>
          <w:sz w:val="24"/>
          <w:szCs w:val="24"/>
          <w:lang w:eastAsia="en-GB"/>
        </w:rPr>
        <w:t xml:space="preserve"> allocation of</w:t>
      </w:r>
      <w:r w:rsidR="00FF7411" w:rsidRPr="000A7F62">
        <w:rPr>
          <w:rFonts w:ascii="Verdana" w:hAnsi="Verdana" w:cs="Times New Roman"/>
          <w:sz w:val="24"/>
          <w:szCs w:val="24"/>
          <w:lang w:eastAsia="en-GB"/>
        </w:rPr>
        <w:t xml:space="preserve"> £1.687m</w:t>
      </w:r>
      <w:r w:rsidRPr="000A7F62">
        <w:rPr>
          <w:rFonts w:ascii="Verdana" w:hAnsi="Verdana" w:cs="Times New Roman"/>
          <w:sz w:val="24"/>
          <w:szCs w:val="24"/>
          <w:lang w:eastAsia="en-GB"/>
        </w:rPr>
        <w:t xml:space="preserve"> remains the same as previous years.  </w:t>
      </w:r>
      <w:r w:rsidR="00163E3F" w:rsidRPr="000A7F62">
        <w:rPr>
          <w:rFonts w:ascii="Verdana" w:hAnsi="Verdana" w:cs="Times New Roman"/>
          <w:sz w:val="24"/>
          <w:szCs w:val="24"/>
          <w:lang w:eastAsia="en-GB"/>
        </w:rPr>
        <w:t xml:space="preserve">Allocation of this to specific programmes was approved by </w:t>
      </w:r>
      <w:r w:rsidRPr="000A7F62">
        <w:rPr>
          <w:rFonts w:ascii="Verdana" w:hAnsi="Verdana" w:cs="Times New Roman"/>
          <w:sz w:val="24"/>
          <w:szCs w:val="24"/>
          <w:lang w:eastAsia="en-GB"/>
        </w:rPr>
        <w:t>Business Executive Team</w:t>
      </w:r>
      <w:r w:rsidR="00163E3F" w:rsidRPr="000A7F62">
        <w:rPr>
          <w:rFonts w:ascii="Verdana" w:hAnsi="Verdana" w:cs="Times New Roman"/>
          <w:sz w:val="24"/>
          <w:szCs w:val="24"/>
          <w:lang w:eastAsia="en-GB"/>
        </w:rPr>
        <w:t xml:space="preserve"> in July 2020. A</w:t>
      </w:r>
      <w:r w:rsidR="00D564E5" w:rsidRPr="000A7F62">
        <w:rPr>
          <w:rFonts w:ascii="Verdana" w:hAnsi="Verdana" w:cs="Times New Roman"/>
          <w:sz w:val="24"/>
          <w:szCs w:val="24"/>
          <w:lang w:eastAsia="en-GB"/>
        </w:rPr>
        <w:t>n</w:t>
      </w:r>
      <w:r w:rsidR="00294380">
        <w:rPr>
          <w:rFonts w:ascii="Verdana" w:hAnsi="Verdana" w:cs="Times New Roman"/>
          <w:sz w:val="24"/>
          <w:szCs w:val="24"/>
          <w:lang w:eastAsia="en-GB"/>
        </w:rPr>
        <w:t xml:space="preserve"> updated Capital paper was </w:t>
      </w:r>
      <w:r w:rsidR="00D564E5" w:rsidRPr="000A7F62">
        <w:rPr>
          <w:rFonts w:ascii="Verdana" w:hAnsi="Verdana" w:cs="Times New Roman"/>
          <w:sz w:val="24"/>
          <w:szCs w:val="24"/>
          <w:lang w:eastAsia="en-GB"/>
        </w:rPr>
        <w:t>submitted to</w:t>
      </w:r>
      <w:r w:rsidR="00163E3F" w:rsidRPr="000A7F62">
        <w:rPr>
          <w:rFonts w:ascii="Verdana" w:hAnsi="Verdana" w:cs="Times New Roman"/>
          <w:sz w:val="24"/>
          <w:szCs w:val="24"/>
          <w:lang w:eastAsia="en-GB"/>
        </w:rPr>
        <w:t xml:space="preserve"> the</w:t>
      </w:r>
      <w:r w:rsidR="00D564E5" w:rsidRPr="000A7F62">
        <w:rPr>
          <w:rFonts w:ascii="Verdana" w:hAnsi="Verdana" w:cs="Times New Roman"/>
          <w:sz w:val="24"/>
          <w:szCs w:val="24"/>
          <w:lang w:eastAsia="en-GB"/>
        </w:rPr>
        <w:t xml:space="preserve"> Business Executive</w:t>
      </w:r>
      <w:r w:rsidR="00163E3F" w:rsidRPr="000A7F62">
        <w:rPr>
          <w:rFonts w:ascii="Verdana" w:hAnsi="Verdana" w:cs="Times New Roman"/>
          <w:sz w:val="24"/>
          <w:szCs w:val="24"/>
          <w:lang w:eastAsia="en-GB"/>
        </w:rPr>
        <w:t xml:space="preserve"> on the</w:t>
      </w:r>
      <w:r w:rsidR="00D564E5" w:rsidRPr="000A7F62">
        <w:rPr>
          <w:rFonts w:ascii="Verdana" w:hAnsi="Verdana" w:cs="Times New Roman"/>
          <w:sz w:val="24"/>
          <w:szCs w:val="24"/>
          <w:lang w:eastAsia="en-GB"/>
        </w:rPr>
        <w:t xml:space="preserve"> </w:t>
      </w:r>
      <w:r w:rsidR="00163E3F" w:rsidRPr="000A7F62">
        <w:rPr>
          <w:rFonts w:ascii="Verdana" w:hAnsi="Verdana" w:cs="Times New Roman"/>
          <w:sz w:val="24"/>
          <w:szCs w:val="24"/>
          <w:lang w:eastAsia="en-GB"/>
        </w:rPr>
        <w:t>15</w:t>
      </w:r>
      <w:r w:rsidR="00294380">
        <w:rPr>
          <w:rFonts w:ascii="Verdana" w:hAnsi="Verdana" w:cs="Times New Roman"/>
          <w:sz w:val="24"/>
          <w:szCs w:val="24"/>
          <w:lang w:eastAsia="en-GB"/>
        </w:rPr>
        <w:t xml:space="preserve"> December 2020, </w:t>
      </w:r>
      <w:r w:rsidR="00A230E0">
        <w:rPr>
          <w:rFonts w:ascii="Verdana" w:hAnsi="Verdana" w:cs="Times New Roman"/>
          <w:sz w:val="24"/>
          <w:szCs w:val="24"/>
          <w:lang w:eastAsia="en-GB"/>
        </w:rPr>
        <w:t>where approval was given for additional capital schemes and which are reflected in the table above.</w:t>
      </w:r>
    </w:p>
    <w:p w14:paraId="3F1E23E6" w14:textId="77777777" w:rsidR="00A65C16" w:rsidRPr="00294380" w:rsidRDefault="00587F86" w:rsidP="00734CA8">
      <w:pPr>
        <w:jc w:val="both"/>
        <w:rPr>
          <w:rFonts w:ascii="Verdana" w:hAnsi="Verdana" w:cs="Times New Roman"/>
          <w:sz w:val="24"/>
          <w:szCs w:val="24"/>
          <w:lang w:eastAsia="en-GB"/>
        </w:rPr>
      </w:pPr>
      <w:r w:rsidRPr="00294380">
        <w:rPr>
          <w:rFonts w:ascii="Verdana" w:hAnsi="Verdana" w:cs="Times New Roman"/>
          <w:sz w:val="24"/>
          <w:szCs w:val="24"/>
          <w:lang w:eastAsia="en-GB"/>
        </w:rPr>
        <w:lastRenderedPageBreak/>
        <w:t xml:space="preserve">PHW </w:t>
      </w:r>
      <w:r w:rsidR="00FF7411" w:rsidRPr="00294380">
        <w:rPr>
          <w:rFonts w:ascii="Verdana" w:hAnsi="Verdana" w:cs="Times New Roman"/>
          <w:sz w:val="24"/>
          <w:szCs w:val="24"/>
          <w:lang w:eastAsia="en-GB"/>
        </w:rPr>
        <w:t>Strategic</w:t>
      </w:r>
      <w:r w:rsidRPr="00294380">
        <w:rPr>
          <w:rFonts w:ascii="Verdana" w:hAnsi="Verdana" w:cs="Times New Roman"/>
          <w:sz w:val="24"/>
          <w:szCs w:val="24"/>
          <w:lang w:eastAsia="en-GB"/>
        </w:rPr>
        <w:t xml:space="preserve"> allocation for 20/21 of </w:t>
      </w:r>
      <w:r w:rsidR="00FF7411" w:rsidRPr="00294380">
        <w:rPr>
          <w:rFonts w:ascii="Verdana" w:hAnsi="Verdana" w:cs="Times New Roman"/>
          <w:sz w:val="24"/>
          <w:szCs w:val="24"/>
          <w:lang w:eastAsia="en-GB"/>
        </w:rPr>
        <w:t>£</w:t>
      </w:r>
      <w:r w:rsidR="0071696B" w:rsidRPr="00294380">
        <w:rPr>
          <w:rFonts w:ascii="Verdana" w:hAnsi="Verdana" w:cs="Times New Roman"/>
          <w:sz w:val="24"/>
          <w:szCs w:val="24"/>
          <w:lang w:eastAsia="en-GB"/>
        </w:rPr>
        <w:t>10.223</w:t>
      </w:r>
      <w:r w:rsidR="00734CA8" w:rsidRPr="00294380">
        <w:rPr>
          <w:rFonts w:ascii="Verdana" w:hAnsi="Verdana" w:cs="Times New Roman"/>
          <w:sz w:val="24"/>
          <w:szCs w:val="24"/>
          <w:lang w:eastAsia="en-GB"/>
        </w:rPr>
        <w:t>m</w:t>
      </w:r>
      <w:r w:rsidR="00294380">
        <w:rPr>
          <w:rFonts w:ascii="Verdana" w:hAnsi="Verdana" w:cs="Times New Roman"/>
          <w:sz w:val="24"/>
          <w:szCs w:val="24"/>
          <w:lang w:eastAsia="en-GB"/>
        </w:rPr>
        <w:t xml:space="preserve"> </w:t>
      </w:r>
      <w:r w:rsidRPr="00294380">
        <w:rPr>
          <w:rFonts w:ascii="Verdana" w:hAnsi="Verdana" w:cs="Times New Roman"/>
          <w:sz w:val="24"/>
          <w:szCs w:val="24"/>
          <w:lang w:eastAsia="en-GB"/>
        </w:rPr>
        <w:t xml:space="preserve">is </w:t>
      </w:r>
      <w:r w:rsidR="00A65C16" w:rsidRPr="00294380">
        <w:rPr>
          <w:rFonts w:ascii="Verdana" w:hAnsi="Verdana" w:cs="Times New Roman"/>
          <w:sz w:val="24"/>
          <w:szCs w:val="24"/>
          <w:lang w:eastAsia="en-GB"/>
        </w:rPr>
        <w:t>predominantly driven</w:t>
      </w:r>
      <w:r w:rsidRPr="00294380">
        <w:rPr>
          <w:rFonts w:ascii="Verdana" w:hAnsi="Verdana" w:cs="Times New Roman"/>
          <w:sz w:val="24"/>
          <w:szCs w:val="24"/>
          <w:lang w:eastAsia="en-GB"/>
        </w:rPr>
        <w:t xml:space="preserve"> by the response to</w:t>
      </w:r>
      <w:r w:rsidR="00FF7411" w:rsidRPr="00294380">
        <w:rPr>
          <w:rFonts w:ascii="Verdana" w:hAnsi="Verdana" w:cs="Times New Roman"/>
          <w:sz w:val="24"/>
          <w:szCs w:val="24"/>
          <w:lang w:eastAsia="en-GB"/>
        </w:rPr>
        <w:t xml:space="preserve"> COVID-19</w:t>
      </w:r>
      <w:r w:rsidR="00734CA8" w:rsidRPr="00294380">
        <w:rPr>
          <w:rFonts w:ascii="Verdana" w:hAnsi="Verdana" w:cs="Times New Roman"/>
          <w:sz w:val="24"/>
          <w:szCs w:val="24"/>
          <w:lang w:eastAsia="en-GB"/>
        </w:rPr>
        <w:t>.</w:t>
      </w:r>
      <w:r w:rsidRPr="00294380">
        <w:rPr>
          <w:rFonts w:ascii="Verdana" w:hAnsi="Verdana" w:cs="Times New Roman"/>
          <w:sz w:val="24"/>
          <w:szCs w:val="24"/>
          <w:lang w:eastAsia="en-GB"/>
        </w:rPr>
        <w:t xml:space="preserve"> </w:t>
      </w:r>
    </w:p>
    <w:p w14:paraId="0253FBBC" w14:textId="77777777" w:rsidR="00A65C16" w:rsidRDefault="00294380" w:rsidP="00734CA8">
      <w:pPr>
        <w:jc w:val="both"/>
        <w:rPr>
          <w:rFonts w:ascii="Verdana" w:hAnsi="Verdana"/>
          <w:sz w:val="24"/>
          <w:szCs w:val="24"/>
        </w:rPr>
      </w:pPr>
      <w:r w:rsidRPr="00294380">
        <w:rPr>
          <w:rFonts w:ascii="Verdana" w:hAnsi="Verdana"/>
          <w:sz w:val="24"/>
          <w:szCs w:val="24"/>
        </w:rPr>
        <w:t>Of the £4.676</w:t>
      </w:r>
      <w:r w:rsidR="00734CA8" w:rsidRPr="00294380">
        <w:rPr>
          <w:rFonts w:ascii="Verdana" w:hAnsi="Verdana"/>
          <w:sz w:val="24"/>
          <w:szCs w:val="24"/>
        </w:rPr>
        <w:t>m YTD capital expenditure for PHW laboratory capac</w:t>
      </w:r>
      <w:r w:rsidR="00C20909" w:rsidRPr="00294380">
        <w:rPr>
          <w:rFonts w:ascii="Verdana" w:hAnsi="Verdana"/>
          <w:sz w:val="24"/>
          <w:szCs w:val="24"/>
        </w:rPr>
        <w:t>ity at Imperial Par</w:t>
      </w:r>
      <w:r w:rsidRPr="00294380">
        <w:rPr>
          <w:rFonts w:ascii="Verdana" w:hAnsi="Verdana"/>
          <w:sz w:val="24"/>
          <w:szCs w:val="24"/>
        </w:rPr>
        <w:t xml:space="preserve">k 5 </w:t>
      </w:r>
      <w:r w:rsidR="00590C4F" w:rsidRPr="00590C4F">
        <w:rPr>
          <w:rFonts w:ascii="Verdana" w:hAnsi="Verdana"/>
          <w:sz w:val="24"/>
          <w:szCs w:val="24"/>
        </w:rPr>
        <w:t>£0.826</w:t>
      </w:r>
      <w:r w:rsidR="0071696B" w:rsidRPr="00590C4F">
        <w:rPr>
          <w:rFonts w:ascii="Verdana" w:hAnsi="Verdana"/>
          <w:sz w:val="24"/>
          <w:szCs w:val="24"/>
        </w:rPr>
        <w:t>m</w:t>
      </w:r>
      <w:r w:rsidR="0071696B" w:rsidRPr="00294380">
        <w:rPr>
          <w:rFonts w:ascii="Verdana" w:hAnsi="Verdana"/>
          <w:sz w:val="24"/>
          <w:szCs w:val="24"/>
        </w:rPr>
        <w:t xml:space="preserve"> </w:t>
      </w:r>
      <w:r w:rsidR="00734CA8" w:rsidRPr="00294380">
        <w:rPr>
          <w:rFonts w:ascii="Verdana" w:hAnsi="Verdana"/>
          <w:sz w:val="24"/>
          <w:szCs w:val="24"/>
        </w:rPr>
        <w:t xml:space="preserve">reflects the spending on the original laboratory built at Imperial Park </w:t>
      </w:r>
      <w:r w:rsidR="00C34119" w:rsidRPr="00294380">
        <w:rPr>
          <w:rFonts w:ascii="Verdana" w:hAnsi="Verdana"/>
          <w:sz w:val="24"/>
          <w:szCs w:val="24"/>
        </w:rPr>
        <w:t>5, which</w:t>
      </w:r>
      <w:r w:rsidR="00734CA8" w:rsidRPr="00294380">
        <w:rPr>
          <w:rFonts w:ascii="Verdana" w:hAnsi="Verdana"/>
          <w:sz w:val="24"/>
          <w:szCs w:val="24"/>
        </w:rPr>
        <w:t xml:space="preserve"> has now transferred to DHSC. </w:t>
      </w:r>
      <w:r w:rsidR="00D274F8" w:rsidRPr="00294380">
        <w:rPr>
          <w:rFonts w:ascii="Verdana" w:hAnsi="Verdana"/>
          <w:sz w:val="24"/>
          <w:szCs w:val="24"/>
        </w:rPr>
        <w:t>These costs will be recovered from</w:t>
      </w:r>
      <w:r w:rsidR="00734CA8" w:rsidRPr="00294380">
        <w:rPr>
          <w:rFonts w:ascii="Verdana" w:hAnsi="Verdana"/>
          <w:sz w:val="24"/>
          <w:szCs w:val="24"/>
        </w:rPr>
        <w:t xml:space="preserve"> DHSC</w:t>
      </w:r>
      <w:r w:rsidR="007F611C" w:rsidRPr="00294380">
        <w:rPr>
          <w:rFonts w:ascii="Verdana" w:hAnsi="Verdana"/>
          <w:sz w:val="24"/>
          <w:szCs w:val="24"/>
        </w:rPr>
        <w:t xml:space="preserve">. </w:t>
      </w:r>
    </w:p>
    <w:p w14:paraId="6AED1238" w14:textId="77777777" w:rsidR="00294380" w:rsidRPr="00294380" w:rsidRDefault="00294380" w:rsidP="00734CA8">
      <w:pPr>
        <w:jc w:val="both"/>
        <w:rPr>
          <w:rFonts w:ascii="Verdana" w:hAnsi="Verdana"/>
          <w:sz w:val="24"/>
          <w:szCs w:val="24"/>
        </w:rPr>
      </w:pPr>
      <w:r w:rsidRPr="00A230E0">
        <w:rPr>
          <w:rFonts w:ascii="Verdana" w:hAnsi="Verdana"/>
          <w:sz w:val="24"/>
          <w:szCs w:val="24"/>
        </w:rPr>
        <w:t>A grant has been awarded by Public Health England relating to additional genome sequencing during the winter months, £0.026m of which will be used to purchase capital items.</w:t>
      </w:r>
    </w:p>
    <w:p w14:paraId="23E0CDA8" w14:textId="77777777" w:rsidR="00D407ED" w:rsidRPr="005F3065" w:rsidRDefault="00D407ED" w:rsidP="00734CA8">
      <w:pPr>
        <w:jc w:val="both"/>
        <w:rPr>
          <w:rFonts w:ascii="Verdana" w:hAnsi="Verdana"/>
          <w:sz w:val="24"/>
          <w:szCs w:val="24"/>
          <w:highlight w:val="magenta"/>
        </w:rPr>
      </w:pPr>
    </w:p>
    <w:p w14:paraId="023E7263" w14:textId="77777777" w:rsidR="00734CA8" w:rsidRPr="007467ED" w:rsidRDefault="00A470E5" w:rsidP="00A470E5">
      <w:pPr>
        <w:pStyle w:val="ListParagraph"/>
        <w:numPr>
          <w:ilvl w:val="0"/>
          <w:numId w:val="10"/>
        </w:numPr>
        <w:jc w:val="both"/>
        <w:rPr>
          <w:rFonts w:ascii="Verdana" w:hAnsi="Verdana"/>
          <w:b/>
          <w:u w:val="single"/>
        </w:rPr>
      </w:pPr>
      <w:r w:rsidRPr="007467ED">
        <w:rPr>
          <w:rFonts w:ascii="Verdana" w:hAnsi="Verdana"/>
          <w:b/>
          <w:u w:val="single"/>
        </w:rPr>
        <w:t>Balance Sheet</w:t>
      </w:r>
    </w:p>
    <w:p w14:paraId="30B6F6F7" w14:textId="77777777" w:rsidR="00A470E5" w:rsidRPr="007467ED" w:rsidRDefault="00A470E5" w:rsidP="00A470E5">
      <w:pPr>
        <w:pStyle w:val="ListParagraph"/>
        <w:ind w:left="360"/>
        <w:jc w:val="both"/>
        <w:rPr>
          <w:rFonts w:ascii="Verdana" w:hAnsi="Verdana"/>
          <w:b/>
          <w:u w:val="single"/>
        </w:rPr>
      </w:pPr>
    </w:p>
    <w:p w14:paraId="762D21A5" w14:textId="77777777" w:rsidR="00A470E5" w:rsidRPr="007467ED" w:rsidRDefault="00A470E5" w:rsidP="00796A68">
      <w:pPr>
        <w:spacing w:after="0" w:line="240" w:lineRule="auto"/>
        <w:jc w:val="both"/>
        <w:rPr>
          <w:rFonts w:ascii="Verdana" w:hAnsi="Verdana"/>
          <w:sz w:val="24"/>
          <w:szCs w:val="24"/>
          <w:lang w:eastAsia="en-GB"/>
        </w:rPr>
      </w:pPr>
      <w:r w:rsidRPr="007467ED">
        <w:rPr>
          <w:rFonts w:ascii="Verdana" w:hAnsi="Verdana"/>
          <w:sz w:val="24"/>
          <w:szCs w:val="24"/>
          <w:lang w:eastAsia="en-GB"/>
        </w:rPr>
        <w:t xml:space="preserve">The Balance Sheet, or Statement of Financial Position, reports the assets, liabilities and reserves of the organisation at a specific point in time. </w:t>
      </w:r>
      <w:r w:rsidR="007F611C" w:rsidRPr="007467ED">
        <w:rPr>
          <w:rFonts w:ascii="Verdana" w:hAnsi="Verdana"/>
          <w:sz w:val="24"/>
          <w:szCs w:val="24"/>
          <w:lang w:eastAsia="en-GB"/>
        </w:rPr>
        <w:t xml:space="preserve">Table E provides a summary as at </w:t>
      </w:r>
      <w:r w:rsidR="00ED2B2D">
        <w:rPr>
          <w:rFonts w:ascii="Verdana" w:hAnsi="Verdana"/>
          <w:sz w:val="24"/>
          <w:szCs w:val="24"/>
          <w:lang w:eastAsia="en-GB"/>
        </w:rPr>
        <w:t>31</w:t>
      </w:r>
      <w:r w:rsidR="00ED2B2D" w:rsidRPr="00ED2B2D">
        <w:rPr>
          <w:rFonts w:ascii="Verdana" w:hAnsi="Verdana"/>
          <w:sz w:val="24"/>
          <w:szCs w:val="24"/>
          <w:vertAlign w:val="superscript"/>
          <w:lang w:eastAsia="en-GB"/>
        </w:rPr>
        <w:t>st</w:t>
      </w:r>
      <w:r w:rsidR="00ED2B2D">
        <w:rPr>
          <w:rFonts w:ascii="Verdana" w:hAnsi="Verdana"/>
          <w:sz w:val="24"/>
          <w:szCs w:val="24"/>
          <w:lang w:eastAsia="en-GB"/>
        </w:rPr>
        <w:t xml:space="preserve"> December</w:t>
      </w:r>
      <w:r w:rsidR="007F611C" w:rsidRPr="007467ED">
        <w:rPr>
          <w:rFonts w:ascii="Verdana" w:hAnsi="Verdana"/>
          <w:sz w:val="24"/>
          <w:szCs w:val="24"/>
          <w:lang w:eastAsia="en-GB"/>
        </w:rPr>
        <w:t xml:space="preserve"> 2020.</w:t>
      </w:r>
    </w:p>
    <w:p w14:paraId="3C70A576" w14:textId="77777777" w:rsidR="00A470E5" w:rsidRPr="007467ED" w:rsidRDefault="00A470E5" w:rsidP="00A470E5">
      <w:pPr>
        <w:pStyle w:val="ListParagraph"/>
        <w:ind w:left="360"/>
        <w:jc w:val="both"/>
        <w:rPr>
          <w:rFonts w:ascii="Verdana" w:hAnsi="Verdana"/>
          <w:b/>
          <w:u w:val="single"/>
        </w:rPr>
      </w:pPr>
    </w:p>
    <w:p w14:paraId="488876B5" w14:textId="77777777" w:rsidR="007F611C" w:rsidRPr="007467ED" w:rsidRDefault="007F611C" w:rsidP="00A470E5">
      <w:pPr>
        <w:pStyle w:val="ListParagraph"/>
        <w:ind w:left="360"/>
        <w:jc w:val="both"/>
        <w:rPr>
          <w:rFonts w:ascii="Verdana" w:hAnsi="Verdana"/>
          <w:b/>
        </w:rPr>
      </w:pPr>
    </w:p>
    <w:p w14:paraId="363EEB9A" w14:textId="77777777" w:rsidR="007F611C" w:rsidRPr="007467ED" w:rsidRDefault="007F611C" w:rsidP="007F611C">
      <w:pPr>
        <w:pStyle w:val="ListParagraph"/>
        <w:ind w:left="0"/>
        <w:jc w:val="both"/>
        <w:rPr>
          <w:rFonts w:ascii="Verdana" w:hAnsi="Verdana"/>
          <w:b/>
        </w:rPr>
      </w:pPr>
      <w:r w:rsidRPr="007467ED">
        <w:rPr>
          <w:rFonts w:ascii="Verdana" w:hAnsi="Verdana"/>
          <w:b/>
        </w:rPr>
        <w:t xml:space="preserve">Table E – Balance Sheet as at </w:t>
      </w:r>
      <w:r w:rsidR="007467ED">
        <w:rPr>
          <w:rFonts w:ascii="Verdana" w:hAnsi="Verdana"/>
          <w:b/>
        </w:rPr>
        <w:t>31</w:t>
      </w:r>
      <w:r w:rsidR="007467ED" w:rsidRPr="007467ED">
        <w:rPr>
          <w:rFonts w:ascii="Verdana" w:hAnsi="Verdana"/>
          <w:b/>
          <w:vertAlign w:val="superscript"/>
        </w:rPr>
        <w:t>st</w:t>
      </w:r>
      <w:r w:rsidR="007467ED">
        <w:rPr>
          <w:rFonts w:ascii="Verdana" w:hAnsi="Verdana"/>
          <w:b/>
        </w:rPr>
        <w:t xml:space="preserve"> December</w:t>
      </w:r>
      <w:r w:rsidRPr="007467ED">
        <w:rPr>
          <w:rFonts w:ascii="Verdana" w:hAnsi="Verdana"/>
          <w:b/>
        </w:rPr>
        <w:t xml:space="preserve"> 2020</w:t>
      </w:r>
    </w:p>
    <w:p w14:paraId="26E1315D" w14:textId="77777777" w:rsidR="007F611C" w:rsidRPr="005F3065" w:rsidRDefault="007F611C" w:rsidP="00A470E5">
      <w:pPr>
        <w:pStyle w:val="ListParagraph"/>
        <w:ind w:left="360"/>
        <w:jc w:val="both"/>
        <w:rPr>
          <w:rFonts w:ascii="Verdana" w:hAnsi="Verdana"/>
          <w:b/>
          <w:highlight w:val="magenta"/>
          <w:u w:val="single"/>
        </w:rPr>
      </w:pPr>
    </w:p>
    <w:tbl>
      <w:tblPr>
        <w:tblW w:w="5000" w:type="pct"/>
        <w:tblLook w:val="04A0" w:firstRow="1" w:lastRow="0" w:firstColumn="1" w:lastColumn="0" w:noHBand="0" w:noVBand="1"/>
      </w:tblPr>
      <w:tblGrid>
        <w:gridCol w:w="5037"/>
        <w:gridCol w:w="1327"/>
        <w:gridCol w:w="1327"/>
        <w:gridCol w:w="1325"/>
      </w:tblGrid>
      <w:tr w:rsidR="003D7111" w:rsidRPr="005F3065" w14:paraId="07BDFF55" w14:textId="77777777" w:rsidTr="007467ED">
        <w:trPr>
          <w:trHeight w:val="816"/>
        </w:trPr>
        <w:tc>
          <w:tcPr>
            <w:tcW w:w="2793" w:type="pct"/>
            <w:tcBorders>
              <w:top w:val="dotted" w:sz="4" w:space="0" w:color="5B9BD5"/>
              <w:left w:val="dotted" w:sz="4" w:space="0" w:color="5B9BD5"/>
              <w:bottom w:val="dotted" w:sz="4" w:space="0" w:color="5B9BD5"/>
              <w:right w:val="dotted" w:sz="4" w:space="0" w:color="5B9BD5"/>
            </w:tcBorders>
            <w:shd w:val="clear" w:color="000000" w:fill="5B9BD5"/>
            <w:noWrap/>
            <w:vAlign w:val="center"/>
            <w:hideMark/>
          </w:tcPr>
          <w:p w14:paraId="282F7C07" w14:textId="77777777" w:rsidR="003D7111" w:rsidRPr="005F3065" w:rsidRDefault="003D7111" w:rsidP="003D7111">
            <w:pPr>
              <w:spacing w:after="0" w:line="240" w:lineRule="auto"/>
              <w:rPr>
                <w:rFonts w:ascii="Verdana" w:eastAsia="Times New Roman" w:hAnsi="Verdana" w:cs="Arial"/>
                <w:b/>
                <w:bCs/>
                <w:color w:val="FFFFFF"/>
                <w:sz w:val="16"/>
                <w:szCs w:val="16"/>
                <w:highlight w:val="magenta"/>
                <w:lang w:eastAsia="en-GB"/>
              </w:rPr>
            </w:pPr>
            <w:r w:rsidRPr="007467ED">
              <w:rPr>
                <w:rFonts w:ascii="Verdana" w:eastAsia="Times New Roman" w:hAnsi="Verdana" w:cs="Arial"/>
                <w:b/>
                <w:bCs/>
                <w:color w:val="FFFFFF"/>
                <w:sz w:val="16"/>
                <w:szCs w:val="16"/>
                <w:lang w:eastAsia="en-GB"/>
              </w:rPr>
              <w:t>`</w:t>
            </w:r>
          </w:p>
        </w:tc>
        <w:tc>
          <w:tcPr>
            <w:tcW w:w="736" w:type="pct"/>
            <w:tcBorders>
              <w:top w:val="dotted" w:sz="4" w:space="0" w:color="5B9BD5"/>
              <w:left w:val="nil"/>
              <w:bottom w:val="dotted" w:sz="4" w:space="0" w:color="5B9BD5"/>
              <w:right w:val="dotted" w:sz="4" w:space="0" w:color="5B9BD5"/>
            </w:tcBorders>
            <w:shd w:val="clear" w:color="000000" w:fill="5B9BD5"/>
            <w:vAlign w:val="center"/>
            <w:hideMark/>
          </w:tcPr>
          <w:p w14:paraId="40B5D7B5" w14:textId="77777777" w:rsidR="003D7111" w:rsidRPr="007467ED" w:rsidRDefault="003D7111" w:rsidP="003D7111">
            <w:pPr>
              <w:spacing w:after="0" w:line="240" w:lineRule="auto"/>
              <w:jc w:val="center"/>
              <w:rPr>
                <w:rFonts w:ascii="Verdana" w:eastAsia="Times New Roman" w:hAnsi="Verdana" w:cs="Arial"/>
                <w:b/>
                <w:bCs/>
                <w:color w:val="FFFFFF"/>
                <w:sz w:val="16"/>
                <w:szCs w:val="16"/>
                <w:lang w:eastAsia="en-GB"/>
              </w:rPr>
            </w:pPr>
            <w:r w:rsidRPr="007467ED">
              <w:rPr>
                <w:rFonts w:ascii="Verdana" w:eastAsia="Times New Roman" w:hAnsi="Verdana" w:cs="Arial"/>
                <w:b/>
                <w:bCs/>
                <w:color w:val="FFFFFF"/>
                <w:sz w:val="16"/>
                <w:szCs w:val="16"/>
                <w:lang w:eastAsia="en-GB"/>
              </w:rPr>
              <w:t>Opening Balance 1/4/2020 £000s</w:t>
            </w:r>
          </w:p>
        </w:tc>
        <w:tc>
          <w:tcPr>
            <w:tcW w:w="736" w:type="pct"/>
            <w:tcBorders>
              <w:top w:val="dotted" w:sz="4" w:space="0" w:color="5B9BD5"/>
              <w:left w:val="nil"/>
              <w:bottom w:val="dotted" w:sz="4" w:space="0" w:color="5B9BD5"/>
              <w:right w:val="dotted" w:sz="4" w:space="0" w:color="5B9BD5"/>
            </w:tcBorders>
            <w:shd w:val="clear" w:color="000000" w:fill="5B9BD5"/>
            <w:vAlign w:val="center"/>
            <w:hideMark/>
          </w:tcPr>
          <w:p w14:paraId="1B211951" w14:textId="77777777" w:rsidR="003D7111" w:rsidRPr="007467ED" w:rsidRDefault="003D7111" w:rsidP="003D7111">
            <w:pPr>
              <w:spacing w:after="0" w:line="240" w:lineRule="auto"/>
              <w:jc w:val="center"/>
              <w:rPr>
                <w:rFonts w:ascii="Verdana" w:eastAsia="Times New Roman" w:hAnsi="Verdana" w:cs="Arial"/>
                <w:b/>
                <w:bCs/>
                <w:color w:val="FFFFFF"/>
                <w:sz w:val="16"/>
                <w:szCs w:val="16"/>
                <w:lang w:eastAsia="en-GB"/>
              </w:rPr>
            </w:pPr>
            <w:r w:rsidRPr="007467ED">
              <w:rPr>
                <w:rFonts w:ascii="Verdana" w:eastAsia="Times New Roman" w:hAnsi="Verdana" w:cs="Arial"/>
                <w:b/>
                <w:bCs/>
                <w:color w:val="FFFFFF"/>
                <w:sz w:val="16"/>
                <w:szCs w:val="16"/>
                <w:lang w:eastAsia="en-GB"/>
              </w:rPr>
              <w:t>Movement £000s</w:t>
            </w:r>
          </w:p>
        </w:tc>
        <w:tc>
          <w:tcPr>
            <w:tcW w:w="735" w:type="pct"/>
            <w:tcBorders>
              <w:top w:val="dotted" w:sz="4" w:space="0" w:color="5B9BD5"/>
              <w:left w:val="nil"/>
              <w:bottom w:val="dotted" w:sz="4" w:space="0" w:color="5B9BD5"/>
              <w:right w:val="dotted" w:sz="4" w:space="0" w:color="5B9BD5"/>
            </w:tcBorders>
            <w:shd w:val="clear" w:color="000000" w:fill="5B9BD5"/>
            <w:vAlign w:val="center"/>
            <w:hideMark/>
          </w:tcPr>
          <w:p w14:paraId="5FD4F4BE" w14:textId="77777777" w:rsidR="003D7111" w:rsidRPr="007467ED" w:rsidRDefault="003D7111" w:rsidP="007467ED">
            <w:pPr>
              <w:spacing w:after="0" w:line="240" w:lineRule="auto"/>
              <w:jc w:val="center"/>
              <w:rPr>
                <w:rFonts w:ascii="Verdana" w:eastAsia="Times New Roman" w:hAnsi="Verdana" w:cs="Arial"/>
                <w:b/>
                <w:bCs/>
                <w:color w:val="FFFFFF"/>
                <w:sz w:val="16"/>
                <w:szCs w:val="16"/>
                <w:lang w:eastAsia="en-GB"/>
              </w:rPr>
            </w:pPr>
            <w:r w:rsidRPr="007467ED">
              <w:rPr>
                <w:rFonts w:ascii="Verdana" w:eastAsia="Times New Roman" w:hAnsi="Verdana" w:cs="Arial"/>
                <w:b/>
                <w:bCs/>
                <w:color w:val="FFFFFF"/>
                <w:sz w:val="16"/>
                <w:szCs w:val="16"/>
                <w:lang w:eastAsia="en-GB"/>
              </w:rPr>
              <w:t xml:space="preserve">Closing Balance </w:t>
            </w:r>
            <w:r w:rsidR="00193D10" w:rsidRPr="007467ED">
              <w:rPr>
                <w:rFonts w:ascii="Verdana" w:eastAsia="Times New Roman" w:hAnsi="Verdana" w:cs="Arial"/>
                <w:b/>
                <w:bCs/>
                <w:color w:val="FFFFFF"/>
                <w:sz w:val="16"/>
                <w:szCs w:val="16"/>
                <w:lang w:eastAsia="en-GB"/>
              </w:rPr>
              <w:t>3</w:t>
            </w:r>
            <w:r w:rsidR="007467ED">
              <w:rPr>
                <w:rFonts w:ascii="Verdana" w:eastAsia="Times New Roman" w:hAnsi="Verdana" w:cs="Arial"/>
                <w:b/>
                <w:bCs/>
                <w:color w:val="FFFFFF"/>
                <w:sz w:val="16"/>
                <w:szCs w:val="16"/>
                <w:lang w:eastAsia="en-GB"/>
              </w:rPr>
              <w:t>1/12</w:t>
            </w:r>
            <w:r w:rsidRPr="007467ED">
              <w:rPr>
                <w:rFonts w:ascii="Verdana" w:eastAsia="Times New Roman" w:hAnsi="Verdana" w:cs="Arial"/>
                <w:b/>
                <w:bCs/>
                <w:color w:val="FFFFFF"/>
                <w:sz w:val="16"/>
                <w:szCs w:val="16"/>
                <w:lang w:eastAsia="en-GB"/>
              </w:rPr>
              <w:t>/20  £000s</w:t>
            </w:r>
          </w:p>
        </w:tc>
      </w:tr>
      <w:tr w:rsidR="003D7111" w:rsidRPr="005F3065" w14:paraId="65DD5407"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1EF91F58" w14:textId="77777777" w:rsidR="003D7111" w:rsidRPr="007467ED" w:rsidRDefault="003D7111" w:rsidP="003D7111">
            <w:pPr>
              <w:spacing w:after="0" w:line="240" w:lineRule="auto"/>
              <w:rPr>
                <w:rFonts w:ascii="Verdana" w:eastAsia="Times New Roman" w:hAnsi="Verdana" w:cs="Arial"/>
                <w:b/>
                <w:bCs/>
                <w:color w:val="000000"/>
                <w:sz w:val="16"/>
                <w:szCs w:val="16"/>
                <w:lang w:eastAsia="en-GB"/>
              </w:rPr>
            </w:pPr>
            <w:r w:rsidRPr="007467ED">
              <w:rPr>
                <w:rFonts w:ascii="Verdana" w:eastAsia="Times New Roman" w:hAnsi="Verdana" w:cs="Arial"/>
                <w:b/>
                <w:bCs/>
                <w:color w:val="000000"/>
                <w:sz w:val="16"/>
                <w:szCs w:val="16"/>
                <w:lang w:eastAsia="en-GB"/>
              </w:rPr>
              <w:t> </w:t>
            </w:r>
          </w:p>
        </w:tc>
        <w:tc>
          <w:tcPr>
            <w:tcW w:w="736" w:type="pct"/>
            <w:tcBorders>
              <w:top w:val="nil"/>
              <w:left w:val="nil"/>
              <w:bottom w:val="dotted" w:sz="4" w:space="0" w:color="5B9BD5"/>
              <w:right w:val="nil"/>
            </w:tcBorders>
            <w:shd w:val="clear" w:color="auto" w:fill="auto"/>
            <w:noWrap/>
            <w:vAlign w:val="center"/>
            <w:hideMark/>
          </w:tcPr>
          <w:p w14:paraId="5634470A" w14:textId="77777777" w:rsidR="003D7111" w:rsidRPr="007467ED" w:rsidRDefault="003D7111" w:rsidP="003D7111">
            <w:pPr>
              <w:spacing w:after="0" w:line="240" w:lineRule="auto"/>
              <w:rPr>
                <w:rFonts w:ascii="Verdana" w:eastAsia="Times New Roman" w:hAnsi="Verdana" w:cs="Arial"/>
                <w:b/>
                <w:bCs/>
                <w:color w:val="000000"/>
                <w:sz w:val="16"/>
                <w:szCs w:val="16"/>
                <w:lang w:eastAsia="en-GB"/>
              </w:rPr>
            </w:pPr>
            <w:r w:rsidRPr="007467ED">
              <w:rPr>
                <w:rFonts w:ascii="Verdana" w:eastAsia="Times New Roman" w:hAnsi="Verdana" w:cs="Arial"/>
                <w:b/>
                <w:bCs/>
                <w:color w:val="000000"/>
                <w:sz w:val="16"/>
                <w:szCs w:val="16"/>
                <w:lang w:eastAsia="en-GB"/>
              </w:rPr>
              <w:t> </w:t>
            </w:r>
          </w:p>
        </w:tc>
        <w:tc>
          <w:tcPr>
            <w:tcW w:w="736" w:type="pct"/>
            <w:tcBorders>
              <w:top w:val="nil"/>
              <w:left w:val="nil"/>
              <w:bottom w:val="dotted" w:sz="4" w:space="0" w:color="5B9BD5"/>
              <w:right w:val="nil"/>
            </w:tcBorders>
            <w:shd w:val="clear" w:color="auto" w:fill="auto"/>
            <w:noWrap/>
            <w:vAlign w:val="center"/>
            <w:hideMark/>
          </w:tcPr>
          <w:p w14:paraId="2E961CD5" w14:textId="77777777" w:rsidR="003D7111" w:rsidRPr="007467ED" w:rsidRDefault="003D7111" w:rsidP="003D7111">
            <w:pPr>
              <w:spacing w:after="0" w:line="240" w:lineRule="auto"/>
              <w:rPr>
                <w:rFonts w:ascii="Verdana" w:eastAsia="Times New Roman" w:hAnsi="Verdana" w:cs="Arial"/>
                <w:b/>
                <w:bCs/>
                <w:color w:val="000000"/>
                <w:sz w:val="16"/>
                <w:szCs w:val="16"/>
                <w:lang w:eastAsia="en-GB"/>
              </w:rPr>
            </w:pPr>
            <w:r w:rsidRPr="007467ED">
              <w:rPr>
                <w:rFonts w:ascii="Verdana" w:eastAsia="Times New Roman" w:hAnsi="Verdana" w:cs="Arial"/>
                <w:b/>
                <w:bCs/>
                <w:color w:val="000000"/>
                <w:sz w:val="16"/>
                <w:szCs w:val="16"/>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4FDCD4D2" w14:textId="77777777" w:rsidR="003D7111" w:rsidRPr="007467ED" w:rsidRDefault="003D7111" w:rsidP="003D7111">
            <w:pPr>
              <w:spacing w:after="0" w:line="240" w:lineRule="auto"/>
              <w:rPr>
                <w:rFonts w:ascii="Verdana" w:eastAsia="Times New Roman" w:hAnsi="Verdana" w:cs="Arial"/>
                <w:b/>
                <w:bCs/>
                <w:color w:val="000000"/>
                <w:sz w:val="16"/>
                <w:szCs w:val="16"/>
                <w:lang w:eastAsia="en-GB"/>
              </w:rPr>
            </w:pPr>
            <w:r w:rsidRPr="007467ED">
              <w:rPr>
                <w:rFonts w:ascii="Verdana" w:eastAsia="Times New Roman" w:hAnsi="Verdana" w:cs="Arial"/>
                <w:b/>
                <w:bCs/>
                <w:color w:val="000000"/>
                <w:sz w:val="16"/>
                <w:szCs w:val="16"/>
                <w:lang w:eastAsia="en-GB"/>
              </w:rPr>
              <w:t> </w:t>
            </w:r>
          </w:p>
        </w:tc>
      </w:tr>
      <w:tr w:rsidR="003D7111" w:rsidRPr="007467ED" w14:paraId="250A0611"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76ED8547" w14:textId="77777777" w:rsidR="003D7111" w:rsidRPr="007467ED" w:rsidRDefault="003D7111" w:rsidP="003D7111">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Non-Current Assets</w:t>
            </w:r>
          </w:p>
        </w:tc>
        <w:tc>
          <w:tcPr>
            <w:tcW w:w="736" w:type="pct"/>
            <w:tcBorders>
              <w:top w:val="nil"/>
              <w:left w:val="nil"/>
              <w:bottom w:val="dotted" w:sz="4" w:space="0" w:color="5B9BD5"/>
              <w:right w:val="dotted" w:sz="4" w:space="0" w:color="5B9BD5"/>
            </w:tcBorders>
            <w:shd w:val="clear" w:color="auto" w:fill="auto"/>
            <w:noWrap/>
            <w:vAlign w:val="center"/>
            <w:hideMark/>
          </w:tcPr>
          <w:p w14:paraId="111EF4D9" w14:textId="77777777" w:rsidR="003D7111" w:rsidRPr="007467ED" w:rsidRDefault="003D7111" w:rsidP="003D7111">
            <w:pPr>
              <w:spacing w:after="0" w:line="240" w:lineRule="auto"/>
              <w:jc w:val="center"/>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c>
          <w:tcPr>
            <w:tcW w:w="736" w:type="pct"/>
            <w:tcBorders>
              <w:top w:val="nil"/>
              <w:left w:val="nil"/>
              <w:bottom w:val="dotted" w:sz="4" w:space="0" w:color="5B9BD5"/>
              <w:right w:val="dotted" w:sz="4" w:space="0" w:color="5B9BD5"/>
            </w:tcBorders>
            <w:shd w:val="clear" w:color="auto" w:fill="auto"/>
            <w:noWrap/>
            <w:vAlign w:val="center"/>
            <w:hideMark/>
          </w:tcPr>
          <w:p w14:paraId="6BA3ECA4" w14:textId="77777777" w:rsidR="003D7111" w:rsidRPr="007467ED" w:rsidRDefault="003D7111" w:rsidP="003D7111">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0ABA382E" w14:textId="77777777" w:rsidR="003D7111" w:rsidRPr="007467ED" w:rsidRDefault="003D7111" w:rsidP="003D7111">
            <w:pPr>
              <w:spacing w:after="0" w:line="240" w:lineRule="auto"/>
              <w:jc w:val="center"/>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r>
      <w:tr w:rsidR="007467ED" w:rsidRPr="007467ED" w14:paraId="7936E21F"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0C978D5A"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Property, plant and equipment</w:t>
            </w:r>
          </w:p>
        </w:tc>
        <w:tc>
          <w:tcPr>
            <w:tcW w:w="736" w:type="pct"/>
            <w:tcBorders>
              <w:top w:val="nil"/>
              <w:left w:val="nil"/>
              <w:bottom w:val="dotted" w:sz="4" w:space="0" w:color="5B9BD5"/>
              <w:right w:val="dotted" w:sz="4" w:space="0" w:color="5B9BD5"/>
            </w:tcBorders>
            <w:shd w:val="clear" w:color="auto" w:fill="auto"/>
            <w:noWrap/>
            <w:vAlign w:val="center"/>
            <w:hideMark/>
          </w:tcPr>
          <w:p w14:paraId="2D165AA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11,941</w:t>
            </w:r>
          </w:p>
        </w:tc>
        <w:tc>
          <w:tcPr>
            <w:tcW w:w="736" w:type="pct"/>
            <w:tcBorders>
              <w:top w:val="nil"/>
              <w:left w:val="nil"/>
              <w:bottom w:val="dotted" w:sz="4" w:space="0" w:color="5B9BD5"/>
              <w:right w:val="dotted" w:sz="4" w:space="0" w:color="5B9BD5"/>
            </w:tcBorders>
            <w:shd w:val="clear" w:color="auto" w:fill="auto"/>
            <w:noWrap/>
            <w:vAlign w:val="center"/>
            <w:hideMark/>
          </w:tcPr>
          <w:p w14:paraId="4D9FE7BF"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8,727</w:t>
            </w:r>
          </w:p>
        </w:tc>
        <w:tc>
          <w:tcPr>
            <w:tcW w:w="735" w:type="pct"/>
            <w:tcBorders>
              <w:top w:val="nil"/>
              <w:left w:val="nil"/>
              <w:bottom w:val="dotted" w:sz="4" w:space="0" w:color="5B9BD5"/>
              <w:right w:val="dotted" w:sz="4" w:space="0" w:color="5B9BD5"/>
            </w:tcBorders>
            <w:shd w:val="clear" w:color="auto" w:fill="auto"/>
            <w:noWrap/>
            <w:vAlign w:val="center"/>
            <w:hideMark/>
          </w:tcPr>
          <w:p w14:paraId="0A8A5DA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20,668</w:t>
            </w:r>
          </w:p>
        </w:tc>
      </w:tr>
      <w:tr w:rsidR="007467ED" w:rsidRPr="007467ED" w14:paraId="23123486"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498DAA09"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Intangible assets</w:t>
            </w:r>
          </w:p>
        </w:tc>
        <w:tc>
          <w:tcPr>
            <w:tcW w:w="736" w:type="pct"/>
            <w:tcBorders>
              <w:top w:val="nil"/>
              <w:left w:val="nil"/>
              <w:bottom w:val="dotted" w:sz="4" w:space="0" w:color="5B9BD5"/>
              <w:right w:val="dotted" w:sz="4" w:space="0" w:color="5B9BD5"/>
            </w:tcBorders>
            <w:shd w:val="clear" w:color="auto" w:fill="auto"/>
            <w:noWrap/>
            <w:vAlign w:val="center"/>
            <w:hideMark/>
          </w:tcPr>
          <w:p w14:paraId="5AC0EEF7"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1,334</w:t>
            </w:r>
          </w:p>
        </w:tc>
        <w:tc>
          <w:tcPr>
            <w:tcW w:w="736" w:type="pct"/>
            <w:tcBorders>
              <w:top w:val="nil"/>
              <w:left w:val="nil"/>
              <w:bottom w:val="dotted" w:sz="4" w:space="0" w:color="5B9BD5"/>
              <w:right w:val="dotted" w:sz="4" w:space="0" w:color="5B9BD5"/>
            </w:tcBorders>
            <w:shd w:val="clear" w:color="auto" w:fill="auto"/>
            <w:noWrap/>
            <w:vAlign w:val="center"/>
            <w:hideMark/>
          </w:tcPr>
          <w:p w14:paraId="369C4F73"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(237)</w:t>
            </w:r>
          </w:p>
        </w:tc>
        <w:tc>
          <w:tcPr>
            <w:tcW w:w="735" w:type="pct"/>
            <w:tcBorders>
              <w:top w:val="nil"/>
              <w:left w:val="nil"/>
              <w:bottom w:val="dotted" w:sz="4" w:space="0" w:color="5B9BD5"/>
              <w:right w:val="dotted" w:sz="4" w:space="0" w:color="5B9BD5"/>
            </w:tcBorders>
            <w:shd w:val="clear" w:color="auto" w:fill="auto"/>
            <w:noWrap/>
            <w:vAlign w:val="center"/>
            <w:hideMark/>
          </w:tcPr>
          <w:p w14:paraId="25A0C0D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1,097</w:t>
            </w:r>
          </w:p>
        </w:tc>
      </w:tr>
      <w:tr w:rsidR="007467ED" w:rsidRPr="007467ED" w14:paraId="1D2EEF9D"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0C75B24E"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Trade and other receivables</w:t>
            </w:r>
          </w:p>
        </w:tc>
        <w:tc>
          <w:tcPr>
            <w:tcW w:w="736" w:type="pct"/>
            <w:tcBorders>
              <w:top w:val="nil"/>
              <w:left w:val="nil"/>
              <w:bottom w:val="dotted" w:sz="4" w:space="0" w:color="5B9BD5"/>
              <w:right w:val="dotted" w:sz="4" w:space="0" w:color="5B9BD5"/>
            </w:tcBorders>
            <w:shd w:val="clear" w:color="auto" w:fill="auto"/>
            <w:noWrap/>
            <w:vAlign w:val="center"/>
            <w:hideMark/>
          </w:tcPr>
          <w:p w14:paraId="1A46019A"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0</w:t>
            </w:r>
          </w:p>
        </w:tc>
        <w:tc>
          <w:tcPr>
            <w:tcW w:w="736" w:type="pct"/>
            <w:tcBorders>
              <w:top w:val="nil"/>
              <w:left w:val="nil"/>
              <w:bottom w:val="dotted" w:sz="4" w:space="0" w:color="5B9BD5"/>
              <w:right w:val="dotted" w:sz="4" w:space="0" w:color="5B9BD5"/>
            </w:tcBorders>
            <w:shd w:val="clear" w:color="auto" w:fill="auto"/>
            <w:noWrap/>
            <w:vAlign w:val="center"/>
            <w:hideMark/>
          </w:tcPr>
          <w:p w14:paraId="0AB82B51"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0</w:t>
            </w:r>
          </w:p>
        </w:tc>
        <w:tc>
          <w:tcPr>
            <w:tcW w:w="735" w:type="pct"/>
            <w:tcBorders>
              <w:top w:val="nil"/>
              <w:left w:val="nil"/>
              <w:bottom w:val="dotted" w:sz="4" w:space="0" w:color="5B9BD5"/>
              <w:right w:val="dotted" w:sz="4" w:space="0" w:color="5B9BD5"/>
            </w:tcBorders>
            <w:shd w:val="clear" w:color="auto" w:fill="auto"/>
            <w:noWrap/>
            <w:vAlign w:val="center"/>
            <w:hideMark/>
          </w:tcPr>
          <w:p w14:paraId="56628902"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0</w:t>
            </w:r>
          </w:p>
        </w:tc>
      </w:tr>
      <w:tr w:rsidR="007467ED" w:rsidRPr="007467ED" w14:paraId="09EAA332"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DBE5F1"/>
            <w:noWrap/>
            <w:vAlign w:val="center"/>
            <w:hideMark/>
          </w:tcPr>
          <w:p w14:paraId="2CAB245E"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xml:space="preserve">Non-Current Assets sub total </w:t>
            </w:r>
          </w:p>
        </w:tc>
        <w:tc>
          <w:tcPr>
            <w:tcW w:w="736" w:type="pct"/>
            <w:tcBorders>
              <w:top w:val="nil"/>
              <w:left w:val="nil"/>
              <w:bottom w:val="dotted" w:sz="4" w:space="0" w:color="5B9BD5"/>
              <w:right w:val="dotted" w:sz="4" w:space="0" w:color="5B9BD5"/>
            </w:tcBorders>
            <w:shd w:val="clear" w:color="000000" w:fill="DBE5F1"/>
            <w:noWrap/>
            <w:vAlign w:val="center"/>
            <w:hideMark/>
          </w:tcPr>
          <w:p w14:paraId="3C9EE4D1"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13,275</w:t>
            </w:r>
          </w:p>
        </w:tc>
        <w:tc>
          <w:tcPr>
            <w:tcW w:w="736" w:type="pct"/>
            <w:tcBorders>
              <w:top w:val="nil"/>
              <w:left w:val="nil"/>
              <w:bottom w:val="dotted" w:sz="4" w:space="0" w:color="5B9BD5"/>
              <w:right w:val="dotted" w:sz="4" w:space="0" w:color="5B9BD5"/>
            </w:tcBorders>
            <w:shd w:val="clear" w:color="000000" w:fill="DBE5F1"/>
            <w:noWrap/>
            <w:vAlign w:val="center"/>
            <w:hideMark/>
          </w:tcPr>
          <w:p w14:paraId="36BD0862"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8,490</w:t>
            </w:r>
          </w:p>
        </w:tc>
        <w:tc>
          <w:tcPr>
            <w:tcW w:w="735" w:type="pct"/>
            <w:tcBorders>
              <w:top w:val="nil"/>
              <w:left w:val="nil"/>
              <w:bottom w:val="dotted" w:sz="4" w:space="0" w:color="5B9BD5"/>
              <w:right w:val="dotted" w:sz="4" w:space="0" w:color="5B9BD5"/>
            </w:tcBorders>
            <w:shd w:val="clear" w:color="000000" w:fill="DBE5F1"/>
            <w:noWrap/>
            <w:vAlign w:val="center"/>
            <w:hideMark/>
          </w:tcPr>
          <w:p w14:paraId="0CF76502"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21,765</w:t>
            </w:r>
          </w:p>
        </w:tc>
      </w:tr>
      <w:tr w:rsidR="007467ED" w:rsidRPr="007467ED" w14:paraId="286952A5"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098361C0"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1049B927"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7750BBB2"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6F3D9425"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57A5FC2A"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6B943983"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Current Assets</w:t>
            </w:r>
          </w:p>
        </w:tc>
        <w:tc>
          <w:tcPr>
            <w:tcW w:w="736" w:type="pct"/>
            <w:tcBorders>
              <w:top w:val="nil"/>
              <w:left w:val="nil"/>
              <w:bottom w:val="dotted" w:sz="4" w:space="0" w:color="5B9BD5"/>
              <w:right w:val="dotted" w:sz="4" w:space="0" w:color="5B9BD5"/>
            </w:tcBorders>
            <w:shd w:val="clear" w:color="auto" w:fill="auto"/>
            <w:noWrap/>
            <w:vAlign w:val="center"/>
            <w:hideMark/>
          </w:tcPr>
          <w:p w14:paraId="306F51EC"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dotted" w:sz="4" w:space="0" w:color="5B9BD5"/>
            </w:tcBorders>
            <w:shd w:val="clear" w:color="auto" w:fill="auto"/>
            <w:noWrap/>
            <w:vAlign w:val="center"/>
            <w:hideMark/>
          </w:tcPr>
          <w:p w14:paraId="39A6A3FA"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48ED6E1C"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7D67A314"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15C7C8DA"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Inventories</w:t>
            </w:r>
          </w:p>
        </w:tc>
        <w:tc>
          <w:tcPr>
            <w:tcW w:w="736" w:type="pct"/>
            <w:tcBorders>
              <w:top w:val="nil"/>
              <w:left w:val="nil"/>
              <w:bottom w:val="dotted" w:sz="4" w:space="0" w:color="5B9BD5"/>
              <w:right w:val="dotted" w:sz="4" w:space="0" w:color="5B9BD5"/>
            </w:tcBorders>
            <w:shd w:val="clear" w:color="auto" w:fill="auto"/>
            <w:noWrap/>
            <w:vAlign w:val="center"/>
            <w:hideMark/>
          </w:tcPr>
          <w:p w14:paraId="2C7114C2"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866</w:t>
            </w:r>
          </w:p>
        </w:tc>
        <w:tc>
          <w:tcPr>
            <w:tcW w:w="736" w:type="pct"/>
            <w:tcBorders>
              <w:top w:val="nil"/>
              <w:left w:val="nil"/>
              <w:bottom w:val="dotted" w:sz="4" w:space="0" w:color="5B9BD5"/>
              <w:right w:val="dotted" w:sz="4" w:space="0" w:color="5B9BD5"/>
            </w:tcBorders>
            <w:shd w:val="clear" w:color="auto" w:fill="auto"/>
            <w:noWrap/>
            <w:vAlign w:val="center"/>
            <w:hideMark/>
          </w:tcPr>
          <w:p w14:paraId="09362DD9"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10,313</w:t>
            </w:r>
          </w:p>
        </w:tc>
        <w:tc>
          <w:tcPr>
            <w:tcW w:w="735" w:type="pct"/>
            <w:tcBorders>
              <w:top w:val="nil"/>
              <w:left w:val="nil"/>
              <w:bottom w:val="dotted" w:sz="4" w:space="0" w:color="5B9BD5"/>
              <w:right w:val="dotted" w:sz="4" w:space="0" w:color="5B9BD5"/>
            </w:tcBorders>
            <w:shd w:val="clear" w:color="auto" w:fill="auto"/>
            <w:noWrap/>
            <w:vAlign w:val="center"/>
            <w:hideMark/>
          </w:tcPr>
          <w:p w14:paraId="7E89895D"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11,179</w:t>
            </w:r>
          </w:p>
        </w:tc>
      </w:tr>
      <w:tr w:rsidR="007467ED" w:rsidRPr="007467ED" w14:paraId="4C1228CA"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0BE81E7F"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Trade and other receivables</w:t>
            </w:r>
          </w:p>
        </w:tc>
        <w:tc>
          <w:tcPr>
            <w:tcW w:w="736" w:type="pct"/>
            <w:tcBorders>
              <w:top w:val="nil"/>
              <w:left w:val="nil"/>
              <w:bottom w:val="dotted" w:sz="4" w:space="0" w:color="5B9BD5"/>
              <w:right w:val="dotted" w:sz="4" w:space="0" w:color="5B9BD5"/>
            </w:tcBorders>
            <w:shd w:val="clear" w:color="auto" w:fill="auto"/>
            <w:noWrap/>
            <w:vAlign w:val="center"/>
            <w:hideMark/>
          </w:tcPr>
          <w:p w14:paraId="62E694B9"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14,379</w:t>
            </w:r>
          </w:p>
        </w:tc>
        <w:tc>
          <w:tcPr>
            <w:tcW w:w="736" w:type="pct"/>
            <w:tcBorders>
              <w:top w:val="nil"/>
              <w:left w:val="nil"/>
              <w:bottom w:val="dotted" w:sz="4" w:space="0" w:color="5B9BD5"/>
              <w:right w:val="dotted" w:sz="4" w:space="0" w:color="5B9BD5"/>
            </w:tcBorders>
            <w:shd w:val="clear" w:color="auto" w:fill="auto"/>
            <w:noWrap/>
            <w:vAlign w:val="center"/>
            <w:hideMark/>
          </w:tcPr>
          <w:p w14:paraId="42E46BF4"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21,753</w:t>
            </w:r>
          </w:p>
        </w:tc>
        <w:tc>
          <w:tcPr>
            <w:tcW w:w="735" w:type="pct"/>
            <w:tcBorders>
              <w:top w:val="nil"/>
              <w:left w:val="nil"/>
              <w:bottom w:val="dotted" w:sz="4" w:space="0" w:color="5B9BD5"/>
              <w:right w:val="dotted" w:sz="4" w:space="0" w:color="5B9BD5"/>
            </w:tcBorders>
            <w:shd w:val="clear" w:color="auto" w:fill="auto"/>
            <w:noWrap/>
            <w:vAlign w:val="center"/>
            <w:hideMark/>
          </w:tcPr>
          <w:p w14:paraId="500E34F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36,132</w:t>
            </w:r>
          </w:p>
        </w:tc>
      </w:tr>
      <w:tr w:rsidR="007467ED" w:rsidRPr="007467ED" w14:paraId="6A2A4EB7"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6FB3B767"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Cash and cash equivalents</w:t>
            </w:r>
          </w:p>
        </w:tc>
        <w:tc>
          <w:tcPr>
            <w:tcW w:w="736" w:type="pct"/>
            <w:tcBorders>
              <w:top w:val="nil"/>
              <w:left w:val="nil"/>
              <w:bottom w:val="dotted" w:sz="4" w:space="0" w:color="5B9BD5"/>
              <w:right w:val="dotted" w:sz="4" w:space="0" w:color="5B9BD5"/>
            </w:tcBorders>
            <w:shd w:val="clear" w:color="auto" w:fill="auto"/>
            <w:noWrap/>
            <w:vAlign w:val="center"/>
            <w:hideMark/>
          </w:tcPr>
          <w:p w14:paraId="5C8FEB71"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8,819</w:t>
            </w:r>
          </w:p>
        </w:tc>
        <w:tc>
          <w:tcPr>
            <w:tcW w:w="736" w:type="pct"/>
            <w:tcBorders>
              <w:top w:val="nil"/>
              <w:left w:val="nil"/>
              <w:bottom w:val="dotted" w:sz="4" w:space="0" w:color="5B9BD5"/>
              <w:right w:val="dotted" w:sz="4" w:space="0" w:color="5B9BD5"/>
            </w:tcBorders>
            <w:shd w:val="clear" w:color="auto" w:fill="auto"/>
            <w:noWrap/>
            <w:vAlign w:val="center"/>
            <w:hideMark/>
          </w:tcPr>
          <w:p w14:paraId="1848462A"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(7,226)</w:t>
            </w:r>
          </w:p>
        </w:tc>
        <w:tc>
          <w:tcPr>
            <w:tcW w:w="735" w:type="pct"/>
            <w:tcBorders>
              <w:top w:val="nil"/>
              <w:left w:val="nil"/>
              <w:bottom w:val="dotted" w:sz="4" w:space="0" w:color="5B9BD5"/>
              <w:right w:val="dotted" w:sz="4" w:space="0" w:color="5B9BD5"/>
            </w:tcBorders>
            <w:shd w:val="clear" w:color="auto" w:fill="auto"/>
            <w:noWrap/>
            <w:vAlign w:val="center"/>
            <w:hideMark/>
          </w:tcPr>
          <w:p w14:paraId="27B87341"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1,593</w:t>
            </w:r>
          </w:p>
        </w:tc>
      </w:tr>
      <w:tr w:rsidR="007467ED" w:rsidRPr="007467ED" w14:paraId="752E1DEE"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DBE5F1"/>
            <w:noWrap/>
            <w:vAlign w:val="center"/>
            <w:hideMark/>
          </w:tcPr>
          <w:p w14:paraId="741AB4F8"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xml:space="preserve">Current Assets sub total </w:t>
            </w:r>
          </w:p>
        </w:tc>
        <w:tc>
          <w:tcPr>
            <w:tcW w:w="736" w:type="pct"/>
            <w:tcBorders>
              <w:top w:val="nil"/>
              <w:left w:val="nil"/>
              <w:bottom w:val="dotted" w:sz="4" w:space="0" w:color="5B9BD5"/>
              <w:right w:val="dotted" w:sz="4" w:space="0" w:color="5B9BD5"/>
            </w:tcBorders>
            <w:shd w:val="clear" w:color="000000" w:fill="DBE5F1"/>
            <w:noWrap/>
            <w:vAlign w:val="center"/>
            <w:hideMark/>
          </w:tcPr>
          <w:p w14:paraId="3F9D7CEA"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24,064</w:t>
            </w:r>
          </w:p>
        </w:tc>
        <w:tc>
          <w:tcPr>
            <w:tcW w:w="736" w:type="pct"/>
            <w:tcBorders>
              <w:top w:val="nil"/>
              <w:left w:val="nil"/>
              <w:bottom w:val="dotted" w:sz="4" w:space="0" w:color="5B9BD5"/>
              <w:right w:val="dotted" w:sz="4" w:space="0" w:color="5B9BD5"/>
            </w:tcBorders>
            <w:shd w:val="clear" w:color="000000" w:fill="DBE5F1"/>
            <w:noWrap/>
            <w:vAlign w:val="center"/>
            <w:hideMark/>
          </w:tcPr>
          <w:p w14:paraId="17CDE95D"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24,840</w:t>
            </w:r>
          </w:p>
        </w:tc>
        <w:tc>
          <w:tcPr>
            <w:tcW w:w="735" w:type="pct"/>
            <w:tcBorders>
              <w:top w:val="nil"/>
              <w:left w:val="nil"/>
              <w:bottom w:val="dotted" w:sz="4" w:space="0" w:color="5B9BD5"/>
              <w:right w:val="dotted" w:sz="4" w:space="0" w:color="5B9BD5"/>
            </w:tcBorders>
            <w:shd w:val="clear" w:color="000000" w:fill="DBE5F1"/>
            <w:noWrap/>
            <w:vAlign w:val="center"/>
            <w:hideMark/>
          </w:tcPr>
          <w:p w14:paraId="517E4BC8"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48,904</w:t>
            </w:r>
          </w:p>
        </w:tc>
      </w:tr>
      <w:tr w:rsidR="007467ED" w:rsidRPr="007467ED" w14:paraId="437CCE0C"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053F3158"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6454B670"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20E7CCBE"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77A657A2"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3EDA9BD1"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B8CCE4"/>
            <w:noWrap/>
            <w:vAlign w:val="center"/>
            <w:hideMark/>
          </w:tcPr>
          <w:p w14:paraId="25F9874A"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TOTAL ASSETS</w:t>
            </w:r>
          </w:p>
        </w:tc>
        <w:tc>
          <w:tcPr>
            <w:tcW w:w="736" w:type="pct"/>
            <w:tcBorders>
              <w:top w:val="nil"/>
              <w:left w:val="nil"/>
              <w:bottom w:val="dotted" w:sz="4" w:space="0" w:color="5B9BD5"/>
              <w:right w:val="dotted" w:sz="4" w:space="0" w:color="5B9BD5"/>
            </w:tcBorders>
            <w:shd w:val="clear" w:color="000000" w:fill="B8CCE4"/>
            <w:noWrap/>
            <w:vAlign w:val="center"/>
            <w:hideMark/>
          </w:tcPr>
          <w:p w14:paraId="70C7EF0E"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37,339</w:t>
            </w:r>
          </w:p>
        </w:tc>
        <w:tc>
          <w:tcPr>
            <w:tcW w:w="736" w:type="pct"/>
            <w:tcBorders>
              <w:top w:val="nil"/>
              <w:left w:val="nil"/>
              <w:bottom w:val="dotted" w:sz="4" w:space="0" w:color="5B9BD5"/>
              <w:right w:val="dotted" w:sz="4" w:space="0" w:color="5B9BD5"/>
            </w:tcBorders>
            <w:shd w:val="clear" w:color="000000" w:fill="B8CCE4"/>
            <w:noWrap/>
            <w:vAlign w:val="center"/>
            <w:hideMark/>
          </w:tcPr>
          <w:p w14:paraId="412AEFBC"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33,330</w:t>
            </w:r>
          </w:p>
        </w:tc>
        <w:tc>
          <w:tcPr>
            <w:tcW w:w="735" w:type="pct"/>
            <w:tcBorders>
              <w:top w:val="nil"/>
              <w:left w:val="nil"/>
              <w:bottom w:val="dotted" w:sz="4" w:space="0" w:color="5B9BD5"/>
              <w:right w:val="dotted" w:sz="4" w:space="0" w:color="5B9BD5"/>
            </w:tcBorders>
            <w:shd w:val="clear" w:color="000000" w:fill="B8CCE4"/>
            <w:noWrap/>
            <w:vAlign w:val="center"/>
            <w:hideMark/>
          </w:tcPr>
          <w:p w14:paraId="273BDEAF"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70,669</w:t>
            </w:r>
          </w:p>
        </w:tc>
      </w:tr>
      <w:tr w:rsidR="007467ED" w:rsidRPr="007467ED" w14:paraId="684917F6"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63987C43"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6BE40049"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24EBEA94"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09930590"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1E23600B"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5729307A"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Current Liabilities</w:t>
            </w:r>
          </w:p>
        </w:tc>
        <w:tc>
          <w:tcPr>
            <w:tcW w:w="736" w:type="pct"/>
            <w:tcBorders>
              <w:top w:val="nil"/>
              <w:left w:val="nil"/>
              <w:bottom w:val="dotted" w:sz="4" w:space="0" w:color="5B9BD5"/>
              <w:right w:val="dotted" w:sz="4" w:space="0" w:color="5B9BD5"/>
            </w:tcBorders>
            <w:shd w:val="clear" w:color="auto" w:fill="auto"/>
            <w:noWrap/>
            <w:vAlign w:val="center"/>
            <w:hideMark/>
          </w:tcPr>
          <w:p w14:paraId="623598AD"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dotted" w:sz="4" w:space="0" w:color="5B9BD5"/>
            </w:tcBorders>
            <w:shd w:val="clear" w:color="auto" w:fill="auto"/>
            <w:noWrap/>
            <w:vAlign w:val="center"/>
            <w:hideMark/>
          </w:tcPr>
          <w:p w14:paraId="3D2F1551"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5251908D"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73E1609E"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4E285246"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Trade and other payables</w:t>
            </w:r>
          </w:p>
        </w:tc>
        <w:tc>
          <w:tcPr>
            <w:tcW w:w="736" w:type="pct"/>
            <w:tcBorders>
              <w:top w:val="nil"/>
              <w:left w:val="nil"/>
              <w:bottom w:val="dotted" w:sz="4" w:space="0" w:color="5B9BD5"/>
              <w:right w:val="dotted" w:sz="4" w:space="0" w:color="5B9BD5"/>
            </w:tcBorders>
            <w:shd w:val="clear" w:color="auto" w:fill="auto"/>
            <w:noWrap/>
            <w:vAlign w:val="center"/>
            <w:hideMark/>
          </w:tcPr>
          <w:p w14:paraId="7BE91DD2"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(18,898)</w:t>
            </w:r>
          </w:p>
        </w:tc>
        <w:tc>
          <w:tcPr>
            <w:tcW w:w="736" w:type="pct"/>
            <w:tcBorders>
              <w:top w:val="nil"/>
              <w:left w:val="nil"/>
              <w:bottom w:val="dotted" w:sz="4" w:space="0" w:color="5B9BD5"/>
              <w:right w:val="dotted" w:sz="4" w:space="0" w:color="5B9BD5"/>
            </w:tcBorders>
            <w:shd w:val="clear" w:color="auto" w:fill="auto"/>
            <w:noWrap/>
            <w:vAlign w:val="center"/>
            <w:hideMark/>
          </w:tcPr>
          <w:p w14:paraId="3929EBB0"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(26,828)</w:t>
            </w:r>
          </w:p>
        </w:tc>
        <w:tc>
          <w:tcPr>
            <w:tcW w:w="735" w:type="pct"/>
            <w:tcBorders>
              <w:top w:val="nil"/>
              <w:left w:val="nil"/>
              <w:bottom w:val="dotted" w:sz="4" w:space="0" w:color="5B9BD5"/>
              <w:right w:val="dotted" w:sz="4" w:space="0" w:color="5B9BD5"/>
            </w:tcBorders>
            <w:shd w:val="clear" w:color="auto" w:fill="auto"/>
            <w:noWrap/>
            <w:vAlign w:val="center"/>
            <w:hideMark/>
          </w:tcPr>
          <w:p w14:paraId="18439615"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(45,726)</w:t>
            </w:r>
          </w:p>
        </w:tc>
      </w:tr>
      <w:tr w:rsidR="007467ED" w:rsidRPr="007467ED" w14:paraId="1E52EE53"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2844880F"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Provisions</w:t>
            </w:r>
          </w:p>
        </w:tc>
        <w:tc>
          <w:tcPr>
            <w:tcW w:w="736" w:type="pct"/>
            <w:tcBorders>
              <w:top w:val="nil"/>
              <w:left w:val="nil"/>
              <w:bottom w:val="dotted" w:sz="4" w:space="0" w:color="5B9BD5"/>
              <w:right w:val="dotted" w:sz="4" w:space="0" w:color="5B9BD5"/>
            </w:tcBorders>
            <w:shd w:val="clear" w:color="auto" w:fill="auto"/>
            <w:noWrap/>
            <w:vAlign w:val="center"/>
            <w:hideMark/>
          </w:tcPr>
          <w:p w14:paraId="68246843"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(1,206)</w:t>
            </w:r>
          </w:p>
        </w:tc>
        <w:tc>
          <w:tcPr>
            <w:tcW w:w="736" w:type="pct"/>
            <w:tcBorders>
              <w:top w:val="nil"/>
              <w:left w:val="nil"/>
              <w:bottom w:val="dotted" w:sz="4" w:space="0" w:color="5B9BD5"/>
              <w:right w:val="dotted" w:sz="4" w:space="0" w:color="5B9BD5"/>
            </w:tcBorders>
            <w:shd w:val="clear" w:color="auto" w:fill="auto"/>
            <w:noWrap/>
            <w:vAlign w:val="center"/>
            <w:hideMark/>
          </w:tcPr>
          <w:p w14:paraId="57C0B0C0"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(744)</w:t>
            </w:r>
          </w:p>
        </w:tc>
        <w:tc>
          <w:tcPr>
            <w:tcW w:w="735" w:type="pct"/>
            <w:tcBorders>
              <w:top w:val="nil"/>
              <w:left w:val="nil"/>
              <w:bottom w:val="dotted" w:sz="4" w:space="0" w:color="5B9BD5"/>
              <w:right w:val="dotted" w:sz="4" w:space="0" w:color="5B9BD5"/>
            </w:tcBorders>
            <w:shd w:val="clear" w:color="auto" w:fill="auto"/>
            <w:noWrap/>
            <w:vAlign w:val="center"/>
            <w:hideMark/>
          </w:tcPr>
          <w:p w14:paraId="16498A7F"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(1,950)</w:t>
            </w:r>
          </w:p>
        </w:tc>
      </w:tr>
      <w:tr w:rsidR="007467ED" w:rsidRPr="007467ED" w14:paraId="599CB37D"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DBE5F1"/>
            <w:noWrap/>
            <w:vAlign w:val="center"/>
            <w:hideMark/>
          </w:tcPr>
          <w:p w14:paraId="6E8DA4DD"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xml:space="preserve">Current Liabilities sub total </w:t>
            </w:r>
          </w:p>
        </w:tc>
        <w:tc>
          <w:tcPr>
            <w:tcW w:w="736" w:type="pct"/>
            <w:tcBorders>
              <w:top w:val="nil"/>
              <w:left w:val="nil"/>
              <w:bottom w:val="dotted" w:sz="4" w:space="0" w:color="5B9BD5"/>
              <w:right w:val="dotted" w:sz="4" w:space="0" w:color="5B9BD5"/>
            </w:tcBorders>
            <w:shd w:val="clear" w:color="000000" w:fill="DBE5F1"/>
            <w:noWrap/>
            <w:vAlign w:val="center"/>
            <w:hideMark/>
          </w:tcPr>
          <w:p w14:paraId="4AFAB3C3"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(20,104)</w:t>
            </w:r>
          </w:p>
        </w:tc>
        <w:tc>
          <w:tcPr>
            <w:tcW w:w="736" w:type="pct"/>
            <w:tcBorders>
              <w:top w:val="nil"/>
              <w:left w:val="nil"/>
              <w:bottom w:val="dotted" w:sz="4" w:space="0" w:color="5B9BD5"/>
              <w:right w:val="dotted" w:sz="4" w:space="0" w:color="5B9BD5"/>
            </w:tcBorders>
            <w:shd w:val="clear" w:color="000000" w:fill="DBE5F1"/>
            <w:noWrap/>
            <w:vAlign w:val="center"/>
            <w:hideMark/>
          </w:tcPr>
          <w:p w14:paraId="0ECF14E3"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(27,572)</w:t>
            </w:r>
          </w:p>
        </w:tc>
        <w:tc>
          <w:tcPr>
            <w:tcW w:w="735" w:type="pct"/>
            <w:tcBorders>
              <w:top w:val="nil"/>
              <w:left w:val="nil"/>
              <w:bottom w:val="dotted" w:sz="4" w:space="0" w:color="5B9BD5"/>
              <w:right w:val="dotted" w:sz="4" w:space="0" w:color="5B9BD5"/>
            </w:tcBorders>
            <w:shd w:val="clear" w:color="000000" w:fill="DBE5F1"/>
            <w:noWrap/>
            <w:vAlign w:val="center"/>
            <w:hideMark/>
          </w:tcPr>
          <w:p w14:paraId="39610229"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(47,676)</w:t>
            </w:r>
          </w:p>
        </w:tc>
      </w:tr>
      <w:tr w:rsidR="007467ED" w:rsidRPr="007467ED" w14:paraId="5935297D"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B8CCE4"/>
            <w:noWrap/>
            <w:vAlign w:val="center"/>
            <w:hideMark/>
          </w:tcPr>
          <w:p w14:paraId="6B9E9F05"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NET ASSETS LESS CURRENT LIABILITIES</w:t>
            </w:r>
          </w:p>
        </w:tc>
        <w:tc>
          <w:tcPr>
            <w:tcW w:w="736" w:type="pct"/>
            <w:tcBorders>
              <w:top w:val="nil"/>
              <w:left w:val="nil"/>
              <w:bottom w:val="dotted" w:sz="4" w:space="0" w:color="5B9BD5"/>
              <w:right w:val="dotted" w:sz="4" w:space="0" w:color="5B9BD5"/>
            </w:tcBorders>
            <w:shd w:val="clear" w:color="000000" w:fill="B8CCE4"/>
            <w:noWrap/>
            <w:vAlign w:val="center"/>
            <w:hideMark/>
          </w:tcPr>
          <w:p w14:paraId="3F477023"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17,235</w:t>
            </w:r>
          </w:p>
        </w:tc>
        <w:tc>
          <w:tcPr>
            <w:tcW w:w="736" w:type="pct"/>
            <w:tcBorders>
              <w:top w:val="nil"/>
              <w:left w:val="nil"/>
              <w:bottom w:val="dotted" w:sz="4" w:space="0" w:color="5B9BD5"/>
              <w:right w:val="dotted" w:sz="4" w:space="0" w:color="5B9BD5"/>
            </w:tcBorders>
            <w:shd w:val="clear" w:color="000000" w:fill="B8CCE4"/>
            <w:noWrap/>
            <w:vAlign w:val="center"/>
            <w:hideMark/>
          </w:tcPr>
          <w:p w14:paraId="32A5C928"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5,758</w:t>
            </w:r>
          </w:p>
        </w:tc>
        <w:tc>
          <w:tcPr>
            <w:tcW w:w="735" w:type="pct"/>
            <w:tcBorders>
              <w:top w:val="nil"/>
              <w:left w:val="nil"/>
              <w:bottom w:val="dotted" w:sz="4" w:space="0" w:color="5B9BD5"/>
              <w:right w:val="dotted" w:sz="4" w:space="0" w:color="5B9BD5"/>
            </w:tcBorders>
            <w:shd w:val="clear" w:color="000000" w:fill="B8CCE4"/>
            <w:noWrap/>
            <w:vAlign w:val="center"/>
            <w:hideMark/>
          </w:tcPr>
          <w:p w14:paraId="1D22C03A"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22,993</w:t>
            </w:r>
          </w:p>
        </w:tc>
      </w:tr>
      <w:tr w:rsidR="007467ED" w:rsidRPr="007467ED" w14:paraId="07EADA71"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678597FE"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0B24E795"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21D4FFB8"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0362FF5A"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477D1EAA"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57CAE41C"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Non-Current Liabilities</w:t>
            </w:r>
          </w:p>
        </w:tc>
        <w:tc>
          <w:tcPr>
            <w:tcW w:w="736" w:type="pct"/>
            <w:tcBorders>
              <w:top w:val="nil"/>
              <w:left w:val="nil"/>
              <w:bottom w:val="dotted" w:sz="4" w:space="0" w:color="5B9BD5"/>
              <w:right w:val="dotted" w:sz="4" w:space="0" w:color="5B9BD5"/>
            </w:tcBorders>
            <w:shd w:val="clear" w:color="auto" w:fill="auto"/>
            <w:noWrap/>
            <w:vAlign w:val="center"/>
            <w:hideMark/>
          </w:tcPr>
          <w:p w14:paraId="1D9DF5D1"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dotted" w:sz="4" w:space="0" w:color="5B9BD5"/>
            </w:tcBorders>
            <w:shd w:val="clear" w:color="auto" w:fill="auto"/>
            <w:noWrap/>
            <w:vAlign w:val="center"/>
            <w:hideMark/>
          </w:tcPr>
          <w:p w14:paraId="4FEC1F21"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3073046A"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32FB657B"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260E3687"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Trade and other payables</w:t>
            </w:r>
          </w:p>
        </w:tc>
        <w:tc>
          <w:tcPr>
            <w:tcW w:w="736" w:type="pct"/>
            <w:tcBorders>
              <w:top w:val="nil"/>
              <w:left w:val="nil"/>
              <w:bottom w:val="dotted" w:sz="4" w:space="0" w:color="5B9BD5"/>
              <w:right w:val="dotted" w:sz="4" w:space="0" w:color="5B9BD5"/>
            </w:tcBorders>
            <w:shd w:val="clear" w:color="auto" w:fill="auto"/>
            <w:noWrap/>
            <w:vAlign w:val="center"/>
            <w:hideMark/>
          </w:tcPr>
          <w:p w14:paraId="0A4E998F"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(1,381)</w:t>
            </w:r>
          </w:p>
        </w:tc>
        <w:tc>
          <w:tcPr>
            <w:tcW w:w="736" w:type="pct"/>
            <w:tcBorders>
              <w:top w:val="nil"/>
              <w:left w:val="nil"/>
              <w:bottom w:val="dotted" w:sz="4" w:space="0" w:color="5B9BD5"/>
              <w:right w:val="dotted" w:sz="4" w:space="0" w:color="5B9BD5"/>
            </w:tcBorders>
            <w:shd w:val="clear" w:color="auto" w:fill="auto"/>
            <w:noWrap/>
            <w:vAlign w:val="center"/>
            <w:hideMark/>
          </w:tcPr>
          <w:p w14:paraId="0465C57D"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(283)</w:t>
            </w:r>
          </w:p>
        </w:tc>
        <w:tc>
          <w:tcPr>
            <w:tcW w:w="735" w:type="pct"/>
            <w:tcBorders>
              <w:top w:val="nil"/>
              <w:left w:val="nil"/>
              <w:bottom w:val="dotted" w:sz="4" w:space="0" w:color="5B9BD5"/>
              <w:right w:val="dotted" w:sz="4" w:space="0" w:color="5B9BD5"/>
            </w:tcBorders>
            <w:shd w:val="clear" w:color="auto" w:fill="auto"/>
            <w:noWrap/>
            <w:vAlign w:val="center"/>
            <w:hideMark/>
          </w:tcPr>
          <w:p w14:paraId="4F560B46"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(1,664)</w:t>
            </w:r>
          </w:p>
        </w:tc>
      </w:tr>
      <w:tr w:rsidR="007467ED" w:rsidRPr="007467ED" w14:paraId="34628CE4"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7170EC7B"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lastRenderedPageBreak/>
              <w:t>Provisions</w:t>
            </w:r>
          </w:p>
        </w:tc>
        <w:tc>
          <w:tcPr>
            <w:tcW w:w="736" w:type="pct"/>
            <w:tcBorders>
              <w:top w:val="nil"/>
              <w:left w:val="nil"/>
              <w:bottom w:val="dotted" w:sz="4" w:space="0" w:color="5B9BD5"/>
              <w:right w:val="dotted" w:sz="4" w:space="0" w:color="5B9BD5"/>
            </w:tcBorders>
            <w:shd w:val="clear" w:color="auto" w:fill="auto"/>
            <w:noWrap/>
            <w:vAlign w:val="center"/>
            <w:hideMark/>
          </w:tcPr>
          <w:p w14:paraId="142D31DB"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(1,291)</w:t>
            </w:r>
          </w:p>
        </w:tc>
        <w:tc>
          <w:tcPr>
            <w:tcW w:w="736" w:type="pct"/>
            <w:tcBorders>
              <w:top w:val="nil"/>
              <w:left w:val="nil"/>
              <w:bottom w:val="dotted" w:sz="4" w:space="0" w:color="5B9BD5"/>
              <w:right w:val="dotted" w:sz="4" w:space="0" w:color="5B9BD5"/>
            </w:tcBorders>
            <w:shd w:val="clear" w:color="auto" w:fill="auto"/>
            <w:noWrap/>
            <w:vAlign w:val="center"/>
            <w:hideMark/>
          </w:tcPr>
          <w:p w14:paraId="24DE6C1D"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41</w:t>
            </w:r>
          </w:p>
        </w:tc>
        <w:tc>
          <w:tcPr>
            <w:tcW w:w="735" w:type="pct"/>
            <w:tcBorders>
              <w:top w:val="nil"/>
              <w:left w:val="nil"/>
              <w:bottom w:val="dotted" w:sz="4" w:space="0" w:color="5B9BD5"/>
              <w:right w:val="dotted" w:sz="4" w:space="0" w:color="5B9BD5"/>
            </w:tcBorders>
            <w:shd w:val="clear" w:color="auto" w:fill="auto"/>
            <w:noWrap/>
            <w:vAlign w:val="center"/>
            <w:hideMark/>
          </w:tcPr>
          <w:p w14:paraId="03E647F1" w14:textId="77777777" w:rsidR="007467ED" w:rsidRPr="007467ED" w:rsidRDefault="007467ED" w:rsidP="007467ED">
            <w:pPr>
              <w:spacing w:after="0" w:line="240" w:lineRule="auto"/>
              <w:jc w:val="right"/>
              <w:rPr>
                <w:rFonts w:ascii="Verdana" w:eastAsia="Times New Roman" w:hAnsi="Verdana" w:cs="Arial"/>
                <w:color w:val="FF0000"/>
                <w:sz w:val="18"/>
                <w:szCs w:val="18"/>
                <w:lang w:eastAsia="en-GB"/>
              </w:rPr>
            </w:pPr>
            <w:r w:rsidRPr="007467ED">
              <w:rPr>
                <w:rFonts w:ascii="Verdana" w:eastAsia="Times New Roman" w:hAnsi="Verdana" w:cs="Arial"/>
                <w:color w:val="FF0000"/>
                <w:sz w:val="18"/>
                <w:szCs w:val="18"/>
                <w:lang w:eastAsia="en-GB"/>
              </w:rPr>
              <w:t>(1,250)</w:t>
            </w:r>
          </w:p>
        </w:tc>
      </w:tr>
      <w:tr w:rsidR="007467ED" w:rsidRPr="007467ED" w14:paraId="7A4CC061"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DBE5F1"/>
            <w:noWrap/>
            <w:vAlign w:val="center"/>
            <w:hideMark/>
          </w:tcPr>
          <w:p w14:paraId="43C3E457"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xml:space="preserve">Non-Current Liabilities sub total </w:t>
            </w:r>
          </w:p>
        </w:tc>
        <w:tc>
          <w:tcPr>
            <w:tcW w:w="736" w:type="pct"/>
            <w:tcBorders>
              <w:top w:val="nil"/>
              <w:left w:val="nil"/>
              <w:bottom w:val="dotted" w:sz="4" w:space="0" w:color="5B9BD5"/>
              <w:right w:val="dotted" w:sz="4" w:space="0" w:color="5B9BD5"/>
            </w:tcBorders>
            <w:shd w:val="clear" w:color="000000" w:fill="DBE5F1"/>
            <w:noWrap/>
            <w:vAlign w:val="center"/>
            <w:hideMark/>
          </w:tcPr>
          <w:p w14:paraId="4D1BAB75"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(2,672)</w:t>
            </w:r>
          </w:p>
        </w:tc>
        <w:tc>
          <w:tcPr>
            <w:tcW w:w="736" w:type="pct"/>
            <w:tcBorders>
              <w:top w:val="nil"/>
              <w:left w:val="nil"/>
              <w:bottom w:val="dotted" w:sz="4" w:space="0" w:color="5B9BD5"/>
              <w:right w:val="dotted" w:sz="4" w:space="0" w:color="5B9BD5"/>
            </w:tcBorders>
            <w:shd w:val="clear" w:color="000000" w:fill="DBE5F1"/>
            <w:noWrap/>
            <w:vAlign w:val="center"/>
            <w:hideMark/>
          </w:tcPr>
          <w:p w14:paraId="398D76C7"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(241)</w:t>
            </w:r>
          </w:p>
        </w:tc>
        <w:tc>
          <w:tcPr>
            <w:tcW w:w="735" w:type="pct"/>
            <w:tcBorders>
              <w:top w:val="nil"/>
              <w:left w:val="nil"/>
              <w:bottom w:val="dotted" w:sz="4" w:space="0" w:color="5B9BD5"/>
              <w:right w:val="dotted" w:sz="4" w:space="0" w:color="5B9BD5"/>
            </w:tcBorders>
            <w:shd w:val="clear" w:color="000000" w:fill="DBE5F1"/>
            <w:noWrap/>
            <w:vAlign w:val="center"/>
            <w:hideMark/>
          </w:tcPr>
          <w:p w14:paraId="031290E1" w14:textId="77777777" w:rsidR="007467ED" w:rsidRPr="007467ED" w:rsidRDefault="007467ED" w:rsidP="007467ED">
            <w:pPr>
              <w:spacing w:after="0" w:line="240" w:lineRule="auto"/>
              <w:jc w:val="right"/>
              <w:rPr>
                <w:rFonts w:ascii="Verdana" w:eastAsia="Times New Roman" w:hAnsi="Verdana" w:cs="Arial"/>
                <w:b/>
                <w:bCs/>
                <w:color w:val="FF0000"/>
                <w:sz w:val="18"/>
                <w:szCs w:val="18"/>
                <w:lang w:eastAsia="en-GB"/>
              </w:rPr>
            </w:pPr>
            <w:r w:rsidRPr="007467ED">
              <w:rPr>
                <w:rFonts w:ascii="Verdana" w:eastAsia="Times New Roman" w:hAnsi="Verdana" w:cs="Arial"/>
                <w:b/>
                <w:bCs/>
                <w:color w:val="FF0000"/>
                <w:sz w:val="18"/>
                <w:szCs w:val="18"/>
                <w:lang w:eastAsia="en-GB"/>
              </w:rPr>
              <w:t>(2,914)</w:t>
            </w:r>
          </w:p>
        </w:tc>
      </w:tr>
      <w:tr w:rsidR="007467ED" w:rsidRPr="007467ED" w14:paraId="0CA12B8E"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6D7D55BB"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7C4EC783"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7548F209"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0A7A3072"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2C429634"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B8CCE4"/>
            <w:noWrap/>
            <w:vAlign w:val="center"/>
            <w:hideMark/>
          </w:tcPr>
          <w:p w14:paraId="1E10AB86"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TOTAL ASSETS EMPLOYED</w:t>
            </w:r>
          </w:p>
        </w:tc>
        <w:tc>
          <w:tcPr>
            <w:tcW w:w="736" w:type="pct"/>
            <w:tcBorders>
              <w:top w:val="nil"/>
              <w:left w:val="nil"/>
              <w:bottom w:val="dotted" w:sz="4" w:space="0" w:color="5B9BD5"/>
              <w:right w:val="dotted" w:sz="4" w:space="0" w:color="5B9BD5"/>
            </w:tcBorders>
            <w:shd w:val="clear" w:color="000000" w:fill="B8CCE4"/>
            <w:noWrap/>
            <w:vAlign w:val="center"/>
            <w:hideMark/>
          </w:tcPr>
          <w:p w14:paraId="0090EB5B"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14,563</w:t>
            </w:r>
          </w:p>
        </w:tc>
        <w:tc>
          <w:tcPr>
            <w:tcW w:w="736" w:type="pct"/>
            <w:tcBorders>
              <w:top w:val="nil"/>
              <w:left w:val="nil"/>
              <w:bottom w:val="dotted" w:sz="4" w:space="0" w:color="5B9BD5"/>
              <w:right w:val="dotted" w:sz="4" w:space="0" w:color="5B9BD5"/>
            </w:tcBorders>
            <w:shd w:val="clear" w:color="000000" w:fill="B8CCE4"/>
            <w:noWrap/>
            <w:vAlign w:val="center"/>
            <w:hideMark/>
          </w:tcPr>
          <w:p w14:paraId="52A1B3F6"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5,516</w:t>
            </w:r>
          </w:p>
        </w:tc>
        <w:tc>
          <w:tcPr>
            <w:tcW w:w="735" w:type="pct"/>
            <w:tcBorders>
              <w:top w:val="nil"/>
              <w:left w:val="nil"/>
              <w:bottom w:val="dotted" w:sz="4" w:space="0" w:color="5B9BD5"/>
              <w:right w:val="dotted" w:sz="4" w:space="0" w:color="5B9BD5"/>
            </w:tcBorders>
            <w:shd w:val="clear" w:color="000000" w:fill="B8CCE4"/>
            <w:noWrap/>
            <w:vAlign w:val="center"/>
            <w:hideMark/>
          </w:tcPr>
          <w:p w14:paraId="2081BD29"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20,079</w:t>
            </w:r>
          </w:p>
        </w:tc>
      </w:tr>
      <w:tr w:rsidR="007467ED" w:rsidRPr="007467ED" w14:paraId="5A8E25F1" w14:textId="77777777" w:rsidTr="007467ED">
        <w:trPr>
          <w:trHeight w:val="264"/>
        </w:trPr>
        <w:tc>
          <w:tcPr>
            <w:tcW w:w="2793" w:type="pct"/>
            <w:tcBorders>
              <w:top w:val="nil"/>
              <w:left w:val="dotted" w:sz="4" w:space="0" w:color="5B9BD5"/>
              <w:bottom w:val="dotted" w:sz="4" w:space="0" w:color="5B9BD5"/>
              <w:right w:val="nil"/>
            </w:tcBorders>
            <w:shd w:val="clear" w:color="auto" w:fill="auto"/>
            <w:noWrap/>
            <w:vAlign w:val="center"/>
            <w:hideMark/>
          </w:tcPr>
          <w:p w14:paraId="1189073C"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50E74111"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nil"/>
            </w:tcBorders>
            <w:shd w:val="clear" w:color="auto" w:fill="auto"/>
            <w:noWrap/>
            <w:vAlign w:val="center"/>
            <w:hideMark/>
          </w:tcPr>
          <w:p w14:paraId="52B812D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7AB706D5"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6FE50F60"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1A528577"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FINANCED BY: Taxpayers' Equity</w:t>
            </w:r>
          </w:p>
        </w:tc>
        <w:tc>
          <w:tcPr>
            <w:tcW w:w="736" w:type="pct"/>
            <w:tcBorders>
              <w:top w:val="nil"/>
              <w:left w:val="nil"/>
              <w:bottom w:val="dotted" w:sz="4" w:space="0" w:color="5B9BD5"/>
              <w:right w:val="dotted" w:sz="4" w:space="0" w:color="5B9BD5"/>
            </w:tcBorders>
            <w:shd w:val="clear" w:color="auto" w:fill="auto"/>
            <w:noWrap/>
            <w:vAlign w:val="center"/>
            <w:hideMark/>
          </w:tcPr>
          <w:p w14:paraId="6AD6E3D2"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6" w:type="pct"/>
            <w:tcBorders>
              <w:top w:val="nil"/>
              <w:left w:val="nil"/>
              <w:bottom w:val="dotted" w:sz="4" w:space="0" w:color="5B9BD5"/>
              <w:right w:val="dotted" w:sz="4" w:space="0" w:color="5B9BD5"/>
            </w:tcBorders>
            <w:shd w:val="clear" w:color="auto" w:fill="auto"/>
            <w:noWrap/>
            <w:vAlign w:val="center"/>
            <w:hideMark/>
          </w:tcPr>
          <w:p w14:paraId="50EED4F7"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c>
          <w:tcPr>
            <w:tcW w:w="735" w:type="pct"/>
            <w:tcBorders>
              <w:top w:val="nil"/>
              <w:left w:val="nil"/>
              <w:bottom w:val="dotted" w:sz="4" w:space="0" w:color="5B9BD5"/>
              <w:right w:val="dotted" w:sz="4" w:space="0" w:color="5B9BD5"/>
            </w:tcBorders>
            <w:shd w:val="clear" w:color="auto" w:fill="auto"/>
            <w:noWrap/>
            <w:vAlign w:val="center"/>
            <w:hideMark/>
          </w:tcPr>
          <w:p w14:paraId="756CF44C"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 </w:t>
            </w:r>
          </w:p>
        </w:tc>
      </w:tr>
      <w:tr w:rsidR="007467ED" w:rsidRPr="007467ED" w14:paraId="5925A665"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418BDB2C"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PDC</w:t>
            </w:r>
          </w:p>
        </w:tc>
        <w:tc>
          <w:tcPr>
            <w:tcW w:w="736" w:type="pct"/>
            <w:tcBorders>
              <w:top w:val="nil"/>
              <w:left w:val="nil"/>
              <w:bottom w:val="dotted" w:sz="4" w:space="0" w:color="5B9BD5"/>
              <w:right w:val="dotted" w:sz="4" w:space="0" w:color="5B9BD5"/>
            </w:tcBorders>
            <w:shd w:val="clear" w:color="auto" w:fill="auto"/>
            <w:noWrap/>
            <w:vAlign w:val="center"/>
            <w:hideMark/>
          </w:tcPr>
          <w:p w14:paraId="2D640638"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13,444</w:t>
            </w:r>
          </w:p>
        </w:tc>
        <w:tc>
          <w:tcPr>
            <w:tcW w:w="736" w:type="pct"/>
            <w:tcBorders>
              <w:top w:val="nil"/>
              <w:left w:val="nil"/>
              <w:bottom w:val="dotted" w:sz="4" w:space="0" w:color="5B9BD5"/>
              <w:right w:val="dotted" w:sz="4" w:space="0" w:color="5B9BD5"/>
            </w:tcBorders>
            <w:shd w:val="clear" w:color="auto" w:fill="auto"/>
            <w:noWrap/>
            <w:vAlign w:val="center"/>
            <w:hideMark/>
          </w:tcPr>
          <w:p w14:paraId="714F6703"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5,423</w:t>
            </w:r>
          </w:p>
        </w:tc>
        <w:tc>
          <w:tcPr>
            <w:tcW w:w="735" w:type="pct"/>
            <w:tcBorders>
              <w:top w:val="nil"/>
              <w:left w:val="nil"/>
              <w:bottom w:val="dotted" w:sz="4" w:space="0" w:color="5B9BD5"/>
              <w:right w:val="dotted" w:sz="4" w:space="0" w:color="5B9BD5"/>
            </w:tcBorders>
            <w:shd w:val="clear" w:color="auto" w:fill="auto"/>
            <w:noWrap/>
            <w:vAlign w:val="center"/>
            <w:hideMark/>
          </w:tcPr>
          <w:p w14:paraId="0E2FC1AC"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18,867</w:t>
            </w:r>
          </w:p>
        </w:tc>
      </w:tr>
      <w:tr w:rsidR="007467ED" w:rsidRPr="007467ED" w14:paraId="53833579"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146D5267"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Retained earnings</w:t>
            </w:r>
          </w:p>
        </w:tc>
        <w:tc>
          <w:tcPr>
            <w:tcW w:w="736" w:type="pct"/>
            <w:tcBorders>
              <w:top w:val="nil"/>
              <w:left w:val="nil"/>
              <w:bottom w:val="dotted" w:sz="4" w:space="0" w:color="5B9BD5"/>
              <w:right w:val="dotted" w:sz="4" w:space="0" w:color="5B9BD5"/>
            </w:tcBorders>
            <w:shd w:val="clear" w:color="auto" w:fill="auto"/>
            <w:noWrap/>
            <w:vAlign w:val="center"/>
            <w:hideMark/>
          </w:tcPr>
          <w:p w14:paraId="40FEE780"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609</w:t>
            </w:r>
          </w:p>
        </w:tc>
        <w:tc>
          <w:tcPr>
            <w:tcW w:w="736" w:type="pct"/>
            <w:tcBorders>
              <w:top w:val="nil"/>
              <w:left w:val="nil"/>
              <w:bottom w:val="dotted" w:sz="4" w:space="0" w:color="5B9BD5"/>
              <w:right w:val="dotted" w:sz="4" w:space="0" w:color="5B9BD5"/>
            </w:tcBorders>
            <w:shd w:val="clear" w:color="auto" w:fill="auto"/>
            <w:noWrap/>
            <w:vAlign w:val="center"/>
            <w:hideMark/>
          </w:tcPr>
          <w:p w14:paraId="0E03E82E"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34</w:t>
            </w:r>
          </w:p>
        </w:tc>
        <w:tc>
          <w:tcPr>
            <w:tcW w:w="735" w:type="pct"/>
            <w:tcBorders>
              <w:top w:val="nil"/>
              <w:left w:val="nil"/>
              <w:bottom w:val="dotted" w:sz="4" w:space="0" w:color="5B9BD5"/>
              <w:right w:val="dotted" w:sz="4" w:space="0" w:color="5B9BD5"/>
            </w:tcBorders>
            <w:shd w:val="clear" w:color="auto" w:fill="auto"/>
            <w:noWrap/>
            <w:vAlign w:val="center"/>
            <w:hideMark/>
          </w:tcPr>
          <w:p w14:paraId="46EED58C"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643</w:t>
            </w:r>
          </w:p>
        </w:tc>
      </w:tr>
      <w:tr w:rsidR="007467ED" w:rsidRPr="007467ED" w14:paraId="7F482AC7"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auto" w:fill="auto"/>
            <w:noWrap/>
            <w:vAlign w:val="center"/>
            <w:hideMark/>
          </w:tcPr>
          <w:p w14:paraId="6BA74616" w14:textId="77777777" w:rsidR="007467ED" w:rsidRPr="007467ED" w:rsidRDefault="007467ED" w:rsidP="007467ED">
            <w:pPr>
              <w:spacing w:after="0" w:line="240" w:lineRule="auto"/>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Revaluation reserve</w:t>
            </w:r>
          </w:p>
        </w:tc>
        <w:tc>
          <w:tcPr>
            <w:tcW w:w="736" w:type="pct"/>
            <w:tcBorders>
              <w:top w:val="nil"/>
              <w:left w:val="nil"/>
              <w:bottom w:val="dotted" w:sz="4" w:space="0" w:color="5B9BD5"/>
              <w:right w:val="dotted" w:sz="4" w:space="0" w:color="5B9BD5"/>
            </w:tcBorders>
            <w:shd w:val="clear" w:color="auto" w:fill="auto"/>
            <w:noWrap/>
            <w:vAlign w:val="center"/>
            <w:hideMark/>
          </w:tcPr>
          <w:p w14:paraId="0B389FC0"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510</w:t>
            </w:r>
          </w:p>
        </w:tc>
        <w:tc>
          <w:tcPr>
            <w:tcW w:w="736" w:type="pct"/>
            <w:tcBorders>
              <w:top w:val="nil"/>
              <w:left w:val="nil"/>
              <w:bottom w:val="dotted" w:sz="4" w:space="0" w:color="5B9BD5"/>
              <w:right w:val="dotted" w:sz="4" w:space="0" w:color="5B9BD5"/>
            </w:tcBorders>
            <w:shd w:val="clear" w:color="auto" w:fill="auto"/>
            <w:noWrap/>
            <w:vAlign w:val="center"/>
            <w:hideMark/>
          </w:tcPr>
          <w:p w14:paraId="16552FA4"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58</w:t>
            </w:r>
          </w:p>
        </w:tc>
        <w:tc>
          <w:tcPr>
            <w:tcW w:w="735" w:type="pct"/>
            <w:tcBorders>
              <w:top w:val="nil"/>
              <w:left w:val="nil"/>
              <w:bottom w:val="dotted" w:sz="4" w:space="0" w:color="5B9BD5"/>
              <w:right w:val="dotted" w:sz="4" w:space="0" w:color="5B9BD5"/>
            </w:tcBorders>
            <w:shd w:val="clear" w:color="auto" w:fill="auto"/>
            <w:noWrap/>
            <w:vAlign w:val="center"/>
            <w:hideMark/>
          </w:tcPr>
          <w:p w14:paraId="5D116478" w14:textId="77777777" w:rsidR="007467ED" w:rsidRPr="007467ED" w:rsidRDefault="007467ED" w:rsidP="007467ED">
            <w:pPr>
              <w:spacing w:after="0" w:line="240" w:lineRule="auto"/>
              <w:jc w:val="right"/>
              <w:rPr>
                <w:rFonts w:ascii="Verdana" w:eastAsia="Times New Roman" w:hAnsi="Verdana" w:cs="Arial"/>
                <w:color w:val="000000"/>
                <w:sz w:val="18"/>
                <w:szCs w:val="18"/>
                <w:lang w:eastAsia="en-GB"/>
              </w:rPr>
            </w:pPr>
            <w:r w:rsidRPr="007467ED">
              <w:rPr>
                <w:rFonts w:ascii="Verdana" w:eastAsia="Times New Roman" w:hAnsi="Verdana" w:cs="Arial"/>
                <w:color w:val="000000"/>
                <w:sz w:val="18"/>
                <w:szCs w:val="18"/>
                <w:lang w:eastAsia="en-GB"/>
              </w:rPr>
              <w:t>568</w:t>
            </w:r>
          </w:p>
        </w:tc>
      </w:tr>
      <w:tr w:rsidR="007467ED" w:rsidRPr="007467ED" w14:paraId="213A8916" w14:textId="77777777" w:rsidTr="007467ED">
        <w:trPr>
          <w:trHeight w:val="264"/>
        </w:trPr>
        <w:tc>
          <w:tcPr>
            <w:tcW w:w="2793" w:type="pct"/>
            <w:tcBorders>
              <w:top w:val="nil"/>
              <w:left w:val="dotted" w:sz="4" w:space="0" w:color="5B9BD5"/>
              <w:bottom w:val="dotted" w:sz="4" w:space="0" w:color="5B9BD5"/>
              <w:right w:val="dotted" w:sz="4" w:space="0" w:color="5B9BD5"/>
            </w:tcBorders>
            <w:shd w:val="clear" w:color="000000" w:fill="B8CCE4"/>
            <w:noWrap/>
            <w:vAlign w:val="center"/>
            <w:hideMark/>
          </w:tcPr>
          <w:p w14:paraId="0E9E16AC" w14:textId="77777777" w:rsidR="007467ED" w:rsidRPr="007467ED" w:rsidRDefault="007467ED" w:rsidP="007467ED">
            <w:pPr>
              <w:spacing w:after="0" w:line="240" w:lineRule="auto"/>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TOTAL TAXPAYERS' EQUITY</w:t>
            </w:r>
          </w:p>
        </w:tc>
        <w:tc>
          <w:tcPr>
            <w:tcW w:w="736" w:type="pct"/>
            <w:tcBorders>
              <w:top w:val="nil"/>
              <w:left w:val="nil"/>
              <w:bottom w:val="dotted" w:sz="4" w:space="0" w:color="5B9BD5"/>
              <w:right w:val="dotted" w:sz="4" w:space="0" w:color="5B9BD5"/>
            </w:tcBorders>
            <w:shd w:val="clear" w:color="000000" w:fill="B8CCE4"/>
            <w:noWrap/>
            <w:vAlign w:val="center"/>
            <w:hideMark/>
          </w:tcPr>
          <w:p w14:paraId="61D87A0E"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14,563</w:t>
            </w:r>
          </w:p>
        </w:tc>
        <w:tc>
          <w:tcPr>
            <w:tcW w:w="736" w:type="pct"/>
            <w:tcBorders>
              <w:top w:val="nil"/>
              <w:left w:val="nil"/>
              <w:bottom w:val="dotted" w:sz="4" w:space="0" w:color="5B9BD5"/>
              <w:right w:val="dotted" w:sz="4" w:space="0" w:color="5B9BD5"/>
            </w:tcBorders>
            <w:shd w:val="clear" w:color="000000" w:fill="B8CCE4"/>
            <w:noWrap/>
            <w:vAlign w:val="center"/>
            <w:hideMark/>
          </w:tcPr>
          <w:p w14:paraId="48CF666B"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5,516</w:t>
            </w:r>
          </w:p>
        </w:tc>
        <w:tc>
          <w:tcPr>
            <w:tcW w:w="735" w:type="pct"/>
            <w:tcBorders>
              <w:top w:val="nil"/>
              <w:left w:val="nil"/>
              <w:bottom w:val="dotted" w:sz="4" w:space="0" w:color="5B9BD5"/>
              <w:right w:val="dotted" w:sz="4" w:space="0" w:color="5B9BD5"/>
            </w:tcBorders>
            <w:shd w:val="clear" w:color="000000" w:fill="B8CCE4"/>
            <w:noWrap/>
            <w:vAlign w:val="center"/>
            <w:hideMark/>
          </w:tcPr>
          <w:p w14:paraId="5798EFF6" w14:textId="77777777" w:rsidR="007467ED" w:rsidRPr="007467ED" w:rsidRDefault="007467ED" w:rsidP="007467ED">
            <w:pPr>
              <w:spacing w:after="0" w:line="240" w:lineRule="auto"/>
              <w:jc w:val="right"/>
              <w:rPr>
                <w:rFonts w:ascii="Verdana" w:eastAsia="Times New Roman" w:hAnsi="Verdana" w:cs="Arial"/>
                <w:b/>
                <w:bCs/>
                <w:color w:val="000000"/>
                <w:sz w:val="18"/>
                <w:szCs w:val="18"/>
                <w:lang w:eastAsia="en-GB"/>
              </w:rPr>
            </w:pPr>
            <w:r w:rsidRPr="007467ED">
              <w:rPr>
                <w:rFonts w:ascii="Verdana" w:eastAsia="Times New Roman" w:hAnsi="Verdana" w:cs="Arial"/>
                <w:b/>
                <w:bCs/>
                <w:color w:val="000000"/>
                <w:sz w:val="18"/>
                <w:szCs w:val="18"/>
                <w:lang w:eastAsia="en-GB"/>
              </w:rPr>
              <w:t>20,079</w:t>
            </w:r>
          </w:p>
        </w:tc>
      </w:tr>
    </w:tbl>
    <w:p w14:paraId="5DA9C6DD" w14:textId="77777777" w:rsidR="00734CA8" w:rsidRPr="007467ED" w:rsidRDefault="00734CA8" w:rsidP="00734CA8">
      <w:pPr>
        <w:jc w:val="both"/>
        <w:rPr>
          <w:rFonts w:ascii="Verdana" w:hAnsi="Verdana"/>
          <w:sz w:val="24"/>
          <w:szCs w:val="24"/>
        </w:rPr>
      </w:pPr>
    </w:p>
    <w:p w14:paraId="553EFD20" w14:textId="77777777" w:rsidR="007467ED" w:rsidRPr="007467ED" w:rsidRDefault="007467ED" w:rsidP="007467ED">
      <w:pPr>
        <w:jc w:val="both"/>
        <w:rPr>
          <w:rFonts w:ascii="Verdana" w:hAnsi="Verdana"/>
          <w:b/>
          <w:bCs/>
          <w:sz w:val="24"/>
          <w:szCs w:val="24"/>
          <w:lang w:eastAsia="en-GB"/>
        </w:rPr>
      </w:pPr>
      <w:r w:rsidRPr="007467ED">
        <w:rPr>
          <w:rFonts w:ascii="Verdana" w:hAnsi="Verdana"/>
          <w:b/>
          <w:bCs/>
          <w:sz w:val="24"/>
          <w:szCs w:val="24"/>
          <w:lang w:eastAsia="en-GB"/>
        </w:rPr>
        <w:t>Non-Current Assets</w:t>
      </w:r>
    </w:p>
    <w:p w14:paraId="6C81A397" w14:textId="77777777" w:rsidR="001215CD" w:rsidRPr="00D407ED" w:rsidRDefault="001215CD" w:rsidP="001215CD">
      <w:pPr>
        <w:jc w:val="both"/>
        <w:rPr>
          <w:rFonts w:ascii="Verdana" w:hAnsi="Verdana"/>
          <w:sz w:val="24"/>
          <w:szCs w:val="24"/>
          <w:lang w:eastAsia="en-GB"/>
        </w:rPr>
      </w:pPr>
      <w:r w:rsidRPr="00D407ED">
        <w:rPr>
          <w:rFonts w:ascii="Verdana" w:hAnsi="Verdana"/>
          <w:sz w:val="24"/>
          <w:szCs w:val="24"/>
          <w:lang w:eastAsia="en-GB"/>
        </w:rPr>
        <w:t>Property, plant and equipment has increased overall by £</w:t>
      </w:r>
      <w:r>
        <w:rPr>
          <w:rFonts w:ascii="Verdana" w:hAnsi="Verdana"/>
          <w:sz w:val="24"/>
          <w:szCs w:val="24"/>
          <w:lang w:eastAsia="en-GB"/>
        </w:rPr>
        <w:t>8.727m, the majority of which relates to Covid-19 projects</w:t>
      </w:r>
      <w:r w:rsidRPr="00D407ED">
        <w:rPr>
          <w:rFonts w:ascii="Verdana" w:hAnsi="Verdana"/>
          <w:sz w:val="24"/>
          <w:szCs w:val="24"/>
          <w:lang w:eastAsia="en-GB"/>
        </w:rPr>
        <w:t xml:space="preserve">.  This reflects the net position of our capital purchases to month </w:t>
      </w:r>
      <w:r w:rsidR="00E02403">
        <w:rPr>
          <w:rFonts w:ascii="Verdana" w:hAnsi="Verdana"/>
          <w:sz w:val="24"/>
          <w:szCs w:val="24"/>
          <w:lang w:eastAsia="en-GB"/>
        </w:rPr>
        <w:t>9</w:t>
      </w:r>
      <w:r>
        <w:rPr>
          <w:rFonts w:ascii="Verdana" w:hAnsi="Verdana"/>
          <w:sz w:val="24"/>
          <w:szCs w:val="24"/>
          <w:lang w:eastAsia="en-GB"/>
        </w:rPr>
        <w:t>.</w:t>
      </w:r>
      <w:r w:rsidRPr="00D407ED">
        <w:rPr>
          <w:rFonts w:ascii="Verdana" w:hAnsi="Verdana"/>
          <w:sz w:val="24"/>
          <w:szCs w:val="24"/>
          <w:lang w:eastAsia="en-GB"/>
        </w:rPr>
        <w:t xml:space="preserve"> </w:t>
      </w:r>
    </w:p>
    <w:p w14:paraId="446DD86F" w14:textId="77777777" w:rsidR="007467ED" w:rsidRPr="007467ED" w:rsidRDefault="007467ED" w:rsidP="007467ED">
      <w:pPr>
        <w:jc w:val="both"/>
        <w:rPr>
          <w:rFonts w:ascii="Verdana" w:hAnsi="Verdana"/>
          <w:b/>
          <w:bCs/>
          <w:sz w:val="24"/>
          <w:szCs w:val="24"/>
          <w:lang w:eastAsia="en-GB"/>
        </w:rPr>
      </w:pPr>
      <w:r w:rsidRPr="007467ED">
        <w:rPr>
          <w:rFonts w:ascii="Verdana" w:hAnsi="Verdana"/>
          <w:b/>
          <w:bCs/>
          <w:sz w:val="24"/>
          <w:szCs w:val="24"/>
          <w:lang w:eastAsia="en-GB"/>
        </w:rPr>
        <w:t>Current Assets</w:t>
      </w:r>
    </w:p>
    <w:p w14:paraId="4514E879" w14:textId="77777777" w:rsidR="00E02403" w:rsidRPr="00D407ED" w:rsidRDefault="00E02403" w:rsidP="00E02403">
      <w:pPr>
        <w:jc w:val="both"/>
        <w:rPr>
          <w:rFonts w:ascii="Verdana" w:hAnsi="Verdana"/>
          <w:sz w:val="24"/>
          <w:szCs w:val="24"/>
          <w:lang w:eastAsia="en-GB"/>
        </w:rPr>
      </w:pPr>
      <w:r w:rsidRPr="00D407ED">
        <w:rPr>
          <w:rFonts w:ascii="Verdana" w:hAnsi="Verdana"/>
          <w:sz w:val="24"/>
          <w:szCs w:val="24"/>
          <w:lang w:eastAsia="en-GB"/>
        </w:rPr>
        <w:t>Stock has increased by £1</w:t>
      </w:r>
      <w:r>
        <w:rPr>
          <w:rFonts w:ascii="Verdana" w:hAnsi="Verdana"/>
          <w:sz w:val="24"/>
          <w:szCs w:val="24"/>
          <w:lang w:eastAsia="en-GB"/>
        </w:rPr>
        <w:t>0</w:t>
      </w:r>
      <w:r w:rsidRPr="00D407ED">
        <w:rPr>
          <w:rFonts w:ascii="Verdana" w:hAnsi="Verdana"/>
          <w:sz w:val="24"/>
          <w:szCs w:val="24"/>
          <w:lang w:eastAsia="en-GB"/>
        </w:rPr>
        <w:t>.</w:t>
      </w:r>
      <w:r>
        <w:rPr>
          <w:rFonts w:ascii="Verdana" w:hAnsi="Verdana"/>
          <w:sz w:val="24"/>
          <w:szCs w:val="24"/>
          <w:lang w:eastAsia="en-GB"/>
        </w:rPr>
        <w:t>313</w:t>
      </w:r>
      <w:r w:rsidRPr="00D407ED">
        <w:rPr>
          <w:rFonts w:ascii="Verdana" w:hAnsi="Verdana"/>
          <w:sz w:val="24"/>
          <w:szCs w:val="24"/>
          <w:lang w:eastAsia="en-GB"/>
        </w:rPr>
        <w:t xml:space="preserve">m due to purchases of Covid-19 consumables for laboratories and testing facilities.  We expect the stock balance to </w:t>
      </w:r>
      <w:r>
        <w:rPr>
          <w:rFonts w:ascii="Verdana" w:hAnsi="Verdana"/>
          <w:sz w:val="24"/>
          <w:szCs w:val="24"/>
          <w:lang w:eastAsia="en-GB"/>
        </w:rPr>
        <w:t xml:space="preserve">continue to </w:t>
      </w:r>
      <w:r w:rsidRPr="00D407ED">
        <w:rPr>
          <w:rFonts w:ascii="Verdana" w:hAnsi="Verdana"/>
          <w:sz w:val="24"/>
          <w:szCs w:val="24"/>
          <w:lang w:eastAsia="en-GB"/>
        </w:rPr>
        <w:t>decrease over the coming months as testing progresses.</w:t>
      </w:r>
    </w:p>
    <w:p w14:paraId="4E27551B" w14:textId="77777777" w:rsidR="00E02403" w:rsidRPr="00D407ED" w:rsidRDefault="00E02403" w:rsidP="00E02403">
      <w:pPr>
        <w:jc w:val="both"/>
        <w:rPr>
          <w:rFonts w:ascii="Verdana" w:hAnsi="Verdana"/>
          <w:sz w:val="24"/>
          <w:szCs w:val="24"/>
          <w:lang w:eastAsia="en-GB"/>
        </w:rPr>
      </w:pPr>
      <w:r w:rsidRPr="00D407ED">
        <w:rPr>
          <w:rFonts w:ascii="Verdana" w:hAnsi="Verdana"/>
          <w:sz w:val="24"/>
          <w:szCs w:val="24"/>
          <w:lang w:eastAsia="en-GB"/>
        </w:rPr>
        <w:t>Trade and other receivables has increased by £2</w:t>
      </w:r>
      <w:r>
        <w:rPr>
          <w:rFonts w:ascii="Verdana" w:hAnsi="Verdana"/>
          <w:sz w:val="24"/>
          <w:szCs w:val="24"/>
          <w:lang w:eastAsia="en-GB"/>
        </w:rPr>
        <w:t>1</w:t>
      </w:r>
      <w:r w:rsidRPr="00D407ED">
        <w:rPr>
          <w:rFonts w:ascii="Verdana" w:hAnsi="Verdana"/>
          <w:sz w:val="24"/>
          <w:szCs w:val="24"/>
          <w:lang w:eastAsia="en-GB"/>
        </w:rPr>
        <w:t>.</w:t>
      </w:r>
      <w:r>
        <w:rPr>
          <w:rFonts w:ascii="Verdana" w:hAnsi="Verdana"/>
          <w:sz w:val="24"/>
          <w:szCs w:val="24"/>
          <w:lang w:eastAsia="en-GB"/>
        </w:rPr>
        <w:t>753</w:t>
      </w:r>
      <w:r w:rsidRPr="00D407ED">
        <w:rPr>
          <w:rFonts w:ascii="Verdana" w:hAnsi="Verdana"/>
          <w:sz w:val="24"/>
          <w:szCs w:val="24"/>
          <w:lang w:eastAsia="en-GB"/>
        </w:rPr>
        <w:t>m. This increase is predominantly on Whole of Government Accounts receivables</w:t>
      </w:r>
      <w:r>
        <w:rPr>
          <w:rFonts w:ascii="Verdana" w:hAnsi="Verdana"/>
          <w:sz w:val="24"/>
          <w:szCs w:val="24"/>
          <w:lang w:eastAsia="en-GB"/>
        </w:rPr>
        <w:t>,</w:t>
      </w:r>
      <w:r w:rsidRPr="00D407ED">
        <w:rPr>
          <w:rFonts w:ascii="Verdana" w:hAnsi="Verdana"/>
          <w:sz w:val="24"/>
          <w:szCs w:val="24"/>
          <w:lang w:eastAsia="en-GB"/>
        </w:rPr>
        <w:t xml:space="preserve"> Welsh Govern</w:t>
      </w:r>
      <w:r>
        <w:rPr>
          <w:rFonts w:ascii="Verdana" w:hAnsi="Verdana"/>
          <w:sz w:val="24"/>
          <w:szCs w:val="24"/>
          <w:lang w:eastAsia="en-GB"/>
        </w:rPr>
        <w:t>ment Covid-19 funding of £4.447m</w:t>
      </w:r>
      <w:r w:rsidRPr="00D407ED">
        <w:rPr>
          <w:rFonts w:ascii="Verdana" w:hAnsi="Verdana"/>
          <w:sz w:val="24"/>
          <w:szCs w:val="24"/>
          <w:lang w:eastAsia="en-GB"/>
        </w:rPr>
        <w:t xml:space="preserve"> and </w:t>
      </w:r>
      <w:r>
        <w:rPr>
          <w:rFonts w:ascii="Verdana" w:hAnsi="Verdana"/>
          <w:sz w:val="24"/>
          <w:szCs w:val="24"/>
          <w:lang w:eastAsia="en-GB"/>
        </w:rPr>
        <w:t>the</w:t>
      </w:r>
      <w:r w:rsidRPr="00D407ED">
        <w:rPr>
          <w:rFonts w:ascii="Verdana" w:hAnsi="Verdana"/>
          <w:sz w:val="24"/>
          <w:szCs w:val="24"/>
          <w:lang w:eastAsia="en-GB"/>
        </w:rPr>
        <w:t xml:space="preserve"> core income invoice </w:t>
      </w:r>
      <w:r>
        <w:rPr>
          <w:rFonts w:ascii="Verdana" w:hAnsi="Verdana"/>
          <w:sz w:val="24"/>
          <w:szCs w:val="24"/>
          <w:lang w:eastAsia="en-GB"/>
        </w:rPr>
        <w:t xml:space="preserve">of £8.860m </w:t>
      </w:r>
      <w:r w:rsidRPr="00D407ED">
        <w:rPr>
          <w:rFonts w:ascii="Verdana" w:hAnsi="Verdana"/>
          <w:sz w:val="24"/>
          <w:szCs w:val="24"/>
          <w:lang w:eastAsia="en-GB"/>
        </w:rPr>
        <w:t xml:space="preserve">for </w:t>
      </w:r>
      <w:r>
        <w:rPr>
          <w:rFonts w:ascii="Verdana" w:hAnsi="Verdana"/>
          <w:sz w:val="24"/>
          <w:szCs w:val="24"/>
          <w:lang w:eastAsia="en-GB"/>
        </w:rPr>
        <w:t>January</w:t>
      </w:r>
      <w:r w:rsidRPr="00D407ED">
        <w:rPr>
          <w:rFonts w:ascii="Verdana" w:hAnsi="Verdana"/>
          <w:sz w:val="24"/>
          <w:szCs w:val="24"/>
          <w:lang w:eastAsia="en-GB"/>
        </w:rPr>
        <w:t>, which is raised a month in advance</w:t>
      </w:r>
      <w:r>
        <w:rPr>
          <w:rFonts w:ascii="Verdana" w:hAnsi="Verdana"/>
          <w:sz w:val="24"/>
          <w:szCs w:val="24"/>
          <w:lang w:eastAsia="en-GB"/>
        </w:rPr>
        <w:t>.</w:t>
      </w:r>
      <w:r w:rsidRPr="00D407ED">
        <w:rPr>
          <w:rFonts w:ascii="Verdana" w:hAnsi="Verdana"/>
          <w:sz w:val="24"/>
          <w:szCs w:val="24"/>
          <w:lang w:eastAsia="en-GB"/>
        </w:rPr>
        <w:t xml:space="preserve"> NHS Wales Health </w:t>
      </w:r>
      <w:proofErr w:type="spellStart"/>
      <w:r w:rsidRPr="00D407ED">
        <w:rPr>
          <w:rFonts w:ascii="Verdana" w:hAnsi="Verdana"/>
          <w:sz w:val="24"/>
          <w:szCs w:val="24"/>
          <w:lang w:eastAsia="en-GB"/>
        </w:rPr>
        <w:t>Collaborativ</w:t>
      </w:r>
      <w:bookmarkStart w:id="5" w:name="_GoBack"/>
      <w:bookmarkEnd w:id="5"/>
      <w:r w:rsidRPr="00D407ED">
        <w:rPr>
          <w:rFonts w:ascii="Verdana" w:hAnsi="Verdana"/>
          <w:sz w:val="24"/>
          <w:szCs w:val="24"/>
          <w:lang w:eastAsia="en-GB"/>
        </w:rPr>
        <w:t>es</w:t>
      </w:r>
      <w:proofErr w:type="spellEnd"/>
      <w:r w:rsidRPr="00D407ED">
        <w:rPr>
          <w:rFonts w:ascii="Verdana" w:hAnsi="Verdana"/>
          <w:sz w:val="24"/>
          <w:szCs w:val="24"/>
          <w:lang w:eastAsia="en-GB"/>
        </w:rPr>
        <w:t xml:space="preserve"> </w:t>
      </w:r>
      <w:r>
        <w:rPr>
          <w:rFonts w:ascii="Verdana" w:hAnsi="Verdana"/>
          <w:sz w:val="24"/>
          <w:szCs w:val="24"/>
          <w:lang w:eastAsia="en-GB"/>
        </w:rPr>
        <w:t>core income allocation of £6.012m</w:t>
      </w:r>
      <w:r w:rsidRPr="00D407ED">
        <w:rPr>
          <w:rFonts w:ascii="Verdana" w:hAnsi="Verdana"/>
          <w:sz w:val="24"/>
          <w:szCs w:val="24"/>
          <w:lang w:eastAsia="en-GB"/>
        </w:rPr>
        <w:t xml:space="preserve"> and £</w:t>
      </w:r>
      <w:r>
        <w:rPr>
          <w:rFonts w:ascii="Verdana" w:hAnsi="Verdana"/>
          <w:sz w:val="24"/>
          <w:szCs w:val="24"/>
          <w:lang w:eastAsia="en-GB"/>
        </w:rPr>
        <w:t>3</w:t>
      </w:r>
      <w:r w:rsidRPr="00D407ED">
        <w:rPr>
          <w:rFonts w:ascii="Verdana" w:hAnsi="Verdana"/>
          <w:sz w:val="24"/>
          <w:szCs w:val="24"/>
          <w:lang w:eastAsia="en-GB"/>
        </w:rPr>
        <w:t>.</w:t>
      </w:r>
      <w:r>
        <w:rPr>
          <w:rFonts w:ascii="Verdana" w:hAnsi="Verdana"/>
          <w:sz w:val="24"/>
          <w:szCs w:val="24"/>
          <w:lang w:eastAsia="en-GB"/>
        </w:rPr>
        <w:t>500</w:t>
      </w:r>
      <w:r w:rsidRPr="00D407ED">
        <w:rPr>
          <w:rFonts w:ascii="Verdana" w:hAnsi="Verdana"/>
          <w:sz w:val="24"/>
          <w:szCs w:val="24"/>
          <w:lang w:eastAsia="en-GB"/>
        </w:rPr>
        <w:t>m for W</w:t>
      </w:r>
      <w:r>
        <w:rPr>
          <w:rFonts w:ascii="Verdana" w:hAnsi="Verdana"/>
          <w:sz w:val="24"/>
          <w:szCs w:val="24"/>
          <w:lang w:eastAsia="en-GB"/>
        </w:rPr>
        <w:t>elsh Government</w:t>
      </w:r>
      <w:r w:rsidRPr="00D407ED">
        <w:rPr>
          <w:rFonts w:ascii="Verdana" w:hAnsi="Verdana"/>
          <w:sz w:val="24"/>
          <w:szCs w:val="24"/>
          <w:lang w:eastAsia="en-GB"/>
        </w:rPr>
        <w:t xml:space="preserve"> Implementation Group Delivery Plan income.</w:t>
      </w:r>
    </w:p>
    <w:p w14:paraId="55F8BCE8" w14:textId="77777777" w:rsidR="007467ED" w:rsidRPr="007467ED" w:rsidRDefault="007467ED" w:rsidP="007467ED">
      <w:pPr>
        <w:jc w:val="both"/>
        <w:rPr>
          <w:rFonts w:ascii="Verdana" w:hAnsi="Verdana"/>
          <w:bCs/>
          <w:sz w:val="24"/>
          <w:szCs w:val="24"/>
          <w:lang w:eastAsia="en-GB"/>
        </w:rPr>
      </w:pPr>
      <w:r w:rsidRPr="007467ED">
        <w:rPr>
          <w:rFonts w:ascii="Verdana" w:hAnsi="Verdana"/>
          <w:bCs/>
          <w:sz w:val="24"/>
          <w:szCs w:val="24"/>
          <w:lang w:eastAsia="en-GB"/>
        </w:rPr>
        <w:t>Cash has reduced by £7.226m due to increased high value payments relating to Covid-19 during December.  These were expected and the cash position is being monitored routinely.</w:t>
      </w:r>
    </w:p>
    <w:p w14:paraId="4273F0CA" w14:textId="77777777" w:rsidR="007467ED" w:rsidRPr="007467ED" w:rsidRDefault="007467ED" w:rsidP="007467ED">
      <w:pPr>
        <w:jc w:val="both"/>
        <w:rPr>
          <w:rFonts w:ascii="Verdana" w:hAnsi="Verdana"/>
          <w:b/>
          <w:bCs/>
          <w:sz w:val="24"/>
          <w:szCs w:val="24"/>
          <w:lang w:eastAsia="en-GB"/>
        </w:rPr>
      </w:pPr>
      <w:r w:rsidRPr="007467ED">
        <w:rPr>
          <w:rFonts w:ascii="Verdana" w:hAnsi="Verdana"/>
          <w:b/>
          <w:bCs/>
          <w:sz w:val="24"/>
          <w:szCs w:val="24"/>
          <w:lang w:eastAsia="en-GB"/>
        </w:rPr>
        <w:t>Current liabilities</w:t>
      </w:r>
    </w:p>
    <w:p w14:paraId="74E94D6C" w14:textId="77777777" w:rsidR="00E02403" w:rsidRPr="00D407ED" w:rsidRDefault="00E02403" w:rsidP="00E02403">
      <w:pPr>
        <w:jc w:val="both"/>
        <w:rPr>
          <w:rFonts w:ascii="Verdana" w:hAnsi="Verdana"/>
          <w:sz w:val="24"/>
          <w:szCs w:val="24"/>
          <w:lang w:eastAsia="en-GB"/>
        </w:rPr>
      </w:pPr>
      <w:r w:rsidRPr="00D407ED">
        <w:rPr>
          <w:rFonts w:ascii="Verdana" w:hAnsi="Verdana"/>
          <w:sz w:val="24"/>
          <w:szCs w:val="24"/>
          <w:lang w:eastAsia="en-GB"/>
        </w:rPr>
        <w:t>Current trade and other payables has increased by £26.</w:t>
      </w:r>
      <w:r>
        <w:rPr>
          <w:rFonts w:ascii="Verdana" w:hAnsi="Verdana"/>
          <w:sz w:val="24"/>
          <w:szCs w:val="24"/>
          <w:lang w:eastAsia="en-GB"/>
        </w:rPr>
        <w:t>828</w:t>
      </w:r>
      <w:r w:rsidRPr="00D407ED">
        <w:rPr>
          <w:rFonts w:ascii="Verdana" w:hAnsi="Verdana"/>
          <w:sz w:val="24"/>
          <w:szCs w:val="24"/>
          <w:lang w:eastAsia="en-GB"/>
        </w:rPr>
        <w:t xml:space="preserve">m.  Welsh Government deferred </w:t>
      </w:r>
      <w:r>
        <w:rPr>
          <w:rFonts w:ascii="Verdana" w:hAnsi="Verdana"/>
          <w:sz w:val="24"/>
          <w:szCs w:val="24"/>
          <w:lang w:eastAsia="en-GB"/>
        </w:rPr>
        <w:t xml:space="preserve">core </w:t>
      </w:r>
      <w:r w:rsidRPr="00D407ED">
        <w:rPr>
          <w:rFonts w:ascii="Verdana" w:hAnsi="Verdana"/>
          <w:sz w:val="24"/>
          <w:szCs w:val="24"/>
          <w:lang w:eastAsia="en-GB"/>
        </w:rPr>
        <w:t>income of £14.</w:t>
      </w:r>
      <w:r>
        <w:rPr>
          <w:rFonts w:ascii="Verdana" w:hAnsi="Verdana"/>
          <w:sz w:val="24"/>
          <w:szCs w:val="24"/>
          <w:lang w:eastAsia="en-GB"/>
        </w:rPr>
        <w:t>377</w:t>
      </w:r>
      <w:r w:rsidRPr="00D407ED">
        <w:rPr>
          <w:rFonts w:ascii="Verdana" w:hAnsi="Verdana"/>
          <w:sz w:val="24"/>
          <w:szCs w:val="24"/>
          <w:lang w:eastAsia="en-GB"/>
        </w:rPr>
        <w:t xml:space="preserve">m is </w:t>
      </w:r>
      <w:r>
        <w:rPr>
          <w:rFonts w:ascii="Verdana" w:hAnsi="Verdana"/>
          <w:sz w:val="24"/>
          <w:szCs w:val="24"/>
          <w:lang w:eastAsia="en-GB"/>
        </w:rPr>
        <w:t>included in</w:t>
      </w:r>
      <w:r w:rsidRPr="00D407ED">
        <w:rPr>
          <w:rFonts w:ascii="Verdana" w:hAnsi="Verdana"/>
          <w:sz w:val="24"/>
          <w:szCs w:val="24"/>
          <w:lang w:eastAsia="en-GB"/>
        </w:rPr>
        <w:t xml:space="preserve"> this balance relating to baseline core income raised a month in advance </w:t>
      </w:r>
      <w:r>
        <w:rPr>
          <w:rFonts w:ascii="Verdana" w:hAnsi="Verdana"/>
          <w:sz w:val="24"/>
          <w:szCs w:val="24"/>
          <w:lang w:eastAsia="en-GB"/>
        </w:rPr>
        <w:t>£13.800m</w:t>
      </w:r>
      <w:r w:rsidRPr="00D407ED">
        <w:rPr>
          <w:rFonts w:ascii="Verdana" w:hAnsi="Verdana"/>
          <w:sz w:val="24"/>
          <w:szCs w:val="24"/>
          <w:lang w:eastAsia="en-GB"/>
        </w:rPr>
        <w:t xml:space="preserve"> </w:t>
      </w:r>
      <w:r>
        <w:rPr>
          <w:rFonts w:ascii="Verdana" w:hAnsi="Verdana"/>
          <w:sz w:val="24"/>
          <w:szCs w:val="24"/>
          <w:lang w:eastAsia="en-GB"/>
        </w:rPr>
        <w:t xml:space="preserve">and capital charges </w:t>
      </w:r>
      <w:r w:rsidRPr="00D407ED">
        <w:rPr>
          <w:rFonts w:ascii="Verdana" w:hAnsi="Verdana"/>
          <w:sz w:val="24"/>
          <w:szCs w:val="24"/>
          <w:lang w:eastAsia="en-GB"/>
        </w:rPr>
        <w:t>£0.</w:t>
      </w:r>
      <w:r>
        <w:rPr>
          <w:rFonts w:ascii="Verdana" w:hAnsi="Verdana"/>
          <w:sz w:val="24"/>
          <w:szCs w:val="24"/>
          <w:lang w:eastAsia="en-GB"/>
        </w:rPr>
        <w:t>577</w:t>
      </w:r>
      <w:r w:rsidRPr="00D407ED">
        <w:rPr>
          <w:rFonts w:ascii="Verdana" w:hAnsi="Verdana"/>
          <w:sz w:val="24"/>
          <w:szCs w:val="24"/>
          <w:lang w:eastAsia="en-GB"/>
        </w:rPr>
        <w:t>m.  There are also significant accruals in relation to purchase o</w:t>
      </w:r>
      <w:r>
        <w:rPr>
          <w:rFonts w:ascii="Verdana" w:hAnsi="Verdana"/>
          <w:sz w:val="24"/>
          <w:szCs w:val="24"/>
          <w:lang w:eastAsia="en-GB"/>
        </w:rPr>
        <w:t xml:space="preserve">rders for Covid-19 consumables </w:t>
      </w:r>
      <w:r w:rsidRPr="00D407ED">
        <w:rPr>
          <w:rFonts w:ascii="Verdana" w:hAnsi="Verdana"/>
          <w:sz w:val="24"/>
          <w:szCs w:val="24"/>
          <w:lang w:eastAsia="en-GB"/>
        </w:rPr>
        <w:t>£</w:t>
      </w:r>
      <w:r>
        <w:rPr>
          <w:rFonts w:ascii="Verdana" w:hAnsi="Verdana"/>
          <w:sz w:val="24"/>
          <w:szCs w:val="24"/>
          <w:lang w:eastAsia="en-GB"/>
        </w:rPr>
        <w:t>3</w:t>
      </w:r>
      <w:r w:rsidRPr="00D407ED">
        <w:rPr>
          <w:rFonts w:ascii="Verdana" w:hAnsi="Verdana"/>
          <w:sz w:val="24"/>
          <w:szCs w:val="24"/>
          <w:lang w:eastAsia="en-GB"/>
        </w:rPr>
        <w:t>.</w:t>
      </w:r>
      <w:r>
        <w:rPr>
          <w:rFonts w:ascii="Verdana" w:hAnsi="Verdana"/>
          <w:sz w:val="24"/>
          <w:szCs w:val="24"/>
          <w:lang w:eastAsia="en-GB"/>
        </w:rPr>
        <w:t>142m</w:t>
      </w:r>
      <w:r w:rsidRPr="00D407ED">
        <w:rPr>
          <w:rFonts w:ascii="Verdana" w:hAnsi="Verdana"/>
          <w:sz w:val="24"/>
          <w:szCs w:val="24"/>
          <w:lang w:eastAsia="en-GB"/>
        </w:rPr>
        <w:t>.  Other significant accruals include £0.</w:t>
      </w:r>
      <w:r w:rsidR="00AB2BD9">
        <w:rPr>
          <w:rFonts w:ascii="Verdana" w:hAnsi="Verdana"/>
          <w:sz w:val="24"/>
          <w:szCs w:val="24"/>
          <w:lang w:eastAsia="en-GB"/>
        </w:rPr>
        <w:t>880</w:t>
      </w:r>
      <w:r w:rsidRPr="00D407ED">
        <w:rPr>
          <w:rFonts w:ascii="Verdana" w:hAnsi="Verdana"/>
          <w:sz w:val="24"/>
          <w:szCs w:val="24"/>
          <w:lang w:eastAsia="en-GB"/>
        </w:rPr>
        <w:t>m for Capital creditors, £</w:t>
      </w:r>
      <w:r w:rsidR="00AB2BD9">
        <w:rPr>
          <w:rFonts w:ascii="Verdana" w:hAnsi="Verdana"/>
          <w:sz w:val="24"/>
          <w:szCs w:val="24"/>
          <w:lang w:eastAsia="en-GB"/>
        </w:rPr>
        <w:t>3</w:t>
      </w:r>
      <w:r w:rsidRPr="00D407ED">
        <w:rPr>
          <w:rFonts w:ascii="Verdana" w:hAnsi="Verdana"/>
          <w:sz w:val="24"/>
          <w:szCs w:val="24"/>
          <w:lang w:eastAsia="en-GB"/>
        </w:rPr>
        <w:t>.24</w:t>
      </w:r>
      <w:r w:rsidR="00AB2BD9">
        <w:rPr>
          <w:rFonts w:ascii="Verdana" w:hAnsi="Verdana"/>
          <w:sz w:val="24"/>
          <w:szCs w:val="24"/>
          <w:lang w:eastAsia="en-GB"/>
        </w:rPr>
        <w:t>6</w:t>
      </w:r>
      <w:r w:rsidRPr="00D407ED">
        <w:rPr>
          <w:rFonts w:ascii="Verdana" w:hAnsi="Verdana"/>
          <w:sz w:val="24"/>
          <w:szCs w:val="24"/>
          <w:lang w:eastAsia="en-GB"/>
        </w:rPr>
        <w:t xml:space="preserve">m for pay and non-pay expenditure accruals within the NHS Wales Health Collaborative, </w:t>
      </w:r>
      <w:r w:rsidRPr="00D407ED">
        <w:rPr>
          <w:rFonts w:ascii="Verdana" w:hAnsi="Verdana"/>
          <w:sz w:val="24"/>
          <w:szCs w:val="24"/>
          <w:lang w:eastAsia="en-GB"/>
        </w:rPr>
        <w:lastRenderedPageBreak/>
        <w:t>£0.0</w:t>
      </w:r>
      <w:r w:rsidR="00AB2BD9">
        <w:rPr>
          <w:rFonts w:ascii="Verdana" w:hAnsi="Verdana"/>
          <w:sz w:val="24"/>
          <w:szCs w:val="24"/>
          <w:lang w:eastAsia="en-GB"/>
        </w:rPr>
        <w:t>37</w:t>
      </w:r>
      <w:r w:rsidRPr="00D407ED">
        <w:rPr>
          <w:rFonts w:ascii="Verdana" w:hAnsi="Verdana"/>
          <w:sz w:val="24"/>
          <w:szCs w:val="24"/>
          <w:lang w:eastAsia="en-GB"/>
        </w:rPr>
        <w:t>m for the NWSSP 365 rollout and £2.</w:t>
      </w:r>
      <w:r w:rsidR="00AB2BD9">
        <w:rPr>
          <w:rFonts w:ascii="Verdana" w:hAnsi="Verdana"/>
          <w:sz w:val="24"/>
          <w:szCs w:val="24"/>
          <w:lang w:eastAsia="en-GB"/>
        </w:rPr>
        <w:t>556</w:t>
      </w:r>
      <w:r w:rsidRPr="00D407ED">
        <w:rPr>
          <w:rFonts w:ascii="Verdana" w:hAnsi="Verdana"/>
          <w:sz w:val="24"/>
          <w:szCs w:val="24"/>
          <w:lang w:eastAsia="en-GB"/>
        </w:rPr>
        <w:t>m for Health &amp; Wellbeing accruals for NERS and Healthy Schools scheme.</w:t>
      </w:r>
    </w:p>
    <w:p w14:paraId="354C127C" w14:textId="77777777" w:rsidR="00E02403" w:rsidRPr="00D407ED" w:rsidRDefault="00E02403" w:rsidP="00E02403">
      <w:pPr>
        <w:jc w:val="both"/>
        <w:rPr>
          <w:rFonts w:ascii="Verdana" w:hAnsi="Verdana"/>
          <w:b/>
          <w:sz w:val="24"/>
          <w:szCs w:val="24"/>
          <w:lang w:eastAsia="en-GB"/>
        </w:rPr>
      </w:pPr>
      <w:r w:rsidRPr="00D407ED">
        <w:rPr>
          <w:rFonts w:ascii="Verdana" w:hAnsi="Verdana"/>
          <w:sz w:val="24"/>
          <w:szCs w:val="24"/>
          <w:lang w:eastAsia="en-GB"/>
        </w:rPr>
        <w:t>The increase in provisions of £0.7</w:t>
      </w:r>
      <w:r w:rsidR="00AB2BD9">
        <w:rPr>
          <w:rFonts w:ascii="Verdana" w:hAnsi="Verdana"/>
          <w:sz w:val="24"/>
          <w:szCs w:val="24"/>
          <w:lang w:eastAsia="en-GB"/>
        </w:rPr>
        <w:t>4</w:t>
      </w:r>
      <w:r w:rsidRPr="00D407ED">
        <w:rPr>
          <w:rFonts w:ascii="Verdana" w:hAnsi="Verdana"/>
          <w:sz w:val="24"/>
          <w:szCs w:val="24"/>
          <w:lang w:eastAsia="en-GB"/>
        </w:rPr>
        <w:t xml:space="preserve">4m is primarily due to 3 </w:t>
      </w:r>
      <w:r>
        <w:rPr>
          <w:rFonts w:ascii="Verdana" w:hAnsi="Verdana"/>
          <w:sz w:val="24"/>
          <w:szCs w:val="24"/>
          <w:lang w:eastAsia="en-GB"/>
        </w:rPr>
        <w:t xml:space="preserve">new </w:t>
      </w:r>
      <w:r w:rsidRPr="00D407ED">
        <w:rPr>
          <w:rFonts w:ascii="Verdana" w:hAnsi="Verdana"/>
          <w:sz w:val="24"/>
          <w:szCs w:val="24"/>
          <w:lang w:eastAsia="en-GB"/>
        </w:rPr>
        <w:t>clinical negligence cases in June 20/21.  The Trust is only liable for £7</w:t>
      </w:r>
      <w:r>
        <w:rPr>
          <w:rFonts w:ascii="Verdana" w:hAnsi="Verdana"/>
          <w:sz w:val="24"/>
          <w:szCs w:val="24"/>
          <w:lang w:eastAsia="en-GB"/>
        </w:rPr>
        <w:t xml:space="preserve">5k of the increase in provision, </w:t>
      </w:r>
      <w:r w:rsidRPr="00D407ED">
        <w:rPr>
          <w:rFonts w:ascii="Verdana" w:hAnsi="Verdana"/>
          <w:sz w:val="24"/>
          <w:szCs w:val="24"/>
          <w:lang w:eastAsia="en-GB"/>
        </w:rPr>
        <w:t>the first £25k of payments on each case</w:t>
      </w:r>
      <w:r>
        <w:rPr>
          <w:rFonts w:ascii="Verdana" w:hAnsi="Verdana"/>
          <w:sz w:val="24"/>
          <w:szCs w:val="24"/>
          <w:lang w:eastAsia="en-GB"/>
        </w:rPr>
        <w:t>,</w:t>
      </w:r>
      <w:r w:rsidRPr="00D407ED">
        <w:rPr>
          <w:rFonts w:ascii="Verdana" w:hAnsi="Verdana"/>
          <w:sz w:val="24"/>
          <w:szCs w:val="24"/>
          <w:lang w:eastAsia="en-GB"/>
        </w:rPr>
        <w:t xml:space="preserve"> with the remainder being reimbursed by the Welsh Risk Pool.</w:t>
      </w:r>
    </w:p>
    <w:p w14:paraId="426DE867" w14:textId="77777777" w:rsidR="007467ED" w:rsidRPr="007467ED" w:rsidRDefault="007467ED" w:rsidP="007467ED">
      <w:pPr>
        <w:jc w:val="both"/>
        <w:rPr>
          <w:rFonts w:ascii="Verdana" w:hAnsi="Verdana"/>
          <w:b/>
          <w:bCs/>
          <w:sz w:val="24"/>
          <w:szCs w:val="24"/>
          <w:lang w:eastAsia="en-GB"/>
        </w:rPr>
      </w:pPr>
      <w:r w:rsidRPr="007467ED">
        <w:rPr>
          <w:rFonts w:ascii="Verdana" w:hAnsi="Verdana"/>
          <w:b/>
          <w:bCs/>
          <w:sz w:val="24"/>
          <w:szCs w:val="24"/>
          <w:lang w:eastAsia="en-GB"/>
        </w:rPr>
        <w:t>PDC</w:t>
      </w:r>
    </w:p>
    <w:p w14:paraId="0D798A97" w14:textId="77777777" w:rsidR="007467ED" w:rsidRPr="007467ED" w:rsidRDefault="007467ED" w:rsidP="007467ED">
      <w:pPr>
        <w:jc w:val="both"/>
        <w:rPr>
          <w:rFonts w:ascii="Verdana" w:hAnsi="Verdana"/>
          <w:bCs/>
          <w:sz w:val="24"/>
          <w:szCs w:val="24"/>
          <w:lang w:eastAsia="en-GB"/>
        </w:rPr>
      </w:pPr>
      <w:r w:rsidRPr="007467ED">
        <w:rPr>
          <w:rFonts w:ascii="Verdana" w:hAnsi="Verdana"/>
          <w:bCs/>
          <w:sz w:val="24"/>
          <w:szCs w:val="24"/>
          <w:lang w:eastAsia="en-GB"/>
        </w:rPr>
        <w:t>The Public Dividend Capital (PDC) balance has increased by £5.423m since the beginning of the year. Welsh Government has provided upfront PDC to fund the build of the laboratory at Imperial Park, Newport as well as other Covid-related capital purchases.</w:t>
      </w:r>
    </w:p>
    <w:p w14:paraId="0AC68E29" w14:textId="77777777" w:rsidR="00A470E5" w:rsidRPr="005E7AA3" w:rsidRDefault="004636D9" w:rsidP="004636D9">
      <w:pPr>
        <w:pStyle w:val="ListParagraph"/>
        <w:numPr>
          <w:ilvl w:val="0"/>
          <w:numId w:val="10"/>
        </w:numPr>
        <w:jc w:val="both"/>
        <w:rPr>
          <w:rFonts w:ascii="Verdana" w:hAnsi="Verdana"/>
          <w:b/>
          <w:u w:val="single"/>
        </w:rPr>
      </w:pPr>
      <w:r w:rsidRPr="005E7AA3">
        <w:rPr>
          <w:rFonts w:ascii="Verdana" w:hAnsi="Verdana"/>
          <w:b/>
          <w:u w:val="single"/>
        </w:rPr>
        <w:t>Procurement Activity and Supply Chain</w:t>
      </w:r>
    </w:p>
    <w:p w14:paraId="7E48836C" w14:textId="77777777" w:rsidR="00FF7411" w:rsidRPr="005E7AA3" w:rsidRDefault="00FF7411" w:rsidP="00346DCD">
      <w:pPr>
        <w:jc w:val="both"/>
        <w:rPr>
          <w:rFonts w:ascii="Verdana" w:hAnsi="Verdana"/>
          <w:sz w:val="24"/>
          <w:szCs w:val="24"/>
        </w:rPr>
      </w:pPr>
    </w:p>
    <w:p w14:paraId="3EE6BFD8" w14:textId="77777777" w:rsidR="00DB0561" w:rsidRPr="005E7AA3" w:rsidRDefault="00DB0561" w:rsidP="001C6453">
      <w:pPr>
        <w:jc w:val="both"/>
        <w:rPr>
          <w:rFonts w:ascii="Verdana" w:hAnsi="Verdana"/>
          <w:sz w:val="24"/>
          <w:szCs w:val="24"/>
        </w:rPr>
      </w:pPr>
      <w:r w:rsidRPr="005E7AA3">
        <w:rPr>
          <w:rFonts w:ascii="Verdana" w:hAnsi="Verdana" w:cs="Arial"/>
          <w:sz w:val="24"/>
          <w:szCs w:val="24"/>
        </w:rPr>
        <w:t>The Audit and Corporate Governance Committee are provided with a report on procurement activity in accordance with paragraph 1.2.1 and Schedule 1 of the SFIs.  This includes an explanation of the reasons and circumstances for Single Quotation Action and Single Tender Action along with the further action taken.</w:t>
      </w:r>
    </w:p>
    <w:p w14:paraId="355A93D1" w14:textId="77777777" w:rsidR="004636D9" w:rsidRPr="005E7AA3" w:rsidRDefault="00CD03E6" w:rsidP="001C6453">
      <w:pPr>
        <w:jc w:val="both"/>
        <w:rPr>
          <w:rFonts w:ascii="Verdana" w:hAnsi="Verdana"/>
          <w:sz w:val="24"/>
          <w:szCs w:val="24"/>
        </w:rPr>
      </w:pPr>
      <w:r w:rsidRPr="005E7AA3">
        <w:rPr>
          <w:rFonts w:ascii="Verdana" w:hAnsi="Verdana"/>
          <w:sz w:val="24"/>
          <w:szCs w:val="24"/>
        </w:rPr>
        <w:t xml:space="preserve">As part of the Sampling and Testing activity a Laboratory Rapid Implementation Programme Board </w:t>
      </w:r>
      <w:r w:rsidR="00976D14" w:rsidRPr="005E7AA3">
        <w:rPr>
          <w:rFonts w:ascii="Verdana" w:hAnsi="Verdana"/>
          <w:sz w:val="24"/>
          <w:szCs w:val="24"/>
        </w:rPr>
        <w:t>was</w:t>
      </w:r>
      <w:r w:rsidRPr="005E7AA3">
        <w:rPr>
          <w:rFonts w:ascii="Verdana" w:hAnsi="Verdana"/>
          <w:sz w:val="24"/>
          <w:szCs w:val="24"/>
        </w:rPr>
        <w:t xml:space="preserve"> established to track progress </w:t>
      </w:r>
      <w:r w:rsidR="00DC148B" w:rsidRPr="005E7AA3">
        <w:rPr>
          <w:rFonts w:ascii="Verdana" w:hAnsi="Verdana"/>
          <w:sz w:val="24"/>
          <w:szCs w:val="24"/>
        </w:rPr>
        <w:t xml:space="preserve">on the increased </w:t>
      </w:r>
      <w:r w:rsidRPr="005E7AA3">
        <w:rPr>
          <w:rFonts w:ascii="Verdana" w:hAnsi="Verdana"/>
          <w:sz w:val="24"/>
          <w:szCs w:val="24"/>
        </w:rPr>
        <w:t>capacity</w:t>
      </w:r>
      <w:r w:rsidR="00976D14" w:rsidRPr="005E7AA3">
        <w:rPr>
          <w:rFonts w:ascii="Verdana" w:hAnsi="Verdana"/>
          <w:sz w:val="24"/>
          <w:szCs w:val="24"/>
        </w:rPr>
        <w:t xml:space="preserve"> and monitor impact of</w:t>
      </w:r>
      <w:r w:rsidR="00DC148B" w:rsidRPr="005E7AA3">
        <w:rPr>
          <w:rFonts w:ascii="Verdana" w:hAnsi="Verdana"/>
          <w:sz w:val="24"/>
          <w:szCs w:val="24"/>
        </w:rPr>
        <w:t xml:space="preserve"> any supply chain issues</w:t>
      </w:r>
      <w:r w:rsidR="00976D14" w:rsidRPr="005E7AA3">
        <w:rPr>
          <w:rFonts w:ascii="Verdana" w:hAnsi="Verdana"/>
          <w:sz w:val="24"/>
          <w:szCs w:val="24"/>
        </w:rPr>
        <w:t>.</w:t>
      </w:r>
      <w:r w:rsidR="00DC148B" w:rsidRPr="005E7AA3">
        <w:rPr>
          <w:rFonts w:ascii="Verdana" w:hAnsi="Verdana"/>
          <w:sz w:val="24"/>
          <w:szCs w:val="24"/>
        </w:rPr>
        <w:t xml:space="preserve">  The Programme Board</w:t>
      </w:r>
      <w:r w:rsidR="00AB2BD9">
        <w:rPr>
          <w:rFonts w:ascii="Verdana" w:hAnsi="Verdana"/>
          <w:sz w:val="24"/>
          <w:szCs w:val="24"/>
        </w:rPr>
        <w:t xml:space="preserve"> </w:t>
      </w:r>
      <w:r w:rsidR="00DC148B" w:rsidRPr="005E7AA3">
        <w:rPr>
          <w:rFonts w:ascii="Verdana" w:hAnsi="Verdana"/>
          <w:sz w:val="24"/>
          <w:szCs w:val="24"/>
        </w:rPr>
        <w:t xml:space="preserve">provide </w:t>
      </w:r>
      <w:r w:rsidRPr="005E7AA3">
        <w:rPr>
          <w:rFonts w:ascii="Verdana" w:hAnsi="Verdana"/>
          <w:sz w:val="24"/>
          <w:szCs w:val="24"/>
        </w:rPr>
        <w:t>regular updates to Business Executive Team and appropriate escalation to Board as necessary.</w:t>
      </w:r>
    </w:p>
    <w:p w14:paraId="6EE5844D" w14:textId="77777777" w:rsidR="000C54A5" w:rsidRPr="0057789B" w:rsidRDefault="00A470E5" w:rsidP="001C6453">
      <w:pPr>
        <w:jc w:val="both"/>
        <w:rPr>
          <w:rFonts w:ascii="Verdana" w:hAnsi="Verdana"/>
          <w:sz w:val="24"/>
          <w:szCs w:val="24"/>
        </w:rPr>
      </w:pPr>
      <w:r w:rsidRPr="0057789B">
        <w:rPr>
          <w:rFonts w:ascii="Verdana" w:eastAsia="Times New Roman" w:hAnsi="Verdana"/>
          <w:b/>
          <w:sz w:val="24"/>
          <w:szCs w:val="24"/>
          <w:u w:val="single"/>
        </w:rPr>
        <w:t>Conclusion</w:t>
      </w:r>
    </w:p>
    <w:p w14:paraId="761173D5" w14:textId="73C060E3" w:rsidR="00A470E5" w:rsidRPr="0057789B" w:rsidRDefault="000C54A5" w:rsidP="000C54A5">
      <w:pPr>
        <w:jc w:val="both"/>
        <w:rPr>
          <w:rFonts w:ascii="Verdana" w:hAnsi="Verdana" w:cs="Arial"/>
          <w:sz w:val="24"/>
          <w:szCs w:val="24"/>
        </w:rPr>
      </w:pPr>
      <w:r w:rsidRPr="0057789B">
        <w:rPr>
          <w:rFonts w:ascii="Verdana" w:hAnsi="Verdana" w:cs="Arial"/>
          <w:sz w:val="24"/>
          <w:szCs w:val="24"/>
        </w:rPr>
        <w:t xml:space="preserve">The Board </w:t>
      </w:r>
      <w:r w:rsidR="00A470E5" w:rsidRPr="0057789B">
        <w:rPr>
          <w:rFonts w:ascii="Verdana" w:hAnsi="Verdana" w:cs="Arial"/>
          <w:sz w:val="24"/>
          <w:szCs w:val="24"/>
        </w:rPr>
        <w:t xml:space="preserve">is asked to </w:t>
      </w:r>
      <w:r w:rsidR="007F76F5">
        <w:rPr>
          <w:rFonts w:ascii="Verdana" w:hAnsi="Verdana" w:cs="Arial"/>
          <w:b/>
          <w:sz w:val="24"/>
          <w:szCs w:val="24"/>
        </w:rPr>
        <w:t>consider</w:t>
      </w:r>
      <w:r w:rsidR="00A470E5" w:rsidRPr="007F76F5">
        <w:rPr>
          <w:rFonts w:ascii="Verdana" w:hAnsi="Verdana" w:cs="Arial"/>
          <w:b/>
          <w:sz w:val="24"/>
          <w:szCs w:val="24"/>
        </w:rPr>
        <w:t xml:space="preserve"> </w:t>
      </w:r>
      <w:r w:rsidR="00A470E5" w:rsidRPr="0057789B">
        <w:rPr>
          <w:rFonts w:ascii="Verdana" w:hAnsi="Verdana" w:cs="Arial"/>
          <w:sz w:val="24"/>
          <w:szCs w:val="24"/>
        </w:rPr>
        <w:t>the following:</w:t>
      </w:r>
    </w:p>
    <w:p w14:paraId="1695A7F2" w14:textId="77777777" w:rsidR="00A470E5" w:rsidRPr="0057789B" w:rsidRDefault="00CF311D" w:rsidP="00353A24">
      <w:pPr>
        <w:pStyle w:val="ListParagraph"/>
        <w:numPr>
          <w:ilvl w:val="0"/>
          <w:numId w:val="2"/>
        </w:numPr>
        <w:rPr>
          <w:rFonts w:ascii="Verdana" w:hAnsi="Verdana" w:cs="Arial"/>
        </w:rPr>
      </w:pPr>
      <w:r w:rsidRPr="0057789B">
        <w:rPr>
          <w:rFonts w:ascii="Verdana" w:hAnsi="Verdana" w:cs="Arial"/>
        </w:rPr>
        <w:t xml:space="preserve">A surplus </w:t>
      </w:r>
      <w:r w:rsidR="00A470E5" w:rsidRPr="0057789B">
        <w:rPr>
          <w:rFonts w:ascii="Verdana" w:hAnsi="Verdana" w:cs="Arial"/>
        </w:rPr>
        <w:t>financial position</w:t>
      </w:r>
      <w:r w:rsidR="0057789B">
        <w:rPr>
          <w:rFonts w:ascii="Verdana" w:hAnsi="Verdana" w:cs="Arial"/>
        </w:rPr>
        <w:t xml:space="preserve"> of £36</w:t>
      </w:r>
      <w:r w:rsidRPr="0057789B">
        <w:rPr>
          <w:rFonts w:ascii="Verdana" w:hAnsi="Verdana" w:cs="Arial"/>
        </w:rPr>
        <w:t>k</w:t>
      </w:r>
      <w:r w:rsidR="002F2144" w:rsidRPr="0057789B">
        <w:rPr>
          <w:rFonts w:ascii="Verdana" w:hAnsi="Verdana" w:cs="Arial"/>
        </w:rPr>
        <w:t>, along with the assumed allocations,</w:t>
      </w:r>
      <w:r w:rsidR="0057789B">
        <w:rPr>
          <w:rFonts w:ascii="Verdana" w:hAnsi="Verdana" w:cs="Arial"/>
        </w:rPr>
        <w:t xml:space="preserve"> reported at month 9</w:t>
      </w:r>
      <w:r w:rsidR="002F2144" w:rsidRPr="0057789B">
        <w:rPr>
          <w:rFonts w:ascii="Verdana" w:hAnsi="Verdana" w:cs="Arial"/>
        </w:rPr>
        <w:t>;</w:t>
      </w:r>
    </w:p>
    <w:p w14:paraId="0658A23E" w14:textId="77777777" w:rsidR="002F2144" w:rsidRPr="0057789B" w:rsidRDefault="002F2144" w:rsidP="002F2144">
      <w:pPr>
        <w:pStyle w:val="ListParagraph"/>
        <w:ind w:left="1080"/>
        <w:rPr>
          <w:rFonts w:ascii="Verdana" w:hAnsi="Verdana" w:cs="Arial"/>
        </w:rPr>
      </w:pPr>
    </w:p>
    <w:p w14:paraId="1154E843" w14:textId="77777777" w:rsidR="002F2144" w:rsidRPr="0057789B" w:rsidRDefault="0070756E" w:rsidP="00353A24">
      <w:pPr>
        <w:pStyle w:val="ListParagraph"/>
        <w:numPr>
          <w:ilvl w:val="0"/>
          <w:numId w:val="2"/>
        </w:numPr>
        <w:rPr>
          <w:rFonts w:ascii="Verdana" w:hAnsi="Verdana" w:cs="Arial"/>
        </w:rPr>
      </w:pPr>
      <w:r w:rsidRPr="0057789B">
        <w:rPr>
          <w:rFonts w:ascii="Verdana" w:hAnsi="Verdana" w:cs="Arial"/>
        </w:rPr>
        <w:t xml:space="preserve">A </w:t>
      </w:r>
      <w:r w:rsidR="002F2144" w:rsidRPr="0057789B">
        <w:rPr>
          <w:rFonts w:ascii="Verdana" w:hAnsi="Verdana" w:cs="Arial"/>
        </w:rPr>
        <w:t xml:space="preserve">forecast </w:t>
      </w:r>
      <w:r w:rsidR="00CF311D" w:rsidRPr="0057789B">
        <w:rPr>
          <w:rFonts w:ascii="Verdana" w:hAnsi="Verdana" w:cs="Arial"/>
        </w:rPr>
        <w:t xml:space="preserve">year-end break-even </w:t>
      </w:r>
      <w:r w:rsidR="002F2144" w:rsidRPr="0057789B">
        <w:rPr>
          <w:rFonts w:ascii="Verdana" w:hAnsi="Verdana" w:cs="Arial"/>
        </w:rPr>
        <w:t>posi</w:t>
      </w:r>
      <w:r w:rsidR="005F532F" w:rsidRPr="0057789B">
        <w:rPr>
          <w:rFonts w:ascii="Verdana" w:hAnsi="Verdana" w:cs="Arial"/>
        </w:rPr>
        <w:t xml:space="preserve">tion, which includes the month </w:t>
      </w:r>
      <w:r w:rsidR="0057789B">
        <w:rPr>
          <w:rFonts w:ascii="Verdana" w:hAnsi="Verdana" w:cs="Arial"/>
        </w:rPr>
        <w:t>10</w:t>
      </w:r>
      <w:r w:rsidR="002F2144" w:rsidRPr="0057789B">
        <w:rPr>
          <w:rFonts w:ascii="Verdana" w:hAnsi="Verdana" w:cs="Arial"/>
        </w:rPr>
        <w:t xml:space="preserve"> to month 12 projections for Covid-19 testing capacity;</w:t>
      </w:r>
    </w:p>
    <w:p w14:paraId="015F0D9D" w14:textId="77777777" w:rsidR="00A470E5" w:rsidRPr="0057789B" w:rsidRDefault="00A470E5" w:rsidP="00A470E5">
      <w:pPr>
        <w:spacing w:after="0" w:line="240" w:lineRule="auto"/>
        <w:ind w:left="1166"/>
        <w:contextualSpacing/>
        <w:rPr>
          <w:rFonts w:ascii="Verdana" w:hAnsi="Verdana" w:cs="Arial"/>
          <w:sz w:val="24"/>
          <w:szCs w:val="24"/>
        </w:rPr>
      </w:pPr>
    </w:p>
    <w:p w14:paraId="3699E726" w14:textId="77777777" w:rsidR="00A470E5" w:rsidRPr="0057789B" w:rsidRDefault="0070756E" w:rsidP="00353A24">
      <w:pPr>
        <w:pStyle w:val="ListParagraph"/>
        <w:numPr>
          <w:ilvl w:val="0"/>
          <w:numId w:val="2"/>
        </w:numPr>
        <w:rPr>
          <w:rFonts w:ascii="Verdana" w:hAnsi="Verdana" w:cs="Arial"/>
        </w:rPr>
      </w:pPr>
      <w:r w:rsidRPr="0057789B">
        <w:rPr>
          <w:rFonts w:ascii="Verdana" w:hAnsi="Verdana" w:cs="Arial"/>
        </w:rPr>
        <w:t>S</w:t>
      </w:r>
      <w:r w:rsidR="00A470E5" w:rsidRPr="0057789B">
        <w:rPr>
          <w:rFonts w:ascii="Verdana" w:hAnsi="Verdana" w:cs="Arial"/>
        </w:rPr>
        <w:t>tatus of the Capital Programme</w:t>
      </w:r>
      <w:r w:rsidR="002F2144" w:rsidRPr="0057789B">
        <w:rPr>
          <w:rFonts w:ascii="Verdana" w:hAnsi="Verdana" w:cs="Arial"/>
        </w:rPr>
        <w:t>, strategic and discretionary,</w:t>
      </w:r>
      <w:r w:rsidR="00A470E5" w:rsidRPr="0057789B">
        <w:rPr>
          <w:rFonts w:ascii="Verdana" w:hAnsi="Verdana" w:cs="Arial"/>
        </w:rPr>
        <w:t xml:space="preserve"> for 2020/21</w:t>
      </w:r>
      <w:r w:rsidR="002F2144" w:rsidRPr="0057789B">
        <w:rPr>
          <w:rFonts w:ascii="Verdana" w:hAnsi="Verdana" w:cs="Arial"/>
        </w:rPr>
        <w:t>, and</w:t>
      </w:r>
    </w:p>
    <w:p w14:paraId="49456F9A" w14:textId="77777777" w:rsidR="002F2144" w:rsidRPr="0057789B" w:rsidRDefault="002F2144" w:rsidP="002F2144">
      <w:pPr>
        <w:pStyle w:val="ListParagraph"/>
        <w:rPr>
          <w:rFonts w:ascii="Verdana" w:hAnsi="Verdana" w:cs="Arial"/>
        </w:rPr>
      </w:pPr>
    </w:p>
    <w:p w14:paraId="07D7413D" w14:textId="2FBD11FF" w:rsidR="000C54A5" w:rsidRPr="00AB2BD9" w:rsidRDefault="002F2144" w:rsidP="00E55BFA">
      <w:pPr>
        <w:pStyle w:val="ListParagraph"/>
        <w:numPr>
          <w:ilvl w:val="0"/>
          <w:numId w:val="2"/>
        </w:numPr>
        <w:ind w:left="1166"/>
        <w:jc w:val="both"/>
        <w:rPr>
          <w:rFonts w:ascii="Verdana" w:hAnsi="Verdana" w:cs="Arial"/>
          <w:b/>
        </w:rPr>
      </w:pPr>
      <w:r w:rsidRPr="00AB2BD9">
        <w:rPr>
          <w:rFonts w:ascii="Verdana" w:hAnsi="Verdana"/>
        </w:rPr>
        <w:t>Balance Sheet, or Stateme</w:t>
      </w:r>
      <w:r w:rsidR="00CF311D" w:rsidRPr="00AB2BD9">
        <w:rPr>
          <w:rFonts w:ascii="Verdana" w:hAnsi="Verdana"/>
        </w:rPr>
        <w:t>nt of Financial Position, which</w:t>
      </w:r>
      <w:r w:rsidR="004F0DD4" w:rsidRPr="00AB2BD9">
        <w:rPr>
          <w:rFonts w:ascii="Verdana" w:hAnsi="Verdana"/>
        </w:rPr>
        <w:t xml:space="preserve"> includes the cash balance of </w:t>
      </w:r>
      <w:r w:rsidR="005E7AA3" w:rsidRPr="00AB2BD9">
        <w:rPr>
          <w:rFonts w:ascii="Verdana" w:hAnsi="Verdana"/>
        </w:rPr>
        <w:t>£1.6</w:t>
      </w:r>
      <w:r w:rsidR="00CF311D" w:rsidRPr="00AB2BD9">
        <w:rPr>
          <w:rFonts w:ascii="Verdana" w:hAnsi="Verdana"/>
        </w:rPr>
        <w:t>m</w:t>
      </w:r>
      <w:r w:rsidR="008246C9" w:rsidRPr="00AB2BD9">
        <w:rPr>
          <w:rFonts w:ascii="Verdana" w:hAnsi="Verdana"/>
        </w:rPr>
        <w:t xml:space="preserve"> at month </w:t>
      </w:r>
      <w:r w:rsidR="0057789B" w:rsidRPr="00AB2BD9">
        <w:rPr>
          <w:rFonts w:ascii="Verdana" w:hAnsi="Verdana"/>
        </w:rPr>
        <w:t>9</w:t>
      </w:r>
      <w:r w:rsidR="007F76F5">
        <w:rPr>
          <w:rFonts w:ascii="Verdana" w:hAnsi="Verdana"/>
        </w:rPr>
        <w:t>.</w:t>
      </w:r>
    </w:p>
    <w:p w14:paraId="67EE6FEA" w14:textId="77777777" w:rsidR="00A22060" w:rsidRPr="006160DD" w:rsidRDefault="00A22060" w:rsidP="00A22060">
      <w:pPr>
        <w:pStyle w:val="ListParagraph"/>
        <w:ind w:left="1134"/>
        <w:jc w:val="both"/>
        <w:rPr>
          <w:rFonts w:ascii="Verdana" w:hAnsi="Verdana" w:cs="Arial"/>
        </w:rPr>
      </w:pPr>
    </w:p>
    <w:p w14:paraId="41484B09" w14:textId="77777777" w:rsidR="00402FE9" w:rsidRPr="00A55EE3" w:rsidRDefault="00402FE9" w:rsidP="001F5B52">
      <w:pPr>
        <w:jc w:val="both"/>
        <w:rPr>
          <w:sz w:val="24"/>
          <w:szCs w:val="24"/>
        </w:rPr>
      </w:pPr>
    </w:p>
    <w:sectPr w:rsidR="00402FE9" w:rsidRPr="00A55EE3"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2A8C9" w14:textId="77777777" w:rsidR="00B86BFA" w:rsidRDefault="00B86BFA" w:rsidP="00883874">
      <w:pPr>
        <w:spacing w:after="0" w:line="240" w:lineRule="auto"/>
      </w:pPr>
      <w:r>
        <w:separator/>
      </w:r>
    </w:p>
  </w:endnote>
  <w:endnote w:type="continuationSeparator" w:id="0">
    <w:p w14:paraId="52C01856" w14:textId="77777777" w:rsidR="00B86BFA" w:rsidRDefault="00B86BFA"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12"/>
      <w:gridCol w:w="2999"/>
    </w:tblGrid>
    <w:tr w:rsidR="00B86BFA" w:rsidRPr="00511AFF" w14:paraId="59692BFE" w14:textId="77777777" w:rsidTr="005D3867">
      <w:tc>
        <w:tcPr>
          <w:tcW w:w="3100" w:type="dxa"/>
        </w:tcPr>
        <w:p w14:paraId="795B68C7" w14:textId="77777777" w:rsidR="00B86BFA" w:rsidRPr="00B70103" w:rsidRDefault="00B86BFA" w:rsidP="0057789B">
          <w:pPr>
            <w:pStyle w:val="Footer"/>
            <w:tabs>
              <w:tab w:val="right" w:pos="9090"/>
            </w:tabs>
            <w:jc w:val="center"/>
            <w:rPr>
              <w:rFonts w:ascii="Verdana" w:hAnsi="Verdana"/>
              <w:b/>
              <w:sz w:val="20"/>
            </w:rPr>
          </w:pPr>
          <w:r w:rsidRPr="00B70103">
            <w:rPr>
              <w:rFonts w:ascii="Verdana" w:hAnsi="Verdana"/>
              <w:b/>
              <w:sz w:val="20"/>
            </w:rPr>
            <w:t xml:space="preserve">Date: </w:t>
          </w:r>
          <w:r>
            <w:rPr>
              <w:rFonts w:ascii="Verdana" w:hAnsi="Verdana"/>
              <w:sz w:val="20"/>
            </w:rPr>
            <w:t xml:space="preserve"> 12 January </w:t>
          </w:r>
          <w:r w:rsidRPr="00B70103">
            <w:rPr>
              <w:rFonts w:ascii="Verdana" w:hAnsi="Verdana"/>
              <w:sz w:val="20"/>
            </w:rPr>
            <w:t>2020</w:t>
          </w:r>
        </w:p>
      </w:tc>
      <w:tc>
        <w:tcPr>
          <w:tcW w:w="3100" w:type="dxa"/>
        </w:tcPr>
        <w:p w14:paraId="42CF9E3E" w14:textId="77777777" w:rsidR="00B86BFA" w:rsidRPr="00B70103" w:rsidRDefault="00B86BFA" w:rsidP="005D3867">
          <w:pPr>
            <w:pStyle w:val="Footer"/>
            <w:tabs>
              <w:tab w:val="center" w:pos="1433"/>
              <w:tab w:val="right" w:pos="2866"/>
              <w:tab w:val="right" w:pos="9090"/>
            </w:tabs>
            <w:jc w:val="center"/>
            <w:rPr>
              <w:rFonts w:ascii="Verdana" w:hAnsi="Verdana"/>
              <w:b/>
              <w:sz w:val="20"/>
            </w:rPr>
          </w:pPr>
          <w:r w:rsidRPr="00B70103">
            <w:rPr>
              <w:rFonts w:ascii="Verdana" w:hAnsi="Verdana"/>
              <w:b/>
              <w:sz w:val="20"/>
            </w:rPr>
            <w:t>Version:</w:t>
          </w:r>
          <w:r>
            <w:rPr>
              <w:rFonts w:ascii="Verdana" w:hAnsi="Verdana"/>
              <w:sz w:val="20"/>
            </w:rPr>
            <w:t xml:space="preserve"> 2</w:t>
          </w:r>
        </w:p>
      </w:tc>
      <w:tc>
        <w:tcPr>
          <w:tcW w:w="3101" w:type="dxa"/>
        </w:tcPr>
        <w:p w14:paraId="31F6856B" w14:textId="6C3F75EB" w:rsidR="00B86BFA" w:rsidRPr="00B70103" w:rsidRDefault="00B86BFA" w:rsidP="005D3867">
          <w:pPr>
            <w:pStyle w:val="Footer"/>
            <w:tabs>
              <w:tab w:val="clear" w:pos="4513"/>
              <w:tab w:val="center" w:pos="4500"/>
              <w:tab w:val="right" w:pos="9090"/>
            </w:tabs>
            <w:jc w:val="center"/>
            <w:rPr>
              <w:rFonts w:ascii="Verdana" w:hAnsi="Verdana"/>
              <w:b/>
              <w:sz w:val="20"/>
            </w:rPr>
          </w:pPr>
          <w:r w:rsidRPr="00B70103">
            <w:rPr>
              <w:rFonts w:ascii="Verdana" w:hAnsi="Verdana"/>
              <w:b/>
              <w:sz w:val="20"/>
            </w:rPr>
            <w:t xml:space="preserve">Page: </w:t>
          </w:r>
          <w:r w:rsidRPr="00B70103">
            <w:rPr>
              <w:rStyle w:val="PageNumber"/>
              <w:rFonts w:ascii="Verdana" w:hAnsi="Verdana"/>
              <w:sz w:val="20"/>
            </w:rPr>
            <w:fldChar w:fldCharType="begin"/>
          </w:r>
          <w:r w:rsidRPr="00B70103">
            <w:rPr>
              <w:rStyle w:val="PageNumber"/>
              <w:rFonts w:ascii="Verdana" w:hAnsi="Verdana"/>
              <w:sz w:val="20"/>
            </w:rPr>
            <w:instrText xml:space="preserve"> PAGE </w:instrText>
          </w:r>
          <w:r w:rsidRPr="00B70103">
            <w:rPr>
              <w:rStyle w:val="PageNumber"/>
              <w:rFonts w:ascii="Verdana" w:hAnsi="Verdana"/>
              <w:sz w:val="20"/>
            </w:rPr>
            <w:fldChar w:fldCharType="separate"/>
          </w:r>
          <w:r w:rsidR="007F76F5">
            <w:rPr>
              <w:rStyle w:val="PageNumber"/>
              <w:rFonts w:ascii="Verdana" w:hAnsi="Verdana"/>
              <w:noProof/>
              <w:sz w:val="20"/>
            </w:rPr>
            <w:t>12</w:t>
          </w:r>
          <w:r w:rsidRPr="00B70103">
            <w:rPr>
              <w:rStyle w:val="PageNumber"/>
              <w:rFonts w:ascii="Verdana" w:hAnsi="Verdana"/>
              <w:sz w:val="20"/>
            </w:rPr>
            <w:fldChar w:fldCharType="end"/>
          </w:r>
          <w:r w:rsidRPr="00B70103">
            <w:rPr>
              <w:rStyle w:val="PageNumber"/>
              <w:rFonts w:ascii="Verdana" w:hAnsi="Verdana"/>
              <w:sz w:val="20"/>
            </w:rPr>
            <w:t xml:space="preserve"> of </w:t>
          </w:r>
          <w:r w:rsidRPr="00B70103">
            <w:rPr>
              <w:rStyle w:val="PageNumber"/>
              <w:rFonts w:ascii="Verdana" w:hAnsi="Verdana"/>
              <w:sz w:val="20"/>
            </w:rPr>
            <w:fldChar w:fldCharType="begin"/>
          </w:r>
          <w:r w:rsidRPr="00B70103">
            <w:rPr>
              <w:rStyle w:val="PageNumber"/>
              <w:rFonts w:ascii="Verdana" w:hAnsi="Verdana"/>
              <w:sz w:val="20"/>
            </w:rPr>
            <w:instrText xml:space="preserve"> NUMPAGES </w:instrText>
          </w:r>
          <w:r w:rsidRPr="00B70103">
            <w:rPr>
              <w:rStyle w:val="PageNumber"/>
              <w:rFonts w:ascii="Verdana" w:hAnsi="Verdana"/>
              <w:sz w:val="20"/>
            </w:rPr>
            <w:fldChar w:fldCharType="separate"/>
          </w:r>
          <w:r w:rsidR="007F76F5">
            <w:rPr>
              <w:rStyle w:val="PageNumber"/>
              <w:rFonts w:ascii="Verdana" w:hAnsi="Verdana"/>
              <w:noProof/>
              <w:sz w:val="20"/>
            </w:rPr>
            <w:t>12</w:t>
          </w:r>
          <w:r w:rsidRPr="00B70103">
            <w:rPr>
              <w:rStyle w:val="PageNumber"/>
              <w:rFonts w:ascii="Verdana" w:hAnsi="Verdana"/>
              <w:sz w:val="20"/>
            </w:rPr>
            <w:fldChar w:fldCharType="end"/>
          </w:r>
        </w:p>
      </w:tc>
    </w:tr>
  </w:tbl>
  <w:p w14:paraId="32C98C1C" w14:textId="77777777" w:rsidR="00B86BFA" w:rsidRPr="00FA7943" w:rsidRDefault="00B86BF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629F9" w14:textId="77777777" w:rsidR="00B86BFA" w:rsidRDefault="00B86BFA" w:rsidP="00883874">
      <w:pPr>
        <w:spacing w:after="0" w:line="240" w:lineRule="auto"/>
      </w:pPr>
      <w:r>
        <w:separator/>
      </w:r>
    </w:p>
  </w:footnote>
  <w:footnote w:type="continuationSeparator" w:id="0">
    <w:p w14:paraId="0671A511" w14:textId="77777777" w:rsidR="00B86BFA" w:rsidRDefault="00B86BFA"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20C"/>
    <w:multiLevelType w:val="hybridMultilevel"/>
    <w:tmpl w:val="5C6400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D38C9"/>
    <w:multiLevelType w:val="hybridMultilevel"/>
    <w:tmpl w:val="BF6639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A40C2"/>
    <w:multiLevelType w:val="hybridMultilevel"/>
    <w:tmpl w:val="D44AC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B6E71"/>
    <w:multiLevelType w:val="hybridMultilevel"/>
    <w:tmpl w:val="928EEA5A"/>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0EAE6E2A"/>
    <w:multiLevelType w:val="hybridMultilevel"/>
    <w:tmpl w:val="010EC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006B7"/>
    <w:multiLevelType w:val="hybridMultilevel"/>
    <w:tmpl w:val="041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17EAC"/>
    <w:multiLevelType w:val="hybridMultilevel"/>
    <w:tmpl w:val="D1AA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11FC7"/>
    <w:multiLevelType w:val="hybridMultilevel"/>
    <w:tmpl w:val="930008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E2192F"/>
    <w:multiLevelType w:val="hybridMultilevel"/>
    <w:tmpl w:val="B170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E5BC9"/>
    <w:multiLevelType w:val="hybridMultilevel"/>
    <w:tmpl w:val="CD746292"/>
    <w:lvl w:ilvl="0" w:tplc="F6524CC4">
      <w:start w:val="1"/>
      <w:numFmt w:val="bullet"/>
      <w:lvlText w:val="•"/>
      <w:lvlJc w:val="left"/>
      <w:pPr>
        <w:tabs>
          <w:tab w:val="num" w:pos="1456"/>
        </w:tabs>
        <w:ind w:left="1456" w:hanging="360"/>
      </w:pPr>
      <w:rPr>
        <w:rFonts w:ascii="Arial" w:hAnsi="Arial" w:hint="default"/>
      </w:rPr>
    </w:lvl>
    <w:lvl w:ilvl="1" w:tplc="823E17FA" w:tentative="1">
      <w:start w:val="1"/>
      <w:numFmt w:val="bullet"/>
      <w:lvlText w:val="•"/>
      <w:lvlJc w:val="left"/>
      <w:pPr>
        <w:tabs>
          <w:tab w:val="num" w:pos="2176"/>
        </w:tabs>
        <w:ind w:left="2176" w:hanging="360"/>
      </w:pPr>
      <w:rPr>
        <w:rFonts w:ascii="Arial" w:hAnsi="Arial" w:hint="default"/>
      </w:rPr>
    </w:lvl>
    <w:lvl w:ilvl="2" w:tplc="2A8CAFA0" w:tentative="1">
      <w:start w:val="1"/>
      <w:numFmt w:val="bullet"/>
      <w:lvlText w:val="•"/>
      <w:lvlJc w:val="left"/>
      <w:pPr>
        <w:tabs>
          <w:tab w:val="num" w:pos="2896"/>
        </w:tabs>
        <w:ind w:left="2896" w:hanging="360"/>
      </w:pPr>
      <w:rPr>
        <w:rFonts w:ascii="Arial" w:hAnsi="Arial" w:hint="default"/>
      </w:rPr>
    </w:lvl>
    <w:lvl w:ilvl="3" w:tplc="40CC597C" w:tentative="1">
      <w:start w:val="1"/>
      <w:numFmt w:val="bullet"/>
      <w:lvlText w:val="•"/>
      <w:lvlJc w:val="left"/>
      <w:pPr>
        <w:tabs>
          <w:tab w:val="num" w:pos="3616"/>
        </w:tabs>
        <w:ind w:left="3616" w:hanging="360"/>
      </w:pPr>
      <w:rPr>
        <w:rFonts w:ascii="Arial" w:hAnsi="Arial" w:hint="default"/>
      </w:rPr>
    </w:lvl>
    <w:lvl w:ilvl="4" w:tplc="4F1653FC" w:tentative="1">
      <w:start w:val="1"/>
      <w:numFmt w:val="bullet"/>
      <w:lvlText w:val="•"/>
      <w:lvlJc w:val="left"/>
      <w:pPr>
        <w:tabs>
          <w:tab w:val="num" w:pos="4336"/>
        </w:tabs>
        <w:ind w:left="4336" w:hanging="360"/>
      </w:pPr>
      <w:rPr>
        <w:rFonts w:ascii="Arial" w:hAnsi="Arial" w:hint="default"/>
      </w:rPr>
    </w:lvl>
    <w:lvl w:ilvl="5" w:tplc="5198BAF6" w:tentative="1">
      <w:start w:val="1"/>
      <w:numFmt w:val="bullet"/>
      <w:lvlText w:val="•"/>
      <w:lvlJc w:val="left"/>
      <w:pPr>
        <w:tabs>
          <w:tab w:val="num" w:pos="5056"/>
        </w:tabs>
        <w:ind w:left="5056" w:hanging="360"/>
      </w:pPr>
      <w:rPr>
        <w:rFonts w:ascii="Arial" w:hAnsi="Arial" w:hint="default"/>
      </w:rPr>
    </w:lvl>
    <w:lvl w:ilvl="6" w:tplc="26F86F7A" w:tentative="1">
      <w:start w:val="1"/>
      <w:numFmt w:val="bullet"/>
      <w:lvlText w:val="•"/>
      <w:lvlJc w:val="left"/>
      <w:pPr>
        <w:tabs>
          <w:tab w:val="num" w:pos="5776"/>
        </w:tabs>
        <w:ind w:left="5776" w:hanging="360"/>
      </w:pPr>
      <w:rPr>
        <w:rFonts w:ascii="Arial" w:hAnsi="Arial" w:hint="default"/>
      </w:rPr>
    </w:lvl>
    <w:lvl w:ilvl="7" w:tplc="21A8AE12" w:tentative="1">
      <w:start w:val="1"/>
      <w:numFmt w:val="bullet"/>
      <w:lvlText w:val="•"/>
      <w:lvlJc w:val="left"/>
      <w:pPr>
        <w:tabs>
          <w:tab w:val="num" w:pos="6496"/>
        </w:tabs>
        <w:ind w:left="6496" w:hanging="360"/>
      </w:pPr>
      <w:rPr>
        <w:rFonts w:ascii="Arial" w:hAnsi="Arial" w:hint="default"/>
      </w:rPr>
    </w:lvl>
    <w:lvl w:ilvl="8" w:tplc="9C46900A" w:tentative="1">
      <w:start w:val="1"/>
      <w:numFmt w:val="bullet"/>
      <w:lvlText w:val="•"/>
      <w:lvlJc w:val="left"/>
      <w:pPr>
        <w:tabs>
          <w:tab w:val="num" w:pos="7216"/>
        </w:tabs>
        <w:ind w:left="7216" w:hanging="360"/>
      </w:pPr>
      <w:rPr>
        <w:rFonts w:ascii="Arial" w:hAnsi="Arial" w:hint="default"/>
      </w:rPr>
    </w:lvl>
  </w:abstractNum>
  <w:abstractNum w:abstractNumId="10" w15:restartNumberingAfterBreak="0">
    <w:nsid w:val="2137783C"/>
    <w:multiLevelType w:val="multilevel"/>
    <w:tmpl w:val="150CD7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21393865"/>
    <w:multiLevelType w:val="hybridMultilevel"/>
    <w:tmpl w:val="6BA03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B74B96"/>
    <w:multiLevelType w:val="hybridMultilevel"/>
    <w:tmpl w:val="A8929AC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423D21"/>
    <w:multiLevelType w:val="multilevel"/>
    <w:tmpl w:val="0809001F"/>
    <w:lvl w:ilvl="0">
      <w:start w:val="1"/>
      <w:numFmt w:val="decimal"/>
      <w:lvlText w:val="%1."/>
      <w:lvlJc w:val="left"/>
      <w:pPr>
        <w:ind w:left="-2476" w:hanging="360"/>
      </w:pPr>
      <w:rPr>
        <w:rFonts w:hint="default"/>
      </w:rPr>
    </w:lvl>
    <w:lvl w:ilvl="1">
      <w:start w:val="1"/>
      <w:numFmt w:val="decimal"/>
      <w:lvlText w:val="%1.%2."/>
      <w:lvlJc w:val="left"/>
      <w:pPr>
        <w:ind w:left="-1694"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4" w15:restartNumberingAfterBreak="0">
    <w:nsid w:val="260F50FC"/>
    <w:multiLevelType w:val="hybridMultilevel"/>
    <w:tmpl w:val="578647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CE1CD0"/>
    <w:multiLevelType w:val="hybridMultilevel"/>
    <w:tmpl w:val="1AF207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F32"/>
    <w:multiLevelType w:val="multilevel"/>
    <w:tmpl w:val="D3F621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1EE454F"/>
    <w:multiLevelType w:val="hybridMultilevel"/>
    <w:tmpl w:val="68D6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94A1A"/>
    <w:multiLevelType w:val="hybridMultilevel"/>
    <w:tmpl w:val="666A8F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522786"/>
    <w:multiLevelType w:val="hybridMultilevel"/>
    <w:tmpl w:val="F578A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32B58"/>
    <w:multiLevelType w:val="hybridMultilevel"/>
    <w:tmpl w:val="F188AD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F4F8A"/>
    <w:multiLevelType w:val="hybridMultilevel"/>
    <w:tmpl w:val="BFBE6E5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176EBB"/>
    <w:multiLevelType w:val="multilevel"/>
    <w:tmpl w:val="244E0C9C"/>
    <w:lvl w:ilvl="0">
      <w:start w:val="1"/>
      <w:numFmt w:val="decimal"/>
      <w:lvlText w:val="%1."/>
      <w:lvlJc w:val="left"/>
      <w:pPr>
        <w:ind w:left="644" w:hanging="644"/>
      </w:pPr>
      <w:rPr>
        <w:rFonts w:ascii="Verdana" w:hAnsi="Verdana" w:hint="default"/>
        <w:b/>
        <w:sz w:val="28"/>
        <w:szCs w:val="28"/>
      </w:rPr>
    </w:lvl>
    <w:lvl w:ilvl="1">
      <w:start w:val="1"/>
      <w:numFmt w:val="decimal"/>
      <w:isLgl/>
      <w:lvlText w:val="%1.%2"/>
      <w:lvlJc w:val="left"/>
      <w:pPr>
        <w:ind w:left="862" w:hanging="720"/>
      </w:pPr>
      <w:rPr>
        <w:rFonts w:hint="default"/>
        <w:b w:val="0"/>
        <w:color w:val="auto"/>
        <w:sz w:val="24"/>
        <w:szCs w:val="24"/>
      </w:rPr>
    </w:lvl>
    <w:lvl w:ilvl="2">
      <w:start w:val="1"/>
      <w:numFmt w:val="bullet"/>
      <w:lvlText w:val=""/>
      <w:lvlJc w:val="left"/>
      <w:pPr>
        <w:ind w:left="2748" w:hanging="1080"/>
      </w:pPr>
      <w:rPr>
        <w:rFonts w:ascii="Symbol" w:hAnsi="Symbol" w:hint="default"/>
      </w:rPr>
    </w:lvl>
    <w:lvl w:ilvl="3">
      <w:start w:val="1"/>
      <w:numFmt w:val="decimal"/>
      <w:isLgl/>
      <w:lvlText w:val="%1.%2.%3.%4"/>
      <w:lvlJc w:val="left"/>
      <w:pPr>
        <w:ind w:left="3108" w:hanging="1440"/>
      </w:pPr>
      <w:rPr>
        <w:rFonts w:hint="default"/>
      </w:rPr>
    </w:lvl>
    <w:lvl w:ilvl="4">
      <w:start w:val="1"/>
      <w:numFmt w:val="decimal"/>
      <w:isLgl/>
      <w:lvlText w:val="%1.%2.%3.%4.%5"/>
      <w:lvlJc w:val="left"/>
      <w:pPr>
        <w:ind w:left="3108" w:hanging="1440"/>
      </w:pPr>
      <w:rPr>
        <w:rFonts w:hint="default"/>
      </w:rPr>
    </w:lvl>
    <w:lvl w:ilvl="5">
      <w:start w:val="1"/>
      <w:numFmt w:val="decimal"/>
      <w:isLgl/>
      <w:lvlText w:val="%1.%2.%3.%4.%5.%6"/>
      <w:lvlJc w:val="left"/>
      <w:pPr>
        <w:ind w:left="3468" w:hanging="1800"/>
      </w:pPr>
      <w:rPr>
        <w:rFonts w:hint="default"/>
      </w:rPr>
    </w:lvl>
    <w:lvl w:ilvl="6">
      <w:start w:val="1"/>
      <w:numFmt w:val="decimal"/>
      <w:isLgl/>
      <w:lvlText w:val="%1.%2.%3.%4.%5.%6.%7"/>
      <w:lvlJc w:val="left"/>
      <w:pPr>
        <w:ind w:left="3828" w:hanging="2160"/>
      </w:pPr>
      <w:rPr>
        <w:rFonts w:hint="default"/>
      </w:rPr>
    </w:lvl>
    <w:lvl w:ilvl="7">
      <w:start w:val="1"/>
      <w:numFmt w:val="decimal"/>
      <w:isLgl/>
      <w:lvlText w:val="%1.%2.%3.%4.%5.%6.%7.%8"/>
      <w:lvlJc w:val="left"/>
      <w:pPr>
        <w:ind w:left="4188" w:hanging="2520"/>
      </w:pPr>
      <w:rPr>
        <w:rFonts w:hint="default"/>
      </w:rPr>
    </w:lvl>
    <w:lvl w:ilvl="8">
      <w:start w:val="1"/>
      <w:numFmt w:val="decimal"/>
      <w:isLgl/>
      <w:lvlText w:val="%1.%2.%3.%4.%5.%6.%7.%8.%9"/>
      <w:lvlJc w:val="left"/>
      <w:pPr>
        <w:ind w:left="4548" w:hanging="2880"/>
      </w:pPr>
      <w:rPr>
        <w:rFonts w:hint="default"/>
      </w:rPr>
    </w:lvl>
  </w:abstractNum>
  <w:abstractNum w:abstractNumId="23"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D23BC6"/>
    <w:multiLevelType w:val="hybridMultilevel"/>
    <w:tmpl w:val="CA4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670F3"/>
    <w:multiLevelType w:val="hybridMultilevel"/>
    <w:tmpl w:val="9584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2145B"/>
    <w:multiLevelType w:val="hybridMultilevel"/>
    <w:tmpl w:val="B502B2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E7C07"/>
    <w:multiLevelType w:val="hybridMultilevel"/>
    <w:tmpl w:val="AE30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B71B7"/>
    <w:multiLevelType w:val="hybridMultilevel"/>
    <w:tmpl w:val="AB2AD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E6918"/>
    <w:multiLevelType w:val="hybridMultilevel"/>
    <w:tmpl w:val="0E149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92C3DBF"/>
    <w:multiLevelType w:val="hybridMultilevel"/>
    <w:tmpl w:val="F914FAC0"/>
    <w:lvl w:ilvl="0" w:tplc="28A815AE">
      <w:start w:val="1"/>
      <w:numFmt w:val="bullet"/>
      <w:lvlText w:val="•"/>
      <w:lvlJc w:val="left"/>
      <w:pPr>
        <w:tabs>
          <w:tab w:val="num" w:pos="462"/>
        </w:tabs>
        <w:ind w:left="462" w:hanging="360"/>
      </w:pPr>
      <w:rPr>
        <w:rFonts w:ascii="Arial" w:hAnsi="Arial" w:hint="default"/>
      </w:rPr>
    </w:lvl>
    <w:lvl w:ilvl="1" w:tplc="1D22F9E6" w:tentative="1">
      <w:start w:val="1"/>
      <w:numFmt w:val="bullet"/>
      <w:lvlText w:val="•"/>
      <w:lvlJc w:val="left"/>
      <w:pPr>
        <w:tabs>
          <w:tab w:val="num" w:pos="1182"/>
        </w:tabs>
        <w:ind w:left="1182" w:hanging="360"/>
      </w:pPr>
      <w:rPr>
        <w:rFonts w:ascii="Arial" w:hAnsi="Arial" w:hint="default"/>
      </w:rPr>
    </w:lvl>
    <w:lvl w:ilvl="2" w:tplc="9E6C37E8" w:tentative="1">
      <w:start w:val="1"/>
      <w:numFmt w:val="bullet"/>
      <w:lvlText w:val="•"/>
      <w:lvlJc w:val="left"/>
      <w:pPr>
        <w:tabs>
          <w:tab w:val="num" w:pos="1902"/>
        </w:tabs>
        <w:ind w:left="1902" w:hanging="360"/>
      </w:pPr>
      <w:rPr>
        <w:rFonts w:ascii="Arial" w:hAnsi="Arial" w:hint="default"/>
      </w:rPr>
    </w:lvl>
    <w:lvl w:ilvl="3" w:tplc="481A7132" w:tentative="1">
      <w:start w:val="1"/>
      <w:numFmt w:val="bullet"/>
      <w:lvlText w:val="•"/>
      <w:lvlJc w:val="left"/>
      <w:pPr>
        <w:tabs>
          <w:tab w:val="num" w:pos="2622"/>
        </w:tabs>
        <w:ind w:left="2622" w:hanging="360"/>
      </w:pPr>
      <w:rPr>
        <w:rFonts w:ascii="Arial" w:hAnsi="Arial" w:hint="default"/>
      </w:rPr>
    </w:lvl>
    <w:lvl w:ilvl="4" w:tplc="2A8E0CAE" w:tentative="1">
      <w:start w:val="1"/>
      <w:numFmt w:val="bullet"/>
      <w:lvlText w:val="•"/>
      <w:lvlJc w:val="left"/>
      <w:pPr>
        <w:tabs>
          <w:tab w:val="num" w:pos="3342"/>
        </w:tabs>
        <w:ind w:left="3342" w:hanging="360"/>
      </w:pPr>
      <w:rPr>
        <w:rFonts w:ascii="Arial" w:hAnsi="Arial" w:hint="default"/>
      </w:rPr>
    </w:lvl>
    <w:lvl w:ilvl="5" w:tplc="F3524752" w:tentative="1">
      <w:start w:val="1"/>
      <w:numFmt w:val="bullet"/>
      <w:lvlText w:val="•"/>
      <w:lvlJc w:val="left"/>
      <w:pPr>
        <w:tabs>
          <w:tab w:val="num" w:pos="4062"/>
        </w:tabs>
        <w:ind w:left="4062" w:hanging="360"/>
      </w:pPr>
      <w:rPr>
        <w:rFonts w:ascii="Arial" w:hAnsi="Arial" w:hint="default"/>
      </w:rPr>
    </w:lvl>
    <w:lvl w:ilvl="6" w:tplc="872635B2" w:tentative="1">
      <w:start w:val="1"/>
      <w:numFmt w:val="bullet"/>
      <w:lvlText w:val="•"/>
      <w:lvlJc w:val="left"/>
      <w:pPr>
        <w:tabs>
          <w:tab w:val="num" w:pos="4782"/>
        </w:tabs>
        <w:ind w:left="4782" w:hanging="360"/>
      </w:pPr>
      <w:rPr>
        <w:rFonts w:ascii="Arial" w:hAnsi="Arial" w:hint="default"/>
      </w:rPr>
    </w:lvl>
    <w:lvl w:ilvl="7" w:tplc="379845A2" w:tentative="1">
      <w:start w:val="1"/>
      <w:numFmt w:val="bullet"/>
      <w:lvlText w:val="•"/>
      <w:lvlJc w:val="left"/>
      <w:pPr>
        <w:tabs>
          <w:tab w:val="num" w:pos="5502"/>
        </w:tabs>
        <w:ind w:left="5502" w:hanging="360"/>
      </w:pPr>
      <w:rPr>
        <w:rFonts w:ascii="Arial" w:hAnsi="Arial" w:hint="default"/>
      </w:rPr>
    </w:lvl>
    <w:lvl w:ilvl="8" w:tplc="CB225368" w:tentative="1">
      <w:start w:val="1"/>
      <w:numFmt w:val="bullet"/>
      <w:lvlText w:val="•"/>
      <w:lvlJc w:val="left"/>
      <w:pPr>
        <w:tabs>
          <w:tab w:val="num" w:pos="6222"/>
        </w:tabs>
        <w:ind w:left="6222" w:hanging="360"/>
      </w:pPr>
      <w:rPr>
        <w:rFonts w:ascii="Arial" w:hAnsi="Arial" w:hint="default"/>
      </w:rPr>
    </w:lvl>
  </w:abstractNum>
  <w:abstractNum w:abstractNumId="31" w15:restartNumberingAfterBreak="0">
    <w:nsid w:val="5B230D56"/>
    <w:multiLevelType w:val="hybridMultilevel"/>
    <w:tmpl w:val="7C32E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A132D"/>
    <w:multiLevelType w:val="hybridMultilevel"/>
    <w:tmpl w:val="44525F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206D6E"/>
    <w:multiLevelType w:val="hybridMultilevel"/>
    <w:tmpl w:val="0FA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CF3855"/>
    <w:multiLevelType w:val="hybridMultilevel"/>
    <w:tmpl w:val="AB8E12A6"/>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5" w15:restartNumberingAfterBreak="0">
    <w:nsid w:val="650406A3"/>
    <w:multiLevelType w:val="hybridMultilevel"/>
    <w:tmpl w:val="7BBE84B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908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79F15C03"/>
    <w:multiLevelType w:val="hybridMultilevel"/>
    <w:tmpl w:val="3738C9C8"/>
    <w:lvl w:ilvl="0" w:tplc="08090003">
      <w:start w:val="1"/>
      <w:numFmt w:val="bullet"/>
      <w:lvlText w:val="o"/>
      <w:lvlJc w:val="left"/>
      <w:pPr>
        <w:ind w:left="2250" w:hanging="360"/>
      </w:pPr>
      <w:rPr>
        <w:rFonts w:ascii="Courier New" w:hAnsi="Courier New" w:cs="Courier New"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8" w15:restartNumberingAfterBreak="0">
    <w:nsid w:val="7C3E3567"/>
    <w:multiLevelType w:val="hybridMultilevel"/>
    <w:tmpl w:val="CB30A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2"/>
  </w:num>
  <w:num w:numId="3">
    <w:abstractNumId w:val="36"/>
  </w:num>
  <w:num w:numId="4">
    <w:abstractNumId w:val="23"/>
  </w:num>
  <w:num w:numId="5">
    <w:abstractNumId w:val="39"/>
  </w:num>
  <w:num w:numId="6">
    <w:abstractNumId w:val="24"/>
  </w:num>
  <w:num w:numId="7">
    <w:abstractNumId w:val="25"/>
  </w:num>
  <w:num w:numId="8">
    <w:abstractNumId w:val="14"/>
  </w:num>
  <w:num w:numId="9">
    <w:abstractNumId w:val="38"/>
  </w:num>
  <w:num w:numId="10">
    <w:abstractNumId w:val="10"/>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5"/>
  </w:num>
  <w:num w:numId="15">
    <w:abstractNumId w:val="5"/>
  </w:num>
  <w:num w:numId="16">
    <w:abstractNumId w:val="27"/>
  </w:num>
  <w:num w:numId="17">
    <w:abstractNumId w:val="12"/>
  </w:num>
  <w:num w:numId="18">
    <w:abstractNumId w:val="7"/>
  </w:num>
  <w:num w:numId="19">
    <w:abstractNumId w:val="11"/>
  </w:num>
  <w:num w:numId="20">
    <w:abstractNumId w:val="33"/>
  </w:num>
  <w:num w:numId="21">
    <w:abstractNumId w:val="28"/>
  </w:num>
  <w:num w:numId="22">
    <w:abstractNumId w:val="20"/>
  </w:num>
  <w:num w:numId="23">
    <w:abstractNumId w:val="34"/>
  </w:num>
  <w:num w:numId="24">
    <w:abstractNumId w:val="21"/>
  </w:num>
  <w:num w:numId="25">
    <w:abstractNumId w:val="1"/>
  </w:num>
  <w:num w:numId="26">
    <w:abstractNumId w:val="31"/>
  </w:num>
  <w:num w:numId="27">
    <w:abstractNumId w:val="1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0"/>
  </w:num>
  <w:num w:numId="31">
    <w:abstractNumId w:val="26"/>
  </w:num>
  <w:num w:numId="32">
    <w:abstractNumId w:val="4"/>
  </w:num>
  <w:num w:numId="33">
    <w:abstractNumId w:val="29"/>
  </w:num>
  <w:num w:numId="34">
    <w:abstractNumId w:val="8"/>
  </w:num>
  <w:num w:numId="35">
    <w:abstractNumId w:val="30"/>
  </w:num>
  <w:num w:numId="36">
    <w:abstractNumId w:val="22"/>
  </w:num>
  <w:num w:numId="37">
    <w:abstractNumId w:val="9"/>
  </w:num>
  <w:num w:numId="38">
    <w:abstractNumId w:val="3"/>
  </w:num>
  <w:num w:numId="39">
    <w:abstractNumId w:val="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02EC7"/>
    <w:rsid w:val="00010340"/>
    <w:rsid w:val="0001437C"/>
    <w:rsid w:val="00015D94"/>
    <w:rsid w:val="00024EEF"/>
    <w:rsid w:val="00030B87"/>
    <w:rsid w:val="00034A5E"/>
    <w:rsid w:val="00043F5F"/>
    <w:rsid w:val="0006136C"/>
    <w:rsid w:val="00061482"/>
    <w:rsid w:val="0006229F"/>
    <w:rsid w:val="00062C6C"/>
    <w:rsid w:val="00067A1B"/>
    <w:rsid w:val="00090062"/>
    <w:rsid w:val="00092926"/>
    <w:rsid w:val="000A2ADC"/>
    <w:rsid w:val="000A3A02"/>
    <w:rsid w:val="000A481C"/>
    <w:rsid w:val="000A7F62"/>
    <w:rsid w:val="000C01E1"/>
    <w:rsid w:val="000C54A5"/>
    <w:rsid w:val="000D4080"/>
    <w:rsid w:val="000D5FC9"/>
    <w:rsid w:val="000E133C"/>
    <w:rsid w:val="000E6FBA"/>
    <w:rsid w:val="000F437D"/>
    <w:rsid w:val="001022E6"/>
    <w:rsid w:val="00112660"/>
    <w:rsid w:val="001169B1"/>
    <w:rsid w:val="001215CD"/>
    <w:rsid w:val="00131B5B"/>
    <w:rsid w:val="00133ECB"/>
    <w:rsid w:val="00140A18"/>
    <w:rsid w:val="001412CC"/>
    <w:rsid w:val="0014555C"/>
    <w:rsid w:val="001514DA"/>
    <w:rsid w:val="00163E3F"/>
    <w:rsid w:val="001713E7"/>
    <w:rsid w:val="0018210B"/>
    <w:rsid w:val="00182FDB"/>
    <w:rsid w:val="00192BDB"/>
    <w:rsid w:val="00193D10"/>
    <w:rsid w:val="001940CF"/>
    <w:rsid w:val="00195414"/>
    <w:rsid w:val="001A3709"/>
    <w:rsid w:val="001B2E64"/>
    <w:rsid w:val="001C6453"/>
    <w:rsid w:val="001C653D"/>
    <w:rsid w:val="001D0C20"/>
    <w:rsid w:val="001D21C1"/>
    <w:rsid w:val="001D42F7"/>
    <w:rsid w:val="001E3617"/>
    <w:rsid w:val="001F20B4"/>
    <w:rsid w:val="001F2BC9"/>
    <w:rsid w:val="001F5B52"/>
    <w:rsid w:val="00202024"/>
    <w:rsid w:val="00204E18"/>
    <w:rsid w:val="00205621"/>
    <w:rsid w:val="00207D56"/>
    <w:rsid w:val="00210AF6"/>
    <w:rsid w:val="0022554B"/>
    <w:rsid w:val="00230668"/>
    <w:rsid w:val="00237D70"/>
    <w:rsid w:val="002404B7"/>
    <w:rsid w:val="0025245F"/>
    <w:rsid w:val="00255512"/>
    <w:rsid w:val="00256C55"/>
    <w:rsid w:val="00257D7D"/>
    <w:rsid w:val="0027692B"/>
    <w:rsid w:val="00285851"/>
    <w:rsid w:val="0028588C"/>
    <w:rsid w:val="00290FCB"/>
    <w:rsid w:val="00291A04"/>
    <w:rsid w:val="00294380"/>
    <w:rsid w:val="002A16EC"/>
    <w:rsid w:val="002A7826"/>
    <w:rsid w:val="002B2758"/>
    <w:rsid w:val="002D34FE"/>
    <w:rsid w:val="002E04D2"/>
    <w:rsid w:val="002F2144"/>
    <w:rsid w:val="002F73A7"/>
    <w:rsid w:val="003050AA"/>
    <w:rsid w:val="0031165E"/>
    <w:rsid w:val="0031273C"/>
    <w:rsid w:val="003151EF"/>
    <w:rsid w:val="00320664"/>
    <w:rsid w:val="00324467"/>
    <w:rsid w:val="00335ECD"/>
    <w:rsid w:val="00337323"/>
    <w:rsid w:val="00346DCD"/>
    <w:rsid w:val="00353A24"/>
    <w:rsid w:val="003605E0"/>
    <w:rsid w:val="00361C53"/>
    <w:rsid w:val="00364FC4"/>
    <w:rsid w:val="00365579"/>
    <w:rsid w:val="00375E68"/>
    <w:rsid w:val="003836F4"/>
    <w:rsid w:val="003900F1"/>
    <w:rsid w:val="0039133A"/>
    <w:rsid w:val="003916BB"/>
    <w:rsid w:val="00397A03"/>
    <w:rsid w:val="003B108D"/>
    <w:rsid w:val="003B6E77"/>
    <w:rsid w:val="003D446B"/>
    <w:rsid w:val="003D6FBB"/>
    <w:rsid w:val="003D7111"/>
    <w:rsid w:val="003F6142"/>
    <w:rsid w:val="00402FE9"/>
    <w:rsid w:val="00410723"/>
    <w:rsid w:val="00416226"/>
    <w:rsid w:val="00417C5D"/>
    <w:rsid w:val="00430F51"/>
    <w:rsid w:val="004321BE"/>
    <w:rsid w:val="004338CF"/>
    <w:rsid w:val="004558DE"/>
    <w:rsid w:val="00457072"/>
    <w:rsid w:val="00461DD4"/>
    <w:rsid w:val="004636D9"/>
    <w:rsid w:val="00483D54"/>
    <w:rsid w:val="00485D40"/>
    <w:rsid w:val="00486BA3"/>
    <w:rsid w:val="004930D1"/>
    <w:rsid w:val="004A0298"/>
    <w:rsid w:val="004A6031"/>
    <w:rsid w:val="004C092E"/>
    <w:rsid w:val="004C287E"/>
    <w:rsid w:val="004C2ED6"/>
    <w:rsid w:val="004D755A"/>
    <w:rsid w:val="004E711E"/>
    <w:rsid w:val="004F01A3"/>
    <w:rsid w:val="004F0DD4"/>
    <w:rsid w:val="004F16B9"/>
    <w:rsid w:val="004F3B9C"/>
    <w:rsid w:val="004F5C87"/>
    <w:rsid w:val="00502636"/>
    <w:rsid w:val="00507A5F"/>
    <w:rsid w:val="00511DFF"/>
    <w:rsid w:val="00514C62"/>
    <w:rsid w:val="0051605F"/>
    <w:rsid w:val="00520036"/>
    <w:rsid w:val="005335E0"/>
    <w:rsid w:val="005354D1"/>
    <w:rsid w:val="00535AC9"/>
    <w:rsid w:val="0053658C"/>
    <w:rsid w:val="00537F12"/>
    <w:rsid w:val="00547503"/>
    <w:rsid w:val="00547F0E"/>
    <w:rsid w:val="00553733"/>
    <w:rsid w:val="005626B6"/>
    <w:rsid w:val="005756FE"/>
    <w:rsid w:val="0057789B"/>
    <w:rsid w:val="0058012C"/>
    <w:rsid w:val="005817E7"/>
    <w:rsid w:val="00581D5F"/>
    <w:rsid w:val="00587F86"/>
    <w:rsid w:val="00590C4F"/>
    <w:rsid w:val="0059283F"/>
    <w:rsid w:val="005B39FA"/>
    <w:rsid w:val="005B72D4"/>
    <w:rsid w:val="005D3332"/>
    <w:rsid w:val="005D33F8"/>
    <w:rsid w:val="005D3761"/>
    <w:rsid w:val="005D3867"/>
    <w:rsid w:val="005E7A73"/>
    <w:rsid w:val="005E7AA3"/>
    <w:rsid w:val="005F3065"/>
    <w:rsid w:val="005F310A"/>
    <w:rsid w:val="005F532F"/>
    <w:rsid w:val="005F60CE"/>
    <w:rsid w:val="00604806"/>
    <w:rsid w:val="00611362"/>
    <w:rsid w:val="006160DD"/>
    <w:rsid w:val="00617233"/>
    <w:rsid w:val="00622A69"/>
    <w:rsid w:val="006238B6"/>
    <w:rsid w:val="0062390B"/>
    <w:rsid w:val="00626673"/>
    <w:rsid w:val="00634AD3"/>
    <w:rsid w:val="00667684"/>
    <w:rsid w:val="00667BA4"/>
    <w:rsid w:val="00681512"/>
    <w:rsid w:val="00685E8F"/>
    <w:rsid w:val="006906A3"/>
    <w:rsid w:val="00691FAA"/>
    <w:rsid w:val="006A0F06"/>
    <w:rsid w:val="006B11B7"/>
    <w:rsid w:val="006B680F"/>
    <w:rsid w:val="006C263E"/>
    <w:rsid w:val="006D15F6"/>
    <w:rsid w:val="006D2607"/>
    <w:rsid w:val="006D3080"/>
    <w:rsid w:val="006D5913"/>
    <w:rsid w:val="006D6B8B"/>
    <w:rsid w:val="006E27A5"/>
    <w:rsid w:val="006E4369"/>
    <w:rsid w:val="007043FC"/>
    <w:rsid w:val="0070756E"/>
    <w:rsid w:val="00712B2D"/>
    <w:rsid w:val="0071696B"/>
    <w:rsid w:val="00717924"/>
    <w:rsid w:val="0072442A"/>
    <w:rsid w:val="00727DF9"/>
    <w:rsid w:val="007349D4"/>
    <w:rsid w:val="00734CA8"/>
    <w:rsid w:val="007467ED"/>
    <w:rsid w:val="00750995"/>
    <w:rsid w:val="00750D3B"/>
    <w:rsid w:val="00750FAB"/>
    <w:rsid w:val="0075301D"/>
    <w:rsid w:val="00771D91"/>
    <w:rsid w:val="00773B66"/>
    <w:rsid w:val="00790677"/>
    <w:rsid w:val="00796A68"/>
    <w:rsid w:val="007A1E11"/>
    <w:rsid w:val="007B0843"/>
    <w:rsid w:val="007B6787"/>
    <w:rsid w:val="007E37E4"/>
    <w:rsid w:val="007F611C"/>
    <w:rsid w:val="007F76F5"/>
    <w:rsid w:val="00801F6B"/>
    <w:rsid w:val="00802B45"/>
    <w:rsid w:val="00822A13"/>
    <w:rsid w:val="008246C9"/>
    <w:rsid w:val="00834652"/>
    <w:rsid w:val="00853B38"/>
    <w:rsid w:val="00854D09"/>
    <w:rsid w:val="00865434"/>
    <w:rsid w:val="0087289E"/>
    <w:rsid w:val="00883874"/>
    <w:rsid w:val="00890ADD"/>
    <w:rsid w:val="008A03C4"/>
    <w:rsid w:val="008B6E28"/>
    <w:rsid w:val="008C169E"/>
    <w:rsid w:val="008F4B50"/>
    <w:rsid w:val="0090266B"/>
    <w:rsid w:val="009049BE"/>
    <w:rsid w:val="00906C37"/>
    <w:rsid w:val="00922795"/>
    <w:rsid w:val="00927479"/>
    <w:rsid w:val="009333C0"/>
    <w:rsid w:val="0093450E"/>
    <w:rsid w:val="00934F69"/>
    <w:rsid w:val="00936001"/>
    <w:rsid w:val="0094079D"/>
    <w:rsid w:val="00963FCB"/>
    <w:rsid w:val="00976AA0"/>
    <w:rsid w:val="00976D14"/>
    <w:rsid w:val="009860B0"/>
    <w:rsid w:val="00993A19"/>
    <w:rsid w:val="00997FF2"/>
    <w:rsid w:val="009A0D9C"/>
    <w:rsid w:val="009A17DE"/>
    <w:rsid w:val="009A35BA"/>
    <w:rsid w:val="009C39A4"/>
    <w:rsid w:val="009C3E85"/>
    <w:rsid w:val="009C43A1"/>
    <w:rsid w:val="009F1168"/>
    <w:rsid w:val="00A040EA"/>
    <w:rsid w:val="00A143DA"/>
    <w:rsid w:val="00A22060"/>
    <w:rsid w:val="00A230E0"/>
    <w:rsid w:val="00A30C6F"/>
    <w:rsid w:val="00A34923"/>
    <w:rsid w:val="00A36478"/>
    <w:rsid w:val="00A45D40"/>
    <w:rsid w:val="00A470E5"/>
    <w:rsid w:val="00A476DA"/>
    <w:rsid w:val="00A52374"/>
    <w:rsid w:val="00A54749"/>
    <w:rsid w:val="00A55EE3"/>
    <w:rsid w:val="00A566A9"/>
    <w:rsid w:val="00A6394D"/>
    <w:rsid w:val="00A64BA7"/>
    <w:rsid w:val="00A65C16"/>
    <w:rsid w:val="00A71841"/>
    <w:rsid w:val="00AA223C"/>
    <w:rsid w:val="00AB2BD9"/>
    <w:rsid w:val="00AC02C5"/>
    <w:rsid w:val="00AE40A7"/>
    <w:rsid w:val="00AF5626"/>
    <w:rsid w:val="00AF7919"/>
    <w:rsid w:val="00B04DD6"/>
    <w:rsid w:val="00B052A7"/>
    <w:rsid w:val="00B3301C"/>
    <w:rsid w:val="00B34F65"/>
    <w:rsid w:val="00B427A3"/>
    <w:rsid w:val="00B429C9"/>
    <w:rsid w:val="00B464DE"/>
    <w:rsid w:val="00B577F0"/>
    <w:rsid w:val="00B62943"/>
    <w:rsid w:val="00B6467E"/>
    <w:rsid w:val="00B70103"/>
    <w:rsid w:val="00B70849"/>
    <w:rsid w:val="00B72CFD"/>
    <w:rsid w:val="00B73677"/>
    <w:rsid w:val="00B76C04"/>
    <w:rsid w:val="00B86BFA"/>
    <w:rsid w:val="00B92B15"/>
    <w:rsid w:val="00B931D2"/>
    <w:rsid w:val="00B95067"/>
    <w:rsid w:val="00BA1C8A"/>
    <w:rsid w:val="00BA784F"/>
    <w:rsid w:val="00BB799B"/>
    <w:rsid w:val="00BC3E9E"/>
    <w:rsid w:val="00BE5F9E"/>
    <w:rsid w:val="00BE6A0D"/>
    <w:rsid w:val="00BE70B5"/>
    <w:rsid w:val="00C14AA2"/>
    <w:rsid w:val="00C20909"/>
    <w:rsid w:val="00C220C7"/>
    <w:rsid w:val="00C32013"/>
    <w:rsid w:val="00C330C4"/>
    <w:rsid w:val="00C34119"/>
    <w:rsid w:val="00C42B0F"/>
    <w:rsid w:val="00C53158"/>
    <w:rsid w:val="00C54F63"/>
    <w:rsid w:val="00C75D84"/>
    <w:rsid w:val="00C75FBA"/>
    <w:rsid w:val="00C777BC"/>
    <w:rsid w:val="00C81325"/>
    <w:rsid w:val="00C818B9"/>
    <w:rsid w:val="00C944BA"/>
    <w:rsid w:val="00C955ED"/>
    <w:rsid w:val="00C967CA"/>
    <w:rsid w:val="00CA7F12"/>
    <w:rsid w:val="00CB3487"/>
    <w:rsid w:val="00CC1B94"/>
    <w:rsid w:val="00CC518B"/>
    <w:rsid w:val="00CD03E6"/>
    <w:rsid w:val="00CE741E"/>
    <w:rsid w:val="00CE74BD"/>
    <w:rsid w:val="00CF311D"/>
    <w:rsid w:val="00D033CD"/>
    <w:rsid w:val="00D13160"/>
    <w:rsid w:val="00D22FCA"/>
    <w:rsid w:val="00D24212"/>
    <w:rsid w:val="00D274F8"/>
    <w:rsid w:val="00D308EB"/>
    <w:rsid w:val="00D31A61"/>
    <w:rsid w:val="00D407ED"/>
    <w:rsid w:val="00D41F6F"/>
    <w:rsid w:val="00D50584"/>
    <w:rsid w:val="00D53884"/>
    <w:rsid w:val="00D564E5"/>
    <w:rsid w:val="00D6261F"/>
    <w:rsid w:val="00D7492D"/>
    <w:rsid w:val="00D823E5"/>
    <w:rsid w:val="00D85ACA"/>
    <w:rsid w:val="00D93551"/>
    <w:rsid w:val="00D93D22"/>
    <w:rsid w:val="00DA512C"/>
    <w:rsid w:val="00DA575D"/>
    <w:rsid w:val="00DA58EC"/>
    <w:rsid w:val="00DB0561"/>
    <w:rsid w:val="00DB0691"/>
    <w:rsid w:val="00DB087C"/>
    <w:rsid w:val="00DB128B"/>
    <w:rsid w:val="00DB33E9"/>
    <w:rsid w:val="00DB3FD7"/>
    <w:rsid w:val="00DC148B"/>
    <w:rsid w:val="00DC30EB"/>
    <w:rsid w:val="00DC3661"/>
    <w:rsid w:val="00DD3A3A"/>
    <w:rsid w:val="00DE2CCA"/>
    <w:rsid w:val="00DF10E8"/>
    <w:rsid w:val="00DF4B7F"/>
    <w:rsid w:val="00E02403"/>
    <w:rsid w:val="00E04656"/>
    <w:rsid w:val="00E263B1"/>
    <w:rsid w:val="00E400BF"/>
    <w:rsid w:val="00E40CB2"/>
    <w:rsid w:val="00E474E5"/>
    <w:rsid w:val="00E51505"/>
    <w:rsid w:val="00E55BFA"/>
    <w:rsid w:val="00E625FA"/>
    <w:rsid w:val="00E74B5D"/>
    <w:rsid w:val="00E75F82"/>
    <w:rsid w:val="00E810ED"/>
    <w:rsid w:val="00E815F3"/>
    <w:rsid w:val="00E82713"/>
    <w:rsid w:val="00E83B63"/>
    <w:rsid w:val="00E8639B"/>
    <w:rsid w:val="00E90C21"/>
    <w:rsid w:val="00E91292"/>
    <w:rsid w:val="00EA4E4C"/>
    <w:rsid w:val="00EB4230"/>
    <w:rsid w:val="00EB6254"/>
    <w:rsid w:val="00EB6910"/>
    <w:rsid w:val="00EC1619"/>
    <w:rsid w:val="00EC5764"/>
    <w:rsid w:val="00EC58CE"/>
    <w:rsid w:val="00ED08AE"/>
    <w:rsid w:val="00ED2B2D"/>
    <w:rsid w:val="00EF277F"/>
    <w:rsid w:val="00F00B6F"/>
    <w:rsid w:val="00F00B7B"/>
    <w:rsid w:val="00F0615E"/>
    <w:rsid w:val="00F20AA2"/>
    <w:rsid w:val="00F231D8"/>
    <w:rsid w:val="00F26DDE"/>
    <w:rsid w:val="00F46284"/>
    <w:rsid w:val="00F520F6"/>
    <w:rsid w:val="00F53092"/>
    <w:rsid w:val="00F53BD1"/>
    <w:rsid w:val="00F77723"/>
    <w:rsid w:val="00F77A78"/>
    <w:rsid w:val="00F9166C"/>
    <w:rsid w:val="00F91914"/>
    <w:rsid w:val="00F928A1"/>
    <w:rsid w:val="00F95312"/>
    <w:rsid w:val="00FA09FB"/>
    <w:rsid w:val="00FB0F79"/>
    <w:rsid w:val="00FB51D5"/>
    <w:rsid w:val="00FD11C0"/>
    <w:rsid w:val="00FD2443"/>
    <w:rsid w:val="00FE66BE"/>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0E51"/>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0B"/>
  </w:style>
  <w:style w:type="paragraph" w:styleId="Heading1">
    <w:name w:val="heading 1"/>
    <w:basedOn w:val="Normal"/>
    <w:next w:val="Normal"/>
    <w:link w:val="Heading1Char"/>
    <w:qFormat/>
    <w:rsid w:val="00210AF6"/>
    <w:pPr>
      <w:keepNext/>
      <w:widowControl w:val="0"/>
      <w:tabs>
        <w:tab w:val="left" w:pos="-374"/>
      </w:tabs>
      <w:autoSpaceDE w:val="0"/>
      <w:autoSpaceDN w:val="0"/>
      <w:adjustRightInd w:val="0"/>
      <w:spacing w:after="0" w:line="240" w:lineRule="auto"/>
      <w:ind w:firstLine="720"/>
      <w:jc w:val="both"/>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210AF6"/>
    <w:pPr>
      <w:spacing w:after="0" w:line="240" w:lineRule="auto"/>
      <w:ind w:left="720"/>
      <w:contextualSpacing/>
    </w:pPr>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210AF6"/>
    <w:rPr>
      <w:rFonts w:ascii="Verdana" w:eastAsia="Times New Roman" w:hAnsi="Verdana" w:cs="Times New Roman"/>
      <w:b/>
      <w:bCs/>
      <w:sz w:val="24"/>
      <w:szCs w:val="24"/>
    </w:rPr>
  </w:style>
  <w:style w:type="paragraph" w:customStyle="1" w:styleId="null">
    <w:name w:val="null"/>
    <w:basedOn w:val="Normal"/>
    <w:rsid w:val="00210AF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ull1">
    <w:name w:val="null1"/>
    <w:basedOn w:val="DefaultParagraphFont"/>
    <w:rsid w:val="00210AF6"/>
  </w:style>
  <w:style w:type="character" w:styleId="Hyperlink">
    <w:name w:val="Hyperlink"/>
    <w:basedOn w:val="DefaultParagraphFont"/>
    <w:uiPriority w:val="99"/>
    <w:unhideWhenUsed/>
    <w:rsid w:val="00210AF6"/>
    <w:rPr>
      <w:color w:val="0000FF" w:themeColor="hyperlink"/>
      <w:u w:val="single"/>
    </w:rPr>
  </w:style>
  <w:style w:type="paragraph" w:customStyle="1" w:styleId="Default">
    <w:name w:val="Default"/>
    <w:rsid w:val="00F520F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31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A61"/>
    <w:rPr>
      <w:rFonts w:ascii="Segoe UI" w:hAnsi="Segoe UI" w:cs="Segoe UI"/>
      <w:sz w:val="18"/>
      <w:szCs w:val="18"/>
    </w:rPr>
  </w:style>
  <w:style w:type="character" w:styleId="CommentReference">
    <w:name w:val="annotation reference"/>
    <w:basedOn w:val="DefaultParagraphFont"/>
    <w:uiPriority w:val="99"/>
    <w:semiHidden/>
    <w:unhideWhenUsed/>
    <w:rsid w:val="009C43A1"/>
    <w:rPr>
      <w:sz w:val="16"/>
      <w:szCs w:val="16"/>
    </w:rPr>
  </w:style>
  <w:style w:type="paragraph" w:styleId="CommentText">
    <w:name w:val="annotation text"/>
    <w:basedOn w:val="Normal"/>
    <w:link w:val="CommentTextChar"/>
    <w:uiPriority w:val="99"/>
    <w:unhideWhenUsed/>
    <w:rsid w:val="009C43A1"/>
    <w:pPr>
      <w:spacing w:line="240" w:lineRule="auto"/>
    </w:pPr>
    <w:rPr>
      <w:sz w:val="20"/>
      <w:szCs w:val="20"/>
    </w:rPr>
  </w:style>
  <w:style w:type="character" w:customStyle="1" w:styleId="CommentTextChar">
    <w:name w:val="Comment Text Char"/>
    <w:basedOn w:val="DefaultParagraphFont"/>
    <w:link w:val="CommentText"/>
    <w:uiPriority w:val="99"/>
    <w:rsid w:val="009C43A1"/>
    <w:rPr>
      <w:sz w:val="20"/>
      <w:szCs w:val="20"/>
    </w:rPr>
  </w:style>
  <w:style w:type="paragraph" w:styleId="CommentSubject">
    <w:name w:val="annotation subject"/>
    <w:basedOn w:val="CommentText"/>
    <w:next w:val="CommentText"/>
    <w:link w:val="CommentSubjectChar"/>
    <w:uiPriority w:val="99"/>
    <w:semiHidden/>
    <w:unhideWhenUsed/>
    <w:rsid w:val="009C43A1"/>
    <w:rPr>
      <w:b/>
      <w:bCs/>
    </w:rPr>
  </w:style>
  <w:style w:type="character" w:customStyle="1" w:styleId="CommentSubjectChar">
    <w:name w:val="Comment Subject Char"/>
    <w:basedOn w:val="CommentTextChar"/>
    <w:link w:val="CommentSubject"/>
    <w:uiPriority w:val="99"/>
    <w:semiHidden/>
    <w:rsid w:val="009C43A1"/>
    <w:rPr>
      <w:b/>
      <w:bCs/>
      <w:sz w:val="20"/>
      <w:szCs w:val="20"/>
    </w:rPr>
  </w:style>
  <w:style w:type="paragraph" w:styleId="Revision">
    <w:name w:val="Revision"/>
    <w:hidden/>
    <w:uiPriority w:val="99"/>
    <w:semiHidden/>
    <w:rsid w:val="006B680F"/>
    <w:pPr>
      <w:spacing w:after="0" w:line="240" w:lineRule="auto"/>
    </w:p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865434"/>
    <w:rPr>
      <w:rFonts w:ascii="Times New Roman" w:hAnsi="Times New Roman" w:cs="Times New Roman"/>
      <w:sz w:val="24"/>
      <w:szCs w:val="24"/>
      <w:lang w:eastAsia="en-GB"/>
    </w:rPr>
  </w:style>
  <w:style w:type="paragraph" w:styleId="NormalWeb">
    <w:name w:val="Normal (Web)"/>
    <w:basedOn w:val="Normal"/>
    <w:uiPriority w:val="99"/>
    <w:unhideWhenUsed/>
    <w:rsid w:val="00F953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026">
      <w:bodyDiv w:val="1"/>
      <w:marLeft w:val="0"/>
      <w:marRight w:val="0"/>
      <w:marTop w:val="0"/>
      <w:marBottom w:val="0"/>
      <w:divBdr>
        <w:top w:val="none" w:sz="0" w:space="0" w:color="auto"/>
        <w:left w:val="none" w:sz="0" w:space="0" w:color="auto"/>
        <w:bottom w:val="none" w:sz="0" w:space="0" w:color="auto"/>
        <w:right w:val="none" w:sz="0" w:space="0" w:color="auto"/>
      </w:divBdr>
    </w:div>
    <w:div w:id="9332761">
      <w:bodyDiv w:val="1"/>
      <w:marLeft w:val="0"/>
      <w:marRight w:val="0"/>
      <w:marTop w:val="0"/>
      <w:marBottom w:val="0"/>
      <w:divBdr>
        <w:top w:val="none" w:sz="0" w:space="0" w:color="auto"/>
        <w:left w:val="none" w:sz="0" w:space="0" w:color="auto"/>
        <w:bottom w:val="none" w:sz="0" w:space="0" w:color="auto"/>
        <w:right w:val="none" w:sz="0" w:space="0" w:color="auto"/>
      </w:divBdr>
    </w:div>
    <w:div w:id="26299715">
      <w:bodyDiv w:val="1"/>
      <w:marLeft w:val="0"/>
      <w:marRight w:val="0"/>
      <w:marTop w:val="0"/>
      <w:marBottom w:val="0"/>
      <w:divBdr>
        <w:top w:val="none" w:sz="0" w:space="0" w:color="auto"/>
        <w:left w:val="none" w:sz="0" w:space="0" w:color="auto"/>
        <w:bottom w:val="none" w:sz="0" w:space="0" w:color="auto"/>
        <w:right w:val="none" w:sz="0" w:space="0" w:color="auto"/>
      </w:divBdr>
    </w:div>
    <w:div w:id="99449421">
      <w:bodyDiv w:val="1"/>
      <w:marLeft w:val="0"/>
      <w:marRight w:val="0"/>
      <w:marTop w:val="0"/>
      <w:marBottom w:val="0"/>
      <w:divBdr>
        <w:top w:val="none" w:sz="0" w:space="0" w:color="auto"/>
        <w:left w:val="none" w:sz="0" w:space="0" w:color="auto"/>
        <w:bottom w:val="none" w:sz="0" w:space="0" w:color="auto"/>
        <w:right w:val="none" w:sz="0" w:space="0" w:color="auto"/>
      </w:divBdr>
    </w:div>
    <w:div w:id="174536305">
      <w:bodyDiv w:val="1"/>
      <w:marLeft w:val="0"/>
      <w:marRight w:val="0"/>
      <w:marTop w:val="0"/>
      <w:marBottom w:val="0"/>
      <w:divBdr>
        <w:top w:val="none" w:sz="0" w:space="0" w:color="auto"/>
        <w:left w:val="none" w:sz="0" w:space="0" w:color="auto"/>
        <w:bottom w:val="none" w:sz="0" w:space="0" w:color="auto"/>
        <w:right w:val="none" w:sz="0" w:space="0" w:color="auto"/>
      </w:divBdr>
    </w:div>
    <w:div w:id="194539451">
      <w:bodyDiv w:val="1"/>
      <w:marLeft w:val="0"/>
      <w:marRight w:val="0"/>
      <w:marTop w:val="0"/>
      <w:marBottom w:val="0"/>
      <w:divBdr>
        <w:top w:val="none" w:sz="0" w:space="0" w:color="auto"/>
        <w:left w:val="none" w:sz="0" w:space="0" w:color="auto"/>
        <w:bottom w:val="none" w:sz="0" w:space="0" w:color="auto"/>
        <w:right w:val="none" w:sz="0" w:space="0" w:color="auto"/>
      </w:divBdr>
    </w:div>
    <w:div w:id="202137728">
      <w:bodyDiv w:val="1"/>
      <w:marLeft w:val="0"/>
      <w:marRight w:val="0"/>
      <w:marTop w:val="0"/>
      <w:marBottom w:val="0"/>
      <w:divBdr>
        <w:top w:val="none" w:sz="0" w:space="0" w:color="auto"/>
        <w:left w:val="none" w:sz="0" w:space="0" w:color="auto"/>
        <w:bottom w:val="none" w:sz="0" w:space="0" w:color="auto"/>
        <w:right w:val="none" w:sz="0" w:space="0" w:color="auto"/>
      </w:divBdr>
    </w:div>
    <w:div w:id="203060616">
      <w:bodyDiv w:val="1"/>
      <w:marLeft w:val="0"/>
      <w:marRight w:val="0"/>
      <w:marTop w:val="0"/>
      <w:marBottom w:val="0"/>
      <w:divBdr>
        <w:top w:val="none" w:sz="0" w:space="0" w:color="auto"/>
        <w:left w:val="none" w:sz="0" w:space="0" w:color="auto"/>
        <w:bottom w:val="none" w:sz="0" w:space="0" w:color="auto"/>
        <w:right w:val="none" w:sz="0" w:space="0" w:color="auto"/>
      </w:divBdr>
    </w:div>
    <w:div w:id="234899785">
      <w:bodyDiv w:val="1"/>
      <w:marLeft w:val="0"/>
      <w:marRight w:val="0"/>
      <w:marTop w:val="0"/>
      <w:marBottom w:val="0"/>
      <w:divBdr>
        <w:top w:val="none" w:sz="0" w:space="0" w:color="auto"/>
        <w:left w:val="none" w:sz="0" w:space="0" w:color="auto"/>
        <w:bottom w:val="none" w:sz="0" w:space="0" w:color="auto"/>
        <w:right w:val="none" w:sz="0" w:space="0" w:color="auto"/>
      </w:divBdr>
    </w:div>
    <w:div w:id="248657254">
      <w:bodyDiv w:val="1"/>
      <w:marLeft w:val="0"/>
      <w:marRight w:val="0"/>
      <w:marTop w:val="0"/>
      <w:marBottom w:val="0"/>
      <w:divBdr>
        <w:top w:val="none" w:sz="0" w:space="0" w:color="auto"/>
        <w:left w:val="none" w:sz="0" w:space="0" w:color="auto"/>
        <w:bottom w:val="none" w:sz="0" w:space="0" w:color="auto"/>
        <w:right w:val="none" w:sz="0" w:space="0" w:color="auto"/>
      </w:divBdr>
    </w:div>
    <w:div w:id="269511065">
      <w:bodyDiv w:val="1"/>
      <w:marLeft w:val="0"/>
      <w:marRight w:val="0"/>
      <w:marTop w:val="0"/>
      <w:marBottom w:val="0"/>
      <w:divBdr>
        <w:top w:val="none" w:sz="0" w:space="0" w:color="auto"/>
        <w:left w:val="none" w:sz="0" w:space="0" w:color="auto"/>
        <w:bottom w:val="none" w:sz="0" w:space="0" w:color="auto"/>
        <w:right w:val="none" w:sz="0" w:space="0" w:color="auto"/>
      </w:divBdr>
    </w:div>
    <w:div w:id="337663463">
      <w:bodyDiv w:val="1"/>
      <w:marLeft w:val="0"/>
      <w:marRight w:val="0"/>
      <w:marTop w:val="0"/>
      <w:marBottom w:val="0"/>
      <w:divBdr>
        <w:top w:val="none" w:sz="0" w:space="0" w:color="auto"/>
        <w:left w:val="none" w:sz="0" w:space="0" w:color="auto"/>
        <w:bottom w:val="none" w:sz="0" w:space="0" w:color="auto"/>
        <w:right w:val="none" w:sz="0" w:space="0" w:color="auto"/>
      </w:divBdr>
    </w:div>
    <w:div w:id="351567815">
      <w:bodyDiv w:val="1"/>
      <w:marLeft w:val="0"/>
      <w:marRight w:val="0"/>
      <w:marTop w:val="0"/>
      <w:marBottom w:val="0"/>
      <w:divBdr>
        <w:top w:val="none" w:sz="0" w:space="0" w:color="auto"/>
        <w:left w:val="none" w:sz="0" w:space="0" w:color="auto"/>
        <w:bottom w:val="none" w:sz="0" w:space="0" w:color="auto"/>
        <w:right w:val="none" w:sz="0" w:space="0" w:color="auto"/>
      </w:divBdr>
    </w:div>
    <w:div w:id="372271770">
      <w:bodyDiv w:val="1"/>
      <w:marLeft w:val="0"/>
      <w:marRight w:val="0"/>
      <w:marTop w:val="0"/>
      <w:marBottom w:val="0"/>
      <w:divBdr>
        <w:top w:val="none" w:sz="0" w:space="0" w:color="auto"/>
        <w:left w:val="none" w:sz="0" w:space="0" w:color="auto"/>
        <w:bottom w:val="none" w:sz="0" w:space="0" w:color="auto"/>
        <w:right w:val="none" w:sz="0" w:space="0" w:color="auto"/>
      </w:divBdr>
    </w:div>
    <w:div w:id="395130603">
      <w:bodyDiv w:val="1"/>
      <w:marLeft w:val="0"/>
      <w:marRight w:val="0"/>
      <w:marTop w:val="0"/>
      <w:marBottom w:val="0"/>
      <w:divBdr>
        <w:top w:val="none" w:sz="0" w:space="0" w:color="auto"/>
        <w:left w:val="none" w:sz="0" w:space="0" w:color="auto"/>
        <w:bottom w:val="none" w:sz="0" w:space="0" w:color="auto"/>
        <w:right w:val="none" w:sz="0" w:space="0" w:color="auto"/>
      </w:divBdr>
    </w:div>
    <w:div w:id="423721258">
      <w:bodyDiv w:val="1"/>
      <w:marLeft w:val="0"/>
      <w:marRight w:val="0"/>
      <w:marTop w:val="0"/>
      <w:marBottom w:val="0"/>
      <w:divBdr>
        <w:top w:val="none" w:sz="0" w:space="0" w:color="auto"/>
        <w:left w:val="none" w:sz="0" w:space="0" w:color="auto"/>
        <w:bottom w:val="none" w:sz="0" w:space="0" w:color="auto"/>
        <w:right w:val="none" w:sz="0" w:space="0" w:color="auto"/>
      </w:divBdr>
    </w:div>
    <w:div w:id="447044257">
      <w:bodyDiv w:val="1"/>
      <w:marLeft w:val="0"/>
      <w:marRight w:val="0"/>
      <w:marTop w:val="0"/>
      <w:marBottom w:val="0"/>
      <w:divBdr>
        <w:top w:val="none" w:sz="0" w:space="0" w:color="auto"/>
        <w:left w:val="none" w:sz="0" w:space="0" w:color="auto"/>
        <w:bottom w:val="none" w:sz="0" w:space="0" w:color="auto"/>
        <w:right w:val="none" w:sz="0" w:space="0" w:color="auto"/>
      </w:divBdr>
    </w:div>
    <w:div w:id="484782783">
      <w:bodyDiv w:val="1"/>
      <w:marLeft w:val="0"/>
      <w:marRight w:val="0"/>
      <w:marTop w:val="0"/>
      <w:marBottom w:val="0"/>
      <w:divBdr>
        <w:top w:val="none" w:sz="0" w:space="0" w:color="auto"/>
        <w:left w:val="none" w:sz="0" w:space="0" w:color="auto"/>
        <w:bottom w:val="none" w:sz="0" w:space="0" w:color="auto"/>
        <w:right w:val="none" w:sz="0" w:space="0" w:color="auto"/>
      </w:divBdr>
    </w:div>
    <w:div w:id="491062616">
      <w:bodyDiv w:val="1"/>
      <w:marLeft w:val="0"/>
      <w:marRight w:val="0"/>
      <w:marTop w:val="0"/>
      <w:marBottom w:val="0"/>
      <w:divBdr>
        <w:top w:val="none" w:sz="0" w:space="0" w:color="auto"/>
        <w:left w:val="none" w:sz="0" w:space="0" w:color="auto"/>
        <w:bottom w:val="none" w:sz="0" w:space="0" w:color="auto"/>
        <w:right w:val="none" w:sz="0" w:space="0" w:color="auto"/>
      </w:divBdr>
    </w:div>
    <w:div w:id="498736241">
      <w:bodyDiv w:val="1"/>
      <w:marLeft w:val="0"/>
      <w:marRight w:val="0"/>
      <w:marTop w:val="0"/>
      <w:marBottom w:val="0"/>
      <w:divBdr>
        <w:top w:val="none" w:sz="0" w:space="0" w:color="auto"/>
        <w:left w:val="none" w:sz="0" w:space="0" w:color="auto"/>
        <w:bottom w:val="none" w:sz="0" w:space="0" w:color="auto"/>
        <w:right w:val="none" w:sz="0" w:space="0" w:color="auto"/>
      </w:divBdr>
    </w:div>
    <w:div w:id="523792187">
      <w:bodyDiv w:val="1"/>
      <w:marLeft w:val="0"/>
      <w:marRight w:val="0"/>
      <w:marTop w:val="0"/>
      <w:marBottom w:val="0"/>
      <w:divBdr>
        <w:top w:val="none" w:sz="0" w:space="0" w:color="auto"/>
        <w:left w:val="none" w:sz="0" w:space="0" w:color="auto"/>
        <w:bottom w:val="none" w:sz="0" w:space="0" w:color="auto"/>
        <w:right w:val="none" w:sz="0" w:space="0" w:color="auto"/>
      </w:divBdr>
    </w:div>
    <w:div w:id="559287238">
      <w:bodyDiv w:val="1"/>
      <w:marLeft w:val="0"/>
      <w:marRight w:val="0"/>
      <w:marTop w:val="0"/>
      <w:marBottom w:val="0"/>
      <w:divBdr>
        <w:top w:val="none" w:sz="0" w:space="0" w:color="auto"/>
        <w:left w:val="none" w:sz="0" w:space="0" w:color="auto"/>
        <w:bottom w:val="none" w:sz="0" w:space="0" w:color="auto"/>
        <w:right w:val="none" w:sz="0" w:space="0" w:color="auto"/>
      </w:divBdr>
    </w:div>
    <w:div w:id="618730273">
      <w:bodyDiv w:val="1"/>
      <w:marLeft w:val="0"/>
      <w:marRight w:val="0"/>
      <w:marTop w:val="0"/>
      <w:marBottom w:val="0"/>
      <w:divBdr>
        <w:top w:val="none" w:sz="0" w:space="0" w:color="auto"/>
        <w:left w:val="none" w:sz="0" w:space="0" w:color="auto"/>
        <w:bottom w:val="none" w:sz="0" w:space="0" w:color="auto"/>
        <w:right w:val="none" w:sz="0" w:space="0" w:color="auto"/>
      </w:divBdr>
    </w:div>
    <w:div w:id="643320114">
      <w:bodyDiv w:val="1"/>
      <w:marLeft w:val="0"/>
      <w:marRight w:val="0"/>
      <w:marTop w:val="0"/>
      <w:marBottom w:val="0"/>
      <w:divBdr>
        <w:top w:val="none" w:sz="0" w:space="0" w:color="auto"/>
        <w:left w:val="none" w:sz="0" w:space="0" w:color="auto"/>
        <w:bottom w:val="none" w:sz="0" w:space="0" w:color="auto"/>
        <w:right w:val="none" w:sz="0" w:space="0" w:color="auto"/>
      </w:divBdr>
    </w:div>
    <w:div w:id="659231263">
      <w:bodyDiv w:val="1"/>
      <w:marLeft w:val="0"/>
      <w:marRight w:val="0"/>
      <w:marTop w:val="0"/>
      <w:marBottom w:val="0"/>
      <w:divBdr>
        <w:top w:val="none" w:sz="0" w:space="0" w:color="auto"/>
        <w:left w:val="none" w:sz="0" w:space="0" w:color="auto"/>
        <w:bottom w:val="none" w:sz="0" w:space="0" w:color="auto"/>
        <w:right w:val="none" w:sz="0" w:space="0" w:color="auto"/>
      </w:divBdr>
    </w:div>
    <w:div w:id="667749201">
      <w:bodyDiv w:val="1"/>
      <w:marLeft w:val="0"/>
      <w:marRight w:val="0"/>
      <w:marTop w:val="0"/>
      <w:marBottom w:val="0"/>
      <w:divBdr>
        <w:top w:val="none" w:sz="0" w:space="0" w:color="auto"/>
        <w:left w:val="none" w:sz="0" w:space="0" w:color="auto"/>
        <w:bottom w:val="none" w:sz="0" w:space="0" w:color="auto"/>
        <w:right w:val="none" w:sz="0" w:space="0" w:color="auto"/>
      </w:divBdr>
    </w:div>
    <w:div w:id="669142905">
      <w:bodyDiv w:val="1"/>
      <w:marLeft w:val="0"/>
      <w:marRight w:val="0"/>
      <w:marTop w:val="0"/>
      <w:marBottom w:val="0"/>
      <w:divBdr>
        <w:top w:val="none" w:sz="0" w:space="0" w:color="auto"/>
        <w:left w:val="none" w:sz="0" w:space="0" w:color="auto"/>
        <w:bottom w:val="none" w:sz="0" w:space="0" w:color="auto"/>
        <w:right w:val="none" w:sz="0" w:space="0" w:color="auto"/>
      </w:divBdr>
    </w:div>
    <w:div w:id="709692812">
      <w:bodyDiv w:val="1"/>
      <w:marLeft w:val="0"/>
      <w:marRight w:val="0"/>
      <w:marTop w:val="0"/>
      <w:marBottom w:val="0"/>
      <w:divBdr>
        <w:top w:val="none" w:sz="0" w:space="0" w:color="auto"/>
        <w:left w:val="none" w:sz="0" w:space="0" w:color="auto"/>
        <w:bottom w:val="none" w:sz="0" w:space="0" w:color="auto"/>
        <w:right w:val="none" w:sz="0" w:space="0" w:color="auto"/>
      </w:divBdr>
    </w:div>
    <w:div w:id="750586794">
      <w:bodyDiv w:val="1"/>
      <w:marLeft w:val="0"/>
      <w:marRight w:val="0"/>
      <w:marTop w:val="0"/>
      <w:marBottom w:val="0"/>
      <w:divBdr>
        <w:top w:val="none" w:sz="0" w:space="0" w:color="auto"/>
        <w:left w:val="none" w:sz="0" w:space="0" w:color="auto"/>
        <w:bottom w:val="none" w:sz="0" w:space="0" w:color="auto"/>
        <w:right w:val="none" w:sz="0" w:space="0" w:color="auto"/>
      </w:divBdr>
    </w:div>
    <w:div w:id="775826235">
      <w:bodyDiv w:val="1"/>
      <w:marLeft w:val="0"/>
      <w:marRight w:val="0"/>
      <w:marTop w:val="0"/>
      <w:marBottom w:val="0"/>
      <w:divBdr>
        <w:top w:val="none" w:sz="0" w:space="0" w:color="auto"/>
        <w:left w:val="none" w:sz="0" w:space="0" w:color="auto"/>
        <w:bottom w:val="none" w:sz="0" w:space="0" w:color="auto"/>
        <w:right w:val="none" w:sz="0" w:space="0" w:color="auto"/>
      </w:divBdr>
    </w:div>
    <w:div w:id="811751859">
      <w:bodyDiv w:val="1"/>
      <w:marLeft w:val="0"/>
      <w:marRight w:val="0"/>
      <w:marTop w:val="0"/>
      <w:marBottom w:val="0"/>
      <w:divBdr>
        <w:top w:val="none" w:sz="0" w:space="0" w:color="auto"/>
        <w:left w:val="none" w:sz="0" w:space="0" w:color="auto"/>
        <w:bottom w:val="none" w:sz="0" w:space="0" w:color="auto"/>
        <w:right w:val="none" w:sz="0" w:space="0" w:color="auto"/>
      </w:divBdr>
    </w:div>
    <w:div w:id="832380746">
      <w:bodyDiv w:val="1"/>
      <w:marLeft w:val="0"/>
      <w:marRight w:val="0"/>
      <w:marTop w:val="0"/>
      <w:marBottom w:val="0"/>
      <w:divBdr>
        <w:top w:val="none" w:sz="0" w:space="0" w:color="auto"/>
        <w:left w:val="none" w:sz="0" w:space="0" w:color="auto"/>
        <w:bottom w:val="none" w:sz="0" w:space="0" w:color="auto"/>
        <w:right w:val="none" w:sz="0" w:space="0" w:color="auto"/>
      </w:divBdr>
    </w:div>
    <w:div w:id="865946728">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8280220">
      <w:bodyDiv w:val="1"/>
      <w:marLeft w:val="0"/>
      <w:marRight w:val="0"/>
      <w:marTop w:val="0"/>
      <w:marBottom w:val="0"/>
      <w:divBdr>
        <w:top w:val="none" w:sz="0" w:space="0" w:color="auto"/>
        <w:left w:val="none" w:sz="0" w:space="0" w:color="auto"/>
        <w:bottom w:val="none" w:sz="0" w:space="0" w:color="auto"/>
        <w:right w:val="none" w:sz="0" w:space="0" w:color="auto"/>
      </w:divBdr>
    </w:div>
    <w:div w:id="899748012">
      <w:bodyDiv w:val="1"/>
      <w:marLeft w:val="0"/>
      <w:marRight w:val="0"/>
      <w:marTop w:val="0"/>
      <w:marBottom w:val="0"/>
      <w:divBdr>
        <w:top w:val="none" w:sz="0" w:space="0" w:color="auto"/>
        <w:left w:val="none" w:sz="0" w:space="0" w:color="auto"/>
        <w:bottom w:val="none" w:sz="0" w:space="0" w:color="auto"/>
        <w:right w:val="none" w:sz="0" w:space="0" w:color="auto"/>
      </w:divBdr>
    </w:div>
    <w:div w:id="904225347">
      <w:bodyDiv w:val="1"/>
      <w:marLeft w:val="0"/>
      <w:marRight w:val="0"/>
      <w:marTop w:val="0"/>
      <w:marBottom w:val="0"/>
      <w:divBdr>
        <w:top w:val="none" w:sz="0" w:space="0" w:color="auto"/>
        <w:left w:val="none" w:sz="0" w:space="0" w:color="auto"/>
        <w:bottom w:val="none" w:sz="0" w:space="0" w:color="auto"/>
        <w:right w:val="none" w:sz="0" w:space="0" w:color="auto"/>
      </w:divBdr>
    </w:div>
    <w:div w:id="918179245">
      <w:bodyDiv w:val="1"/>
      <w:marLeft w:val="0"/>
      <w:marRight w:val="0"/>
      <w:marTop w:val="0"/>
      <w:marBottom w:val="0"/>
      <w:divBdr>
        <w:top w:val="none" w:sz="0" w:space="0" w:color="auto"/>
        <w:left w:val="none" w:sz="0" w:space="0" w:color="auto"/>
        <w:bottom w:val="none" w:sz="0" w:space="0" w:color="auto"/>
        <w:right w:val="none" w:sz="0" w:space="0" w:color="auto"/>
      </w:divBdr>
      <w:divsChild>
        <w:div w:id="161706351">
          <w:marLeft w:val="446"/>
          <w:marRight w:val="0"/>
          <w:marTop w:val="200"/>
          <w:marBottom w:val="0"/>
          <w:divBdr>
            <w:top w:val="none" w:sz="0" w:space="0" w:color="auto"/>
            <w:left w:val="none" w:sz="0" w:space="0" w:color="auto"/>
            <w:bottom w:val="none" w:sz="0" w:space="0" w:color="auto"/>
            <w:right w:val="none" w:sz="0" w:space="0" w:color="auto"/>
          </w:divBdr>
        </w:div>
        <w:div w:id="1612280856">
          <w:marLeft w:val="446"/>
          <w:marRight w:val="0"/>
          <w:marTop w:val="200"/>
          <w:marBottom w:val="0"/>
          <w:divBdr>
            <w:top w:val="none" w:sz="0" w:space="0" w:color="auto"/>
            <w:left w:val="none" w:sz="0" w:space="0" w:color="auto"/>
            <w:bottom w:val="none" w:sz="0" w:space="0" w:color="auto"/>
            <w:right w:val="none" w:sz="0" w:space="0" w:color="auto"/>
          </w:divBdr>
        </w:div>
        <w:div w:id="1240360745">
          <w:marLeft w:val="446"/>
          <w:marRight w:val="0"/>
          <w:marTop w:val="200"/>
          <w:marBottom w:val="0"/>
          <w:divBdr>
            <w:top w:val="none" w:sz="0" w:space="0" w:color="auto"/>
            <w:left w:val="none" w:sz="0" w:space="0" w:color="auto"/>
            <w:bottom w:val="none" w:sz="0" w:space="0" w:color="auto"/>
            <w:right w:val="none" w:sz="0" w:space="0" w:color="auto"/>
          </w:divBdr>
        </w:div>
      </w:divsChild>
    </w:div>
    <w:div w:id="967130156">
      <w:bodyDiv w:val="1"/>
      <w:marLeft w:val="0"/>
      <w:marRight w:val="0"/>
      <w:marTop w:val="0"/>
      <w:marBottom w:val="0"/>
      <w:divBdr>
        <w:top w:val="none" w:sz="0" w:space="0" w:color="auto"/>
        <w:left w:val="none" w:sz="0" w:space="0" w:color="auto"/>
        <w:bottom w:val="none" w:sz="0" w:space="0" w:color="auto"/>
        <w:right w:val="none" w:sz="0" w:space="0" w:color="auto"/>
      </w:divBdr>
    </w:div>
    <w:div w:id="972447724">
      <w:bodyDiv w:val="1"/>
      <w:marLeft w:val="0"/>
      <w:marRight w:val="0"/>
      <w:marTop w:val="0"/>
      <w:marBottom w:val="0"/>
      <w:divBdr>
        <w:top w:val="none" w:sz="0" w:space="0" w:color="auto"/>
        <w:left w:val="none" w:sz="0" w:space="0" w:color="auto"/>
        <w:bottom w:val="none" w:sz="0" w:space="0" w:color="auto"/>
        <w:right w:val="none" w:sz="0" w:space="0" w:color="auto"/>
      </w:divBdr>
    </w:div>
    <w:div w:id="988362142">
      <w:bodyDiv w:val="1"/>
      <w:marLeft w:val="0"/>
      <w:marRight w:val="0"/>
      <w:marTop w:val="0"/>
      <w:marBottom w:val="0"/>
      <w:divBdr>
        <w:top w:val="none" w:sz="0" w:space="0" w:color="auto"/>
        <w:left w:val="none" w:sz="0" w:space="0" w:color="auto"/>
        <w:bottom w:val="none" w:sz="0" w:space="0" w:color="auto"/>
        <w:right w:val="none" w:sz="0" w:space="0" w:color="auto"/>
      </w:divBdr>
      <w:divsChild>
        <w:div w:id="36709671">
          <w:marLeft w:val="446"/>
          <w:marRight w:val="0"/>
          <w:marTop w:val="0"/>
          <w:marBottom w:val="0"/>
          <w:divBdr>
            <w:top w:val="none" w:sz="0" w:space="0" w:color="auto"/>
            <w:left w:val="none" w:sz="0" w:space="0" w:color="auto"/>
            <w:bottom w:val="none" w:sz="0" w:space="0" w:color="auto"/>
            <w:right w:val="none" w:sz="0" w:space="0" w:color="auto"/>
          </w:divBdr>
        </w:div>
        <w:div w:id="1963337126">
          <w:marLeft w:val="446"/>
          <w:marRight w:val="0"/>
          <w:marTop w:val="0"/>
          <w:marBottom w:val="0"/>
          <w:divBdr>
            <w:top w:val="none" w:sz="0" w:space="0" w:color="auto"/>
            <w:left w:val="none" w:sz="0" w:space="0" w:color="auto"/>
            <w:bottom w:val="none" w:sz="0" w:space="0" w:color="auto"/>
            <w:right w:val="none" w:sz="0" w:space="0" w:color="auto"/>
          </w:divBdr>
        </w:div>
        <w:div w:id="303202154">
          <w:marLeft w:val="446"/>
          <w:marRight w:val="0"/>
          <w:marTop w:val="0"/>
          <w:marBottom w:val="0"/>
          <w:divBdr>
            <w:top w:val="none" w:sz="0" w:space="0" w:color="auto"/>
            <w:left w:val="none" w:sz="0" w:space="0" w:color="auto"/>
            <w:bottom w:val="none" w:sz="0" w:space="0" w:color="auto"/>
            <w:right w:val="none" w:sz="0" w:space="0" w:color="auto"/>
          </w:divBdr>
        </w:div>
      </w:divsChild>
    </w:div>
    <w:div w:id="1012337022">
      <w:bodyDiv w:val="1"/>
      <w:marLeft w:val="0"/>
      <w:marRight w:val="0"/>
      <w:marTop w:val="0"/>
      <w:marBottom w:val="0"/>
      <w:divBdr>
        <w:top w:val="none" w:sz="0" w:space="0" w:color="auto"/>
        <w:left w:val="none" w:sz="0" w:space="0" w:color="auto"/>
        <w:bottom w:val="none" w:sz="0" w:space="0" w:color="auto"/>
        <w:right w:val="none" w:sz="0" w:space="0" w:color="auto"/>
      </w:divBdr>
    </w:div>
    <w:div w:id="1015811349">
      <w:bodyDiv w:val="1"/>
      <w:marLeft w:val="0"/>
      <w:marRight w:val="0"/>
      <w:marTop w:val="0"/>
      <w:marBottom w:val="0"/>
      <w:divBdr>
        <w:top w:val="none" w:sz="0" w:space="0" w:color="auto"/>
        <w:left w:val="none" w:sz="0" w:space="0" w:color="auto"/>
        <w:bottom w:val="none" w:sz="0" w:space="0" w:color="auto"/>
        <w:right w:val="none" w:sz="0" w:space="0" w:color="auto"/>
      </w:divBdr>
    </w:div>
    <w:div w:id="1053307442">
      <w:bodyDiv w:val="1"/>
      <w:marLeft w:val="0"/>
      <w:marRight w:val="0"/>
      <w:marTop w:val="0"/>
      <w:marBottom w:val="0"/>
      <w:divBdr>
        <w:top w:val="none" w:sz="0" w:space="0" w:color="auto"/>
        <w:left w:val="none" w:sz="0" w:space="0" w:color="auto"/>
        <w:bottom w:val="none" w:sz="0" w:space="0" w:color="auto"/>
        <w:right w:val="none" w:sz="0" w:space="0" w:color="auto"/>
      </w:divBdr>
    </w:div>
    <w:div w:id="1056128916">
      <w:bodyDiv w:val="1"/>
      <w:marLeft w:val="0"/>
      <w:marRight w:val="0"/>
      <w:marTop w:val="0"/>
      <w:marBottom w:val="0"/>
      <w:divBdr>
        <w:top w:val="none" w:sz="0" w:space="0" w:color="auto"/>
        <w:left w:val="none" w:sz="0" w:space="0" w:color="auto"/>
        <w:bottom w:val="none" w:sz="0" w:space="0" w:color="auto"/>
        <w:right w:val="none" w:sz="0" w:space="0" w:color="auto"/>
      </w:divBdr>
    </w:div>
    <w:div w:id="1074013309">
      <w:bodyDiv w:val="1"/>
      <w:marLeft w:val="0"/>
      <w:marRight w:val="0"/>
      <w:marTop w:val="0"/>
      <w:marBottom w:val="0"/>
      <w:divBdr>
        <w:top w:val="none" w:sz="0" w:space="0" w:color="auto"/>
        <w:left w:val="none" w:sz="0" w:space="0" w:color="auto"/>
        <w:bottom w:val="none" w:sz="0" w:space="0" w:color="auto"/>
        <w:right w:val="none" w:sz="0" w:space="0" w:color="auto"/>
      </w:divBdr>
    </w:div>
    <w:div w:id="1090657283">
      <w:bodyDiv w:val="1"/>
      <w:marLeft w:val="0"/>
      <w:marRight w:val="0"/>
      <w:marTop w:val="0"/>
      <w:marBottom w:val="0"/>
      <w:divBdr>
        <w:top w:val="none" w:sz="0" w:space="0" w:color="auto"/>
        <w:left w:val="none" w:sz="0" w:space="0" w:color="auto"/>
        <w:bottom w:val="none" w:sz="0" w:space="0" w:color="auto"/>
        <w:right w:val="none" w:sz="0" w:space="0" w:color="auto"/>
      </w:divBdr>
    </w:div>
    <w:div w:id="1093739714">
      <w:bodyDiv w:val="1"/>
      <w:marLeft w:val="0"/>
      <w:marRight w:val="0"/>
      <w:marTop w:val="0"/>
      <w:marBottom w:val="0"/>
      <w:divBdr>
        <w:top w:val="none" w:sz="0" w:space="0" w:color="auto"/>
        <w:left w:val="none" w:sz="0" w:space="0" w:color="auto"/>
        <w:bottom w:val="none" w:sz="0" w:space="0" w:color="auto"/>
        <w:right w:val="none" w:sz="0" w:space="0" w:color="auto"/>
      </w:divBdr>
    </w:div>
    <w:div w:id="1103456843">
      <w:bodyDiv w:val="1"/>
      <w:marLeft w:val="0"/>
      <w:marRight w:val="0"/>
      <w:marTop w:val="0"/>
      <w:marBottom w:val="0"/>
      <w:divBdr>
        <w:top w:val="none" w:sz="0" w:space="0" w:color="auto"/>
        <w:left w:val="none" w:sz="0" w:space="0" w:color="auto"/>
        <w:bottom w:val="none" w:sz="0" w:space="0" w:color="auto"/>
        <w:right w:val="none" w:sz="0" w:space="0" w:color="auto"/>
      </w:divBdr>
    </w:div>
    <w:div w:id="1131746317">
      <w:bodyDiv w:val="1"/>
      <w:marLeft w:val="0"/>
      <w:marRight w:val="0"/>
      <w:marTop w:val="0"/>
      <w:marBottom w:val="0"/>
      <w:divBdr>
        <w:top w:val="none" w:sz="0" w:space="0" w:color="auto"/>
        <w:left w:val="none" w:sz="0" w:space="0" w:color="auto"/>
        <w:bottom w:val="none" w:sz="0" w:space="0" w:color="auto"/>
        <w:right w:val="none" w:sz="0" w:space="0" w:color="auto"/>
      </w:divBdr>
    </w:div>
    <w:div w:id="1256866550">
      <w:bodyDiv w:val="1"/>
      <w:marLeft w:val="0"/>
      <w:marRight w:val="0"/>
      <w:marTop w:val="0"/>
      <w:marBottom w:val="0"/>
      <w:divBdr>
        <w:top w:val="none" w:sz="0" w:space="0" w:color="auto"/>
        <w:left w:val="none" w:sz="0" w:space="0" w:color="auto"/>
        <w:bottom w:val="none" w:sz="0" w:space="0" w:color="auto"/>
        <w:right w:val="none" w:sz="0" w:space="0" w:color="auto"/>
      </w:divBdr>
    </w:div>
    <w:div w:id="1283149346">
      <w:bodyDiv w:val="1"/>
      <w:marLeft w:val="0"/>
      <w:marRight w:val="0"/>
      <w:marTop w:val="0"/>
      <w:marBottom w:val="0"/>
      <w:divBdr>
        <w:top w:val="none" w:sz="0" w:space="0" w:color="auto"/>
        <w:left w:val="none" w:sz="0" w:space="0" w:color="auto"/>
        <w:bottom w:val="none" w:sz="0" w:space="0" w:color="auto"/>
        <w:right w:val="none" w:sz="0" w:space="0" w:color="auto"/>
      </w:divBdr>
    </w:div>
    <w:div w:id="1288244726">
      <w:bodyDiv w:val="1"/>
      <w:marLeft w:val="0"/>
      <w:marRight w:val="0"/>
      <w:marTop w:val="0"/>
      <w:marBottom w:val="0"/>
      <w:divBdr>
        <w:top w:val="none" w:sz="0" w:space="0" w:color="auto"/>
        <w:left w:val="none" w:sz="0" w:space="0" w:color="auto"/>
        <w:bottom w:val="none" w:sz="0" w:space="0" w:color="auto"/>
        <w:right w:val="none" w:sz="0" w:space="0" w:color="auto"/>
      </w:divBdr>
    </w:div>
    <w:div w:id="1289973199">
      <w:bodyDiv w:val="1"/>
      <w:marLeft w:val="0"/>
      <w:marRight w:val="0"/>
      <w:marTop w:val="0"/>
      <w:marBottom w:val="0"/>
      <w:divBdr>
        <w:top w:val="none" w:sz="0" w:space="0" w:color="auto"/>
        <w:left w:val="none" w:sz="0" w:space="0" w:color="auto"/>
        <w:bottom w:val="none" w:sz="0" w:space="0" w:color="auto"/>
        <w:right w:val="none" w:sz="0" w:space="0" w:color="auto"/>
      </w:divBdr>
    </w:div>
    <w:div w:id="1338266440">
      <w:bodyDiv w:val="1"/>
      <w:marLeft w:val="0"/>
      <w:marRight w:val="0"/>
      <w:marTop w:val="0"/>
      <w:marBottom w:val="0"/>
      <w:divBdr>
        <w:top w:val="none" w:sz="0" w:space="0" w:color="auto"/>
        <w:left w:val="none" w:sz="0" w:space="0" w:color="auto"/>
        <w:bottom w:val="none" w:sz="0" w:space="0" w:color="auto"/>
        <w:right w:val="none" w:sz="0" w:space="0" w:color="auto"/>
      </w:divBdr>
    </w:div>
    <w:div w:id="1353218315">
      <w:bodyDiv w:val="1"/>
      <w:marLeft w:val="0"/>
      <w:marRight w:val="0"/>
      <w:marTop w:val="0"/>
      <w:marBottom w:val="0"/>
      <w:divBdr>
        <w:top w:val="none" w:sz="0" w:space="0" w:color="auto"/>
        <w:left w:val="none" w:sz="0" w:space="0" w:color="auto"/>
        <w:bottom w:val="none" w:sz="0" w:space="0" w:color="auto"/>
        <w:right w:val="none" w:sz="0" w:space="0" w:color="auto"/>
      </w:divBdr>
    </w:div>
    <w:div w:id="1392071991">
      <w:bodyDiv w:val="1"/>
      <w:marLeft w:val="0"/>
      <w:marRight w:val="0"/>
      <w:marTop w:val="0"/>
      <w:marBottom w:val="0"/>
      <w:divBdr>
        <w:top w:val="none" w:sz="0" w:space="0" w:color="auto"/>
        <w:left w:val="none" w:sz="0" w:space="0" w:color="auto"/>
        <w:bottom w:val="none" w:sz="0" w:space="0" w:color="auto"/>
        <w:right w:val="none" w:sz="0" w:space="0" w:color="auto"/>
      </w:divBdr>
    </w:div>
    <w:div w:id="1413039534">
      <w:bodyDiv w:val="1"/>
      <w:marLeft w:val="0"/>
      <w:marRight w:val="0"/>
      <w:marTop w:val="0"/>
      <w:marBottom w:val="0"/>
      <w:divBdr>
        <w:top w:val="none" w:sz="0" w:space="0" w:color="auto"/>
        <w:left w:val="none" w:sz="0" w:space="0" w:color="auto"/>
        <w:bottom w:val="none" w:sz="0" w:space="0" w:color="auto"/>
        <w:right w:val="none" w:sz="0" w:space="0" w:color="auto"/>
      </w:divBdr>
    </w:div>
    <w:div w:id="1475677487">
      <w:bodyDiv w:val="1"/>
      <w:marLeft w:val="0"/>
      <w:marRight w:val="0"/>
      <w:marTop w:val="0"/>
      <w:marBottom w:val="0"/>
      <w:divBdr>
        <w:top w:val="none" w:sz="0" w:space="0" w:color="auto"/>
        <w:left w:val="none" w:sz="0" w:space="0" w:color="auto"/>
        <w:bottom w:val="none" w:sz="0" w:space="0" w:color="auto"/>
        <w:right w:val="none" w:sz="0" w:space="0" w:color="auto"/>
      </w:divBdr>
    </w:div>
    <w:div w:id="1485391394">
      <w:bodyDiv w:val="1"/>
      <w:marLeft w:val="0"/>
      <w:marRight w:val="0"/>
      <w:marTop w:val="0"/>
      <w:marBottom w:val="0"/>
      <w:divBdr>
        <w:top w:val="none" w:sz="0" w:space="0" w:color="auto"/>
        <w:left w:val="none" w:sz="0" w:space="0" w:color="auto"/>
        <w:bottom w:val="none" w:sz="0" w:space="0" w:color="auto"/>
        <w:right w:val="none" w:sz="0" w:space="0" w:color="auto"/>
      </w:divBdr>
    </w:div>
    <w:div w:id="1488354146">
      <w:bodyDiv w:val="1"/>
      <w:marLeft w:val="0"/>
      <w:marRight w:val="0"/>
      <w:marTop w:val="0"/>
      <w:marBottom w:val="0"/>
      <w:divBdr>
        <w:top w:val="none" w:sz="0" w:space="0" w:color="auto"/>
        <w:left w:val="none" w:sz="0" w:space="0" w:color="auto"/>
        <w:bottom w:val="none" w:sz="0" w:space="0" w:color="auto"/>
        <w:right w:val="none" w:sz="0" w:space="0" w:color="auto"/>
      </w:divBdr>
    </w:div>
    <w:div w:id="1504667777">
      <w:bodyDiv w:val="1"/>
      <w:marLeft w:val="0"/>
      <w:marRight w:val="0"/>
      <w:marTop w:val="0"/>
      <w:marBottom w:val="0"/>
      <w:divBdr>
        <w:top w:val="none" w:sz="0" w:space="0" w:color="auto"/>
        <w:left w:val="none" w:sz="0" w:space="0" w:color="auto"/>
        <w:bottom w:val="none" w:sz="0" w:space="0" w:color="auto"/>
        <w:right w:val="none" w:sz="0" w:space="0" w:color="auto"/>
      </w:divBdr>
    </w:div>
    <w:div w:id="1512454118">
      <w:bodyDiv w:val="1"/>
      <w:marLeft w:val="0"/>
      <w:marRight w:val="0"/>
      <w:marTop w:val="0"/>
      <w:marBottom w:val="0"/>
      <w:divBdr>
        <w:top w:val="none" w:sz="0" w:space="0" w:color="auto"/>
        <w:left w:val="none" w:sz="0" w:space="0" w:color="auto"/>
        <w:bottom w:val="none" w:sz="0" w:space="0" w:color="auto"/>
        <w:right w:val="none" w:sz="0" w:space="0" w:color="auto"/>
      </w:divBdr>
    </w:div>
    <w:div w:id="1544947079">
      <w:bodyDiv w:val="1"/>
      <w:marLeft w:val="0"/>
      <w:marRight w:val="0"/>
      <w:marTop w:val="0"/>
      <w:marBottom w:val="0"/>
      <w:divBdr>
        <w:top w:val="none" w:sz="0" w:space="0" w:color="auto"/>
        <w:left w:val="none" w:sz="0" w:space="0" w:color="auto"/>
        <w:bottom w:val="none" w:sz="0" w:space="0" w:color="auto"/>
        <w:right w:val="none" w:sz="0" w:space="0" w:color="auto"/>
      </w:divBdr>
    </w:div>
    <w:div w:id="1585260004">
      <w:bodyDiv w:val="1"/>
      <w:marLeft w:val="0"/>
      <w:marRight w:val="0"/>
      <w:marTop w:val="0"/>
      <w:marBottom w:val="0"/>
      <w:divBdr>
        <w:top w:val="none" w:sz="0" w:space="0" w:color="auto"/>
        <w:left w:val="none" w:sz="0" w:space="0" w:color="auto"/>
        <w:bottom w:val="none" w:sz="0" w:space="0" w:color="auto"/>
        <w:right w:val="none" w:sz="0" w:space="0" w:color="auto"/>
      </w:divBdr>
    </w:div>
    <w:div w:id="1591307751">
      <w:bodyDiv w:val="1"/>
      <w:marLeft w:val="0"/>
      <w:marRight w:val="0"/>
      <w:marTop w:val="0"/>
      <w:marBottom w:val="0"/>
      <w:divBdr>
        <w:top w:val="none" w:sz="0" w:space="0" w:color="auto"/>
        <w:left w:val="none" w:sz="0" w:space="0" w:color="auto"/>
        <w:bottom w:val="none" w:sz="0" w:space="0" w:color="auto"/>
        <w:right w:val="none" w:sz="0" w:space="0" w:color="auto"/>
      </w:divBdr>
    </w:div>
    <w:div w:id="1649095672">
      <w:bodyDiv w:val="1"/>
      <w:marLeft w:val="0"/>
      <w:marRight w:val="0"/>
      <w:marTop w:val="0"/>
      <w:marBottom w:val="0"/>
      <w:divBdr>
        <w:top w:val="none" w:sz="0" w:space="0" w:color="auto"/>
        <w:left w:val="none" w:sz="0" w:space="0" w:color="auto"/>
        <w:bottom w:val="none" w:sz="0" w:space="0" w:color="auto"/>
        <w:right w:val="none" w:sz="0" w:space="0" w:color="auto"/>
      </w:divBdr>
    </w:div>
    <w:div w:id="1659769970">
      <w:bodyDiv w:val="1"/>
      <w:marLeft w:val="0"/>
      <w:marRight w:val="0"/>
      <w:marTop w:val="0"/>
      <w:marBottom w:val="0"/>
      <w:divBdr>
        <w:top w:val="none" w:sz="0" w:space="0" w:color="auto"/>
        <w:left w:val="none" w:sz="0" w:space="0" w:color="auto"/>
        <w:bottom w:val="none" w:sz="0" w:space="0" w:color="auto"/>
        <w:right w:val="none" w:sz="0" w:space="0" w:color="auto"/>
      </w:divBdr>
    </w:div>
    <w:div w:id="1687292260">
      <w:bodyDiv w:val="1"/>
      <w:marLeft w:val="0"/>
      <w:marRight w:val="0"/>
      <w:marTop w:val="0"/>
      <w:marBottom w:val="0"/>
      <w:divBdr>
        <w:top w:val="none" w:sz="0" w:space="0" w:color="auto"/>
        <w:left w:val="none" w:sz="0" w:space="0" w:color="auto"/>
        <w:bottom w:val="none" w:sz="0" w:space="0" w:color="auto"/>
        <w:right w:val="none" w:sz="0" w:space="0" w:color="auto"/>
      </w:divBdr>
    </w:div>
    <w:div w:id="1704208354">
      <w:bodyDiv w:val="1"/>
      <w:marLeft w:val="0"/>
      <w:marRight w:val="0"/>
      <w:marTop w:val="0"/>
      <w:marBottom w:val="0"/>
      <w:divBdr>
        <w:top w:val="none" w:sz="0" w:space="0" w:color="auto"/>
        <w:left w:val="none" w:sz="0" w:space="0" w:color="auto"/>
        <w:bottom w:val="none" w:sz="0" w:space="0" w:color="auto"/>
        <w:right w:val="none" w:sz="0" w:space="0" w:color="auto"/>
      </w:divBdr>
    </w:div>
    <w:div w:id="1706440936">
      <w:bodyDiv w:val="1"/>
      <w:marLeft w:val="0"/>
      <w:marRight w:val="0"/>
      <w:marTop w:val="0"/>
      <w:marBottom w:val="0"/>
      <w:divBdr>
        <w:top w:val="none" w:sz="0" w:space="0" w:color="auto"/>
        <w:left w:val="none" w:sz="0" w:space="0" w:color="auto"/>
        <w:bottom w:val="none" w:sz="0" w:space="0" w:color="auto"/>
        <w:right w:val="none" w:sz="0" w:space="0" w:color="auto"/>
      </w:divBdr>
    </w:div>
    <w:div w:id="1772966566">
      <w:bodyDiv w:val="1"/>
      <w:marLeft w:val="0"/>
      <w:marRight w:val="0"/>
      <w:marTop w:val="0"/>
      <w:marBottom w:val="0"/>
      <w:divBdr>
        <w:top w:val="none" w:sz="0" w:space="0" w:color="auto"/>
        <w:left w:val="none" w:sz="0" w:space="0" w:color="auto"/>
        <w:bottom w:val="none" w:sz="0" w:space="0" w:color="auto"/>
        <w:right w:val="none" w:sz="0" w:space="0" w:color="auto"/>
      </w:divBdr>
    </w:div>
    <w:div w:id="1818913405">
      <w:bodyDiv w:val="1"/>
      <w:marLeft w:val="0"/>
      <w:marRight w:val="0"/>
      <w:marTop w:val="0"/>
      <w:marBottom w:val="0"/>
      <w:divBdr>
        <w:top w:val="none" w:sz="0" w:space="0" w:color="auto"/>
        <w:left w:val="none" w:sz="0" w:space="0" w:color="auto"/>
        <w:bottom w:val="none" w:sz="0" w:space="0" w:color="auto"/>
        <w:right w:val="none" w:sz="0" w:space="0" w:color="auto"/>
      </w:divBdr>
    </w:div>
    <w:div w:id="1867593005">
      <w:bodyDiv w:val="1"/>
      <w:marLeft w:val="0"/>
      <w:marRight w:val="0"/>
      <w:marTop w:val="0"/>
      <w:marBottom w:val="0"/>
      <w:divBdr>
        <w:top w:val="none" w:sz="0" w:space="0" w:color="auto"/>
        <w:left w:val="none" w:sz="0" w:space="0" w:color="auto"/>
        <w:bottom w:val="none" w:sz="0" w:space="0" w:color="auto"/>
        <w:right w:val="none" w:sz="0" w:space="0" w:color="auto"/>
      </w:divBdr>
    </w:div>
    <w:div w:id="1882356170">
      <w:bodyDiv w:val="1"/>
      <w:marLeft w:val="0"/>
      <w:marRight w:val="0"/>
      <w:marTop w:val="0"/>
      <w:marBottom w:val="0"/>
      <w:divBdr>
        <w:top w:val="none" w:sz="0" w:space="0" w:color="auto"/>
        <w:left w:val="none" w:sz="0" w:space="0" w:color="auto"/>
        <w:bottom w:val="none" w:sz="0" w:space="0" w:color="auto"/>
        <w:right w:val="none" w:sz="0" w:space="0" w:color="auto"/>
      </w:divBdr>
    </w:div>
    <w:div w:id="1982149726">
      <w:bodyDiv w:val="1"/>
      <w:marLeft w:val="0"/>
      <w:marRight w:val="0"/>
      <w:marTop w:val="0"/>
      <w:marBottom w:val="0"/>
      <w:divBdr>
        <w:top w:val="none" w:sz="0" w:space="0" w:color="auto"/>
        <w:left w:val="none" w:sz="0" w:space="0" w:color="auto"/>
        <w:bottom w:val="none" w:sz="0" w:space="0" w:color="auto"/>
        <w:right w:val="none" w:sz="0" w:space="0" w:color="auto"/>
      </w:divBdr>
    </w:div>
    <w:div w:id="2033606214">
      <w:bodyDiv w:val="1"/>
      <w:marLeft w:val="0"/>
      <w:marRight w:val="0"/>
      <w:marTop w:val="0"/>
      <w:marBottom w:val="0"/>
      <w:divBdr>
        <w:top w:val="none" w:sz="0" w:space="0" w:color="auto"/>
        <w:left w:val="none" w:sz="0" w:space="0" w:color="auto"/>
        <w:bottom w:val="none" w:sz="0" w:space="0" w:color="auto"/>
        <w:right w:val="none" w:sz="0" w:space="0" w:color="auto"/>
      </w:divBdr>
    </w:div>
    <w:div w:id="2045665315">
      <w:bodyDiv w:val="1"/>
      <w:marLeft w:val="0"/>
      <w:marRight w:val="0"/>
      <w:marTop w:val="0"/>
      <w:marBottom w:val="0"/>
      <w:divBdr>
        <w:top w:val="none" w:sz="0" w:space="0" w:color="auto"/>
        <w:left w:val="none" w:sz="0" w:space="0" w:color="auto"/>
        <w:bottom w:val="none" w:sz="0" w:space="0" w:color="auto"/>
        <w:right w:val="none" w:sz="0" w:space="0" w:color="auto"/>
      </w:divBdr>
    </w:div>
    <w:div w:id="2107650966">
      <w:bodyDiv w:val="1"/>
      <w:marLeft w:val="0"/>
      <w:marRight w:val="0"/>
      <w:marTop w:val="0"/>
      <w:marBottom w:val="0"/>
      <w:divBdr>
        <w:top w:val="none" w:sz="0" w:space="0" w:color="auto"/>
        <w:left w:val="none" w:sz="0" w:space="0" w:color="auto"/>
        <w:bottom w:val="none" w:sz="0" w:space="0" w:color="auto"/>
        <w:right w:val="none" w:sz="0" w:space="0" w:color="auto"/>
      </w:divBdr>
    </w:div>
    <w:div w:id="2113426413">
      <w:bodyDiv w:val="1"/>
      <w:marLeft w:val="0"/>
      <w:marRight w:val="0"/>
      <w:marTop w:val="0"/>
      <w:marBottom w:val="0"/>
      <w:divBdr>
        <w:top w:val="none" w:sz="0" w:space="0" w:color="auto"/>
        <w:left w:val="none" w:sz="0" w:space="0" w:color="auto"/>
        <w:bottom w:val="none" w:sz="0" w:space="0" w:color="auto"/>
        <w:right w:val="none" w:sz="0" w:space="0" w:color="auto"/>
      </w:divBdr>
    </w:div>
    <w:div w:id="2120176823">
      <w:bodyDiv w:val="1"/>
      <w:marLeft w:val="0"/>
      <w:marRight w:val="0"/>
      <w:marTop w:val="0"/>
      <w:marBottom w:val="0"/>
      <w:divBdr>
        <w:top w:val="none" w:sz="0" w:space="0" w:color="auto"/>
        <w:left w:val="none" w:sz="0" w:space="0" w:color="auto"/>
        <w:bottom w:val="none" w:sz="0" w:space="0" w:color="auto"/>
        <w:right w:val="none" w:sz="0" w:space="0" w:color="auto"/>
      </w:divBdr>
    </w:div>
    <w:div w:id="21215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002D7C"/>
    <w:rsid w:val="00002F83"/>
    <w:rsid w:val="000D60A8"/>
    <w:rsid w:val="00106685"/>
    <w:rsid w:val="00124C6C"/>
    <w:rsid w:val="00151E5B"/>
    <w:rsid w:val="001A0E3D"/>
    <w:rsid w:val="00264BAC"/>
    <w:rsid w:val="002E4BEF"/>
    <w:rsid w:val="002F595B"/>
    <w:rsid w:val="00346DF5"/>
    <w:rsid w:val="00467600"/>
    <w:rsid w:val="005302BB"/>
    <w:rsid w:val="00551E01"/>
    <w:rsid w:val="00556F21"/>
    <w:rsid w:val="00581EE8"/>
    <w:rsid w:val="00603346"/>
    <w:rsid w:val="0062439D"/>
    <w:rsid w:val="0063685B"/>
    <w:rsid w:val="00644756"/>
    <w:rsid w:val="006457A6"/>
    <w:rsid w:val="006B122F"/>
    <w:rsid w:val="00700519"/>
    <w:rsid w:val="007D5800"/>
    <w:rsid w:val="007E6B5B"/>
    <w:rsid w:val="008120FB"/>
    <w:rsid w:val="00844E9F"/>
    <w:rsid w:val="008841D2"/>
    <w:rsid w:val="008A5D4D"/>
    <w:rsid w:val="008E053C"/>
    <w:rsid w:val="008F743D"/>
    <w:rsid w:val="0096219B"/>
    <w:rsid w:val="009904CA"/>
    <w:rsid w:val="00993E1D"/>
    <w:rsid w:val="00A07161"/>
    <w:rsid w:val="00A5105B"/>
    <w:rsid w:val="00A61E6B"/>
    <w:rsid w:val="00B07367"/>
    <w:rsid w:val="00B90409"/>
    <w:rsid w:val="00C30797"/>
    <w:rsid w:val="00C6157D"/>
    <w:rsid w:val="00D45707"/>
    <w:rsid w:val="00DA38D4"/>
    <w:rsid w:val="00E16C15"/>
    <w:rsid w:val="00E82EDE"/>
    <w:rsid w:val="00EB7738"/>
    <w:rsid w:val="00EC1654"/>
    <w:rsid w:val="00ED6836"/>
    <w:rsid w:val="00F11ED9"/>
    <w:rsid w:val="00F96931"/>
    <w:rsid w:val="00FC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4" ma:contentTypeDescription="Create a new document." ma:contentTypeScope="" ma:versionID="4014e19c38200eeeeb3717f38defa6ae">
  <xsd:schema xmlns:xsd="http://www.w3.org/2001/XMLSchema" xmlns:xs="http://www.w3.org/2001/XMLSchema" xmlns:p="http://schemas.microsoft.com/office/2006/metadata/properties" xmlns:ns3="c9a6731c-53d6-464c-b253-c810b90fd6a8" targetNamespace="http://schemas.microsoft.com/office/2006/metadata/properties" ma:root="true" ma:fieldsID="7d4280e0d54e8983bf6a74d3d7b5a152" ns3:_="">
    <xsd:import namespace="c9a6731c-53d6-464c-b253-c810b90fd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F448-8F2B-4BBA-8A65-A566D8C2BBD7}">
  <ds:schemaRefs>
    <ds:schemaRef ds:uri="http://schemas.microsoft.com/sharepoint/v3/contenttype/forms"/>
  </ds:schemaRefs>
</ds:datastoreItem>
</file>

<file path=customXml/itemProps2.xml><?xml version="1.0" encoding="utf-8"?>
<ds:datastoreItem xmlns:ds="http://schemas.openxmlformats.org/officeDocument/2006/customXml" ds:itemID="{58890A2A-FB17-4B84-813C-0D66B843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D85A-CE4B-4163-9608-0A3A0216288E}">
  <ds:schemaRefs>
    <ds:schemaRef ds:uri="c9a6731c-53d6-464c-b253-c810b90fd6a8"/>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F432EF-9B0F-415A-AF06-14A98D45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Helen Bushell (Public Health Wales - No. 2 Capital Quarter)</cp:lastModifiedBy>
  <cp:revision>3</cp:revision>
  <cp:lastPrinted>2020-03-24T14:09:00Z</cp:lastPrinted>
  <dcterms:created xsi:type="dcterms:W3CDTF">2021-01-17T17:18:00Z</dcterms:created>
  <dcterms:modified xsi:type="dcterms:W3CDTF">2021-01-21T17:21:00Z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