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118"/>
        <w:gridCol w:w="5064"/>
      </w:tblGrid>
      <w:tr w:rsidR="00F75F95" w:rsidRPr="00083596" w14:paraId="24C3A7B0" w14:textId="77777777" w:rsidTr="00095F25">
        <w:tc>
          <w:tcPr>
            <w:tcW w:w="5064" w:type="dxa"/>
            <w:gridSpan w:val="2"/>
            <w:shd w:val="clear" w:color="auto" w:fill="auto"/>
            <w:vAlign w:val="center"/>
          </w:tcPr>
          <w:p w14:paraId="6648975F" w14:textId="77777777" w:rsidR="00F75F95" w:rsidRPr="00083596" w:rsidRDefault="00F75F95" w:rsidP="005B1572">
            <w:pPr>
              <w:jc w:val="center"/>
              <w:rPr>
                <w:b/>
                <w:szCs w:val="24"/>
              </w:rPr>
            </w:pPr>
            <w:r>
              <w:rPr>
                <w:b/>
                <w:noProof/>
                <w:lang w:eastAsia="en-GB"/>
              </w:rPr>
              <w:drawing>
                <wp:inline distT="0" distB="0" distL="0" distR="0" wp14:anchorId="5199F9A4" wp14:editId="1B0AF334">
                  <wp:extent cx="2914650" cy="695325"/>
                  <wp:effectExtent l="19050" t="0" r="0" b="0"/>
                  <wp:docPr id="6"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8" cstate="print"/>
                          <a:srcRect/>
                          <a:stretch>
                            <a:fillRect/>
                          </a:stretch>
                        </pic:blipFill>
                        <pic:spPr bwMode="auto">
                          <a:xfrm>
                            <a:off x="0" y="0"/>
                            <a:ext cx="2914650" cy="695325"/>
                          </a:xfrm>
                          <a:prstGeom prst="rect">
                            <a:avLst/>
                          </a:prstGeom>
                          <a:noFill/>
                          <a:ln w="9525">
                            <a:noFill/>
                            <a:miter lim="800000"/>
                            <a:headEnd/>
                            <a:tailEnd/>
                          </a:ln>
                        </pic:spPr>
                      </pic:pic>
                    </a:graphicData>
                  </a:graphic>
                </wp:inline>
              </w:drawing>
            </w:r>
          </w:p>
        </w:tc>
        <w:tc>
          <w:tcPr>
            <w:tcW w:w="5064" w:type="dxa"/>
            <w:shd w:val="clear" w:color="auto" w:fill="auto"/>
            <w:vAlign w:val="center"/>
          </w:tcPr>
          <w:p w14:paraId="09E4050F" w14:textId="7AC1822C" w:rsidR="00F75F95" w:rsidRPr="00083596" w:rsidRDefault="00F75F95" w:rsidP="005B1572">
            <w:pPr>
              <w:jc w:val="right"/>
              <w:rPr>
                <w:b/>
                <w:szCs w:val="24"/>
              </w:rPr>
            </w:pPr>
            <w:r w:rsidRPr="00083596">
              <w:rPr>
                <w:b/>
                <w:szCs w:val="24"/>
              </w:rPr>
              <w:t xml:space="preserve">Reference Number: </w:t>
            </w:r>
            <w:r>
              <w:rPr>
                <w:szCs w:val="24"/>
              </w:rPr>
              <w:t xml:space="preserve">PHW10 </w:t>
            </w:r>
            <w:r w:rsidR="00095F25">
              <w:rPr>
                <w:szCs w:val="24"/>
              </w:rPr>
              <w:t>TP08</w:t>
            </w:r>
          </w:p>
          <w:p w14:paraId="0BA2D95C" w14:textId="74636B35" w:rsidR="00F75F95" w:rsidRDefault="00F75F95" w:rsidP="005B1572">
            <w:pPr>
              <w:jc w:val="right"/>
              <w:rPr>
                <w:b/>
                <w:szCs w:val="24"/>
              </w:rPr>
            </w:pPr>
            <w:r w:rsidRPr="00083596">
              <w:rPr>
                <w:b/>
                <w:szCs w:val="24"/>
              </w:rPr>
              <w:t xml:space="preserve">Version Number: </w:t>
            </w:r>
            <w:r>
              <w:rPr>
                <w:szCs w:val="24"/>
              </w:rPr>
              <w:t>V</w:t>
            </w:r>
            <w:r w:rsidR="00095F25">
              <w:rPr>
                <w:szCs w:val="24"/>
              </w:rPr>
              <w:t>1</w:t>
            </w:r>
          </w:p>
          <w:p w14:paraId="017947C9" w14:textId="03C5B82D" w:rsidR="00F75F95" w:rsidRPr="00083596" w:rsidRDefault="00F75F95" w:rsidP="00095F25">
            <w:pPr>
              <w:jc w:val="right"/>
              <w:rPr>
                <w:b/>
                <w:szCs w:val="24"/>
              </w:rPr>
            </w:pPr>
            <w:r>
              <w:rPr>
                <w:b/>
                <w:szCs w:val="24"/>
              </w:rPr>
              <w:t xml:space="preserve">Date of Next review: </w:t>
            </w:r>
            <w:r>
              <w:rPr>
                <w:szCs w:val="24"/>
              </w:rPr>
              <w:t xml:space="preserve"> </w:t>
            </w:r>
            <w:r w:rsidR="0006397E">
              <w:rPr>
                <w:szCs w:val="24"/>
              </w:rPr>
              <w:t>January</w:t>
            </w:r>
            <w:r>
              <w:rPr>
                <w:szCs w:val="24"/>
              </w:rPr>
              <w:t xml:space="preserve"> 202</w:t>
            </w:r>
            <w:r w:rsidR="0006397E">
              <w:rPr>
                <w:szCs w:val="24"/>
              </w:rPr>
              <w:t>2</w:t>
            </w:r>
          </w:p>
        </w:tc>
      </w:tr>
      <w:tr w:rsidR="00F75F95" w:rsidRPr="00C35D4C" w14:paraId="66FB5ECE" w14:textId="77777777" w:rsidTr="00095F25">
        <w:tc>
          <w:tcPr>
            <w:tcW w:w="10128" w:type="dxa"/>
            <w:gridSpan w:val="3"/>
            <w:shd w:val="clear" w:color="auto" w:fill="auto"/>
            <w:vAlign w:val="center"/>
          </w:tcPr>
          <w:p w14:paraId="701953C7" w14:textId="77777777" w:rsidR="00F75F95" w:rsidRDefault="00F75F95" w:rsidP="005B1572">
            <w:pPr>
              <w:jc w:val="center"/>
              <w:rPr>
                <w:rFonts w:cs="Arial"/>
                <w:b/>
                <w:caps/>
                <w:szCs w:val="24"/>
              </w:rPr>
            </w:pPr>
            <w:r>
              <w:rPr>
                <w:rFonts w:cs="Arial"/>
                <w:b/>
                <w:caps/>
                <w:szCs w:val="24"/>
              </w:rPr>
              <w:t>Control Of Substances hazardous to health procedure</w:t>
            </w:r>
          </w:p>
          <w:p w14:paraId="30DB4539" w14:textId="107192CC" w:rsidR="00095F25" w:rsidRPr="00C35D4C" w:rsidRDefault="00095F25" w:rsidP="005B1572">
            <w:pPr>
              <w:jc w:val="center"/>
              <w:rPr>
                <w:rFonts w:cs="Arial"/>
                <w:b/>
                <w:caps/>
                <w:szCs w:val="24"/>
              </w:rPr>
            </w:pPr>
          </w:p>
        </w:tc>
      </w:tr>
      <w:tr w:rsidR="00F75F95" w:rsidRPr="00083596" w14:paraId="55FD5CA1" w14:textId="77777777" w:rsidTr="00095F25">
        <w:tc>
          <w:tcPr>
            <w:tcW w:w="10128" w:type="dxa"/>
            <w:gridSpan w:val="3"/>
          </w:tcPr>
          <w:p w14:paraId="5470F048" w14:textId="77777777" w:rsidR="00F75F95" w:rsidRPr="00B96E6D" w:rsidRDefault="00F75F95" w:rsidP="004D6CEB">
            <w:pPr>
              <w:jc w:val="left"/>
              <w:rPr>
                <w:b/>
                <w:szCs w:val="72"/>
              </w:rPr>
            </w:pPr>
            <w:r>
              <w:rPr>
                <w:b/>
                <w:szCs w:val="72"/>
              </w:rPr>
              <w:t>Introduction and Aim</w:t>
            </w:r>
          </w:p>
          <w:p w14:paraId="0BBEE622" w14:textId="77777777" w:rsidR="00F75F95" w:rsidRPr="009C5D21" w:rsidRDefault="00F75F95" w:rsidP="004D6CEB">
            <w:pPr>
              <w:jc w:val="left"/>
              <w:rPr>
                <w:b/>
                <w:szCs w:val="24"/>
              </w:rPr>
            </w:pPr>
            <w:r w:rsidRPr="009C5D21">
              <w:rPr>
                <w:szCs w:val="24"/>
              </w:rPr>
              <w:t>The Control of Substances Hazardous to Health P</w:t>
            </w:r>
            <w:r>
              <w:rPr>
                <w:szCs w:val="24"/>
              </w:rPr>
              <w:t>rocedure</w:t>
            </w:r>
            <w:r w:rsidRPr="009C5D21">
              <w:rPr>
                <w:szCs w:val="24"/>
              </w:rPr>
              <w:t xml:space="preserve"> has been prepared in accordance with the Control of Substances Hazardous to Health Regulations 2002 (as amended in 2003 and 2004), to ensure the continued Health and Safety of employees and others who may enter the workplace.</w:t>
            </w:r>
          </w:p>
          <w:p w14:paraId="358F5003" w14:textId="77777777" w:rsidR="00F75F95" w:rsidRPr="00083596" w:rsidRDefault="00F75F95" w:rsidP="004D6CEB">
            <w:pPr>
              <w:jc w:val="left"/>
              <w:rPr>
                <w:szCs w:val="24"/>
              </w:rPr>
            </w:pPr>
            <w:r>
              <w:rPr>
                <w:szCs w:val="24"/>
              </w:rPr>
              <w:t>This procedure supports the Health and Safety Policy.</w:t>
            </w:r>
          </w:p>
        </w:tc>
      </w:tr>
      <w:tr w:rsidR="00F75F95" w:rsidRPr="00083596" w14:paraId="27B2BB84" w14:textId="77777777" w:rsidTr="00095F25">
        <w:tc>
          <w:tcPr>
            <w:tcW w:w="10128" w:type="dxa"/>
            <w:gridSpan w:val="3"/>
          </w:tcPr>
          <w:p w14:paraId="73D768A6" w14:textId="77777777" w:rsidR="00F75F95" w:rsidRPr="00B96E6D" w:rsidRDefault="00F75F95" w:rsidP="004D6CEB">
            <w:pPr>
              <w:jc w:val="left"/>
              <w:rPr>
                <w:b/>
                <w:szCs w:val="24"/>
              </w:rPr>
            </w:pPr>
            <w:r w:rsidRPr="00B96E6D">
              <w:rPr>
                <w:b/>
                <w:szCs w:val="24"/>
              </w:rPr>
              <w:t>Supporting Procedures and Written Control Documents</w:t>
            </w:r>
          </w:p>
          <w:p w14:paraId="29D6922E" w14:textId="14B254B0" w:rsidR="00F75F95" w:rsidRPr="00083596" w:rsidRDefault="00095F25" w:rsidP="004D6CEB">
            <w:pPr>
              <w:jc w:val="left"/>
              <w:rPr>
                <w:b/>
                <w:szCs w:val="24"/>
              </w:rPr>
            </w:pPr>
            <w:r>
              <w:t xml:space="preserve">Control of Substances Hazardous to Health Guidance, </w:t>
            </w:r>
            <w:r w:rsidR="00F75F95">
              <w:t>Fire Safety Policy, Personal Protective Equipment Procedure, Asbestos Management Procedure, Water Management Plan, Control of Contractors Procedure, Transport of Specimens Proced</w:t>
            </w:r>
            <w:r>
              <w:t xml:space="preserve">ure, Health and Safety Policy. </w:t>
            </w:r>
          </w:p>
        </w:tc>
      </w:tr>
      <w:tr w:rsidR="00F75F95" w:rsidRPr="009C5D21" w14:paraId="73B1CB12" w14:textId="77777777" w:rsidTr="00095F25">
        <w:tc>
          <w:tcPr>
            <w:tcW w:w="10128" w:type="dxa"/>
            <w:gridSpan w:val="3"/>
          </w:tcPr>
          <w:p w14:paraId="0ED07167" w14:textId="77777777" w:rsidR="00F75F95" w:rsidRDefault="00F75F95" w:rsidP="004D6CEB">
            <w:pPr>
              <w:jc w:val="left"/>
              <w:rPr>
                <w:b/>
                <w:szCs w:val="24"/>
              </w:rPr>
            </w:pPr>
            <w:r w:rsidRPr="00083596">
              <w:rPr>
                <w:b/>
                <w:szCs w:val="24"/>
              </w:rPr>
              <w:t>Scope</w:t>
            </w:r>
          </w:p>
          <w:p w14:paraId="6D9B239A" w14:textId="77777777" w:rsidR="00F75F95" w:rsidRPr="00F75F95" w:rsidRDefault="00F75F95">
            <w:pPr>
              <w:jc w:val="left"/>
              <w:rPr>
                <w:szCs w:val="24"/>
              </w:rPr>
            </w:pPr>
            <w:r w:rsidRPr="000D59A4">
              <w:rPr>
                <w:szCs w:val="24"/>
              </w:rPr>
              <w:t>All persons employed or engaged by Public Health Wales, including part time workers, temporary and agency workers, those holding honorary contracts and those engaged by the NHS Wales Health Collaborative</w:t>
            </w:r>
            <w:r>
              <w:rPr>
                <w:szCs w:val="24"/>
              </w:rPr>
              <w:t>, who experience or supervise lone working as part of their role.</w:t>
            </w:r>
          </w:p>
        </w:tc>
      </w:tr>
      <w:tr w:rsidR="00F75F95" w:rsidRPr="00083596" w14:paraId="51B6A7D1" w14:textId="77777777" w:rsidTr="00095F25">
        <w:tc>
          <w:tcPr>
            <w:tcW w:w="2946" w:type="dxa"/>
            <w:tcBorders>
              <w:top w:val="single" w:sz="4" w:space="0" w:color="auto"/>
              <w:left w:val="single" w:sz="4" w:space="0" w:color="auto"/>
              <w:bottom w:val="single" w:sz="4" w:space="0" w:color="auto"/>
              <w:right w:val="single" w:sz="4" w:space="0" w:color="auto"/>
            </w:tcBorders>
            <w:shd w:val="clear" w:color="auto" w:fill="auto"/>
          </w:tcPr>
          <w:p w14:paraId="0C20AB39" w14:textId="0B86B235" w:rsidR="00F75F95" w:rsidRPr="00083596" w:rsidRDefault="00095F25" w:rsidP="005B1572">
            <w:pPr>
              <w:rPr>
                <w:b/>
                <w:szCs w:val="24"/>
              </w:rPr>
            </w:pPr>
            <w:r>
              <w:rPr>
                <w:b/>
                <w:szCs w:val="24"/>
              </w:rPr>
              <w:t xml:space="preserve">Equality, </w:t>
            </w:r>
            <w:r w:rsidR="00F75F95" w:rsidRPr="00083596">
              <w:rPr>
                <w:b/>
                <w:szCs w:val="24"/>
              </w:rPr>
              <w:t>Health Impact Assessment</w:t>
            </w:r>
          </w:p>
        </w:tc>
        <w:tc>
          <w:tcPr>
            <w:tcW w:w="7182" w:type="dxa"/>
            <w:gridSpan w:val="2"/>
            <w:tcBorders>
              <w:left w:val="single" w:sz="4" w:space="0" w:color="auto"/>
            </w:tcBorders>
            <w:shd w:val="clear" w:color="auto" w:fill="auto"/>
            <w:vAlign w:val="center"/>
          </w:tcPr>
          <w:p w14:paraId="5C555BFC" w14:textId="20883493" w:rsidR="00F75F95" w:rsidRPr="00083596" w:rsidRDefault="00095F25" w:rsidP="005B1572">
            <w:pPr>
              <w:rPr>
                <w:rFonts w:cs="Arial"/>
                <w:szCs w:val="24"/>
              </w:rPr>
            </w:pPr>
            <w:r>
              <w:rPr>
                <w:rFonts w:cs="Arial"/>
                <w:szCs w:val="24"/>
              </w:rPr>
              <w:t xml:space="preserve">An EHIA has been completed. </w:t>
            </w:r>
          </w:p>
        </w:tc>
      </w:tr>
      <w:tr w:rsidR="00F75F95" w:rsidRPr="00B96E6D" w14:paraId="15D5D52B" w14:textId="77777777" w:rsidTr="00095F25">
        <w:tc>
          <w:tcPr>
            <w:tcW w:w="2946" w:type="dxa"/>
            <w:tcBorders>
              <w:top w:val="single" w:sz="4" w:space="0" w:color="auto"/>
            </w:tcBorders>
          </w:tcPr>
          <w:p w14:paraId="6750CB86" w14:textId="77777777" w:rsidR="00F75F95" w:rsidRPr="00083596" w:rsidRDefault="00F75F95" w:rsidP="005B1572">
            <w:pPr>
              <w:rPr>
                <w:b/>
                <w:szCs w:val="24"/>
              </w:rPr>
            </w:pPr>
            <w:r w:rsidRPr="00083596">
              <w:rPr>
                <w:b/>
                <w:szCs w:val="24"/>
              </w:rPr>
              <w:t>Approved by</w:t>
            </w:r>
          </w:p>
        </w:tc>
        <w:tc>
          <w:tcPr>
            <w:tcW w:w="7182" w:type="dxa"/>
            <w:gridSpan w:val="2"/>
          </w:tcPr>
          <w:p w14:paraId="219CC247" w14:textId="77777777" w:rsidR="00F75F95" w:rsidRPr="00B96E6D" w:rsidRDefault="00F75F95" w:rsidP="005B1572">
            <w:pPr>
              <w:rPr>
                <w:szCs w:val="24"/>
              </w:rPr>
            </w:pPr>
            <w:r>
              <w:rPr>
                <w:szCs w:val="24"/>
              </w:rPr>
              <w:t>Health and Safety Group</w:t>
            </w:r>
          </w:p>
        </w:tc>
      </w:tr>
      <w:tr w:rsidR="00F75F95" w:rsidRPr="00B96E6D" w14:paraId="3237847E" w14:textId="77777777" w:rsidTr="00095F25">
        <w:tc>
          <w:tcPr>
            <w:tcW w:w="2946" w:type="dxa"/>
            <w:tcBorders>
              <w:top w:val="single" w:sz="4" w:space="0" w:color="auto"/>
            </w:tcBorders>
          </w:tcPr>
          <w:p w14:paraId="475F8F03" w14:textId="77777777" w:rsidR="00F75F95" w:rsidRPr="00083596" w:rsidRDefault="00F75F95" w:rsidP="005B1572">
            <w:pPr>
              <w:rPr>
                <w:b/>
                <w:szCs w:val="24"/>
              </w:rPr>
            </w:pPr>
            <w:r w:rsidRPr="00083596">
              <w:rPr>
                <w:b/>
                <w:szCs w:val="24"/>
              </w:rPr>
              <w:t>Approval Date</w:t>
            </w:r>
          </w:p>
        </w:tc>
        <w:tc>
          <w:tcPr>
            <w:tcW w:w="7182" w:type="dxa"/>
            <w:gridSpan w:val="2"/>
          </w:tcPr>
          <w:p w14:paraId="37FE4F5D" w14:textId="5E02479A" w:rsidR="00F75F95" w:rsidRPr="00B96E6D" w:rsidRDefault="00095F25" w:rsidP="005B1572">
            <w:pPr>
              <w:rPr>
                <w:szCs w:val="24"/>
              </w:rPr>
            </w:pPr>
            <w:r>
              <w:t>20 January 2019</w:t>
            </w:r>
          </w:p>
        </w:tc>
      </w:tr>
      <w:tr w:rsidR="00F75F95" w:rsidRPr="00B96E6D" w14:paraId="3CCC9004" w14:textId="77777777" w:rsidTr="00095F25">
        <w:tc>
          <w:tcPr>
            <w:tcW w:w="2946" w:type="dxa"/>
            <w:tcBorders>
              <w:top w:val="single" w:sz="4" w:space="0" w:color="auto"/>
            </w:tcBorders>
          </w:tcPr>
          <w:p w14:paraId="16E2AA38" w14:textId="77777777" w:rsidR="00F75F95" w:rsidRPr="00083596" w:rsidRDefault="00F75F95" w:rsidP="005B1572">
            <w:pPr>
              <w:rPr>
                <w:b/>
                <w:szCs w:val="24"/>
              </w:rPr>
            </w:pPr>
            <w:r w:rsidRPr="00083596">
              <w:rPr>
                <w:b/>
                <w:szCs w:val="24"/>
              </w:rPr>
              <w:t>Review Date</w:t>
            </w:r>
          </w:p>
        </w:tc>
        <w:tc>
          <w:tcPr>
            <w:tcW w:w="7182" w:type="dxa"/>
            <w:gridSpan w:val="2"/>
          </w:tcPr>
          <w:p w14:paraId="10A8F506" w14:textId="19646452" w:rsidR="00F75F95" w:rsidRPr="00B96E6D" w:rsidRDefault="00095F25" w:rsidP="005B1572">
            <w:pPr>
              <w:rPr>
                <w:szCs w:val="24"/>
              </w:rPr>
            </w:pPr>
            <w:r>
              <w:t>20 January 2022</w:t>
            </w:r>
          </w:p>
        </w:tc>
      </w:tr>
      <w:tr w:rsidR="00F75F95" w:rsidRPr="00B96E6D" w14:paraId="63230416" w14:textId="77777777" w:rsidTr="00095F25">
        <w:tc>
          <w:tcPr>
            <w:tcW w:w="2946" w:type="dxa"/>
            <w:tcBorders>
              <w:top w:val="single" w:sz="4" w:space="0" w:color="auto"/>
            </w:tcBorders>
          </w:tcPr>
          <w:p w14:paraId="0EBDC312" w14:textId="77777777" w:rsidR="00F75F95" w:rsidRPr="00B96E6D" w:rsidRDefault="00F75F95" w:rsidP="005B1572">
            <w:pPr>
              <w:rPr>
                <w:b/>
              </w:rPr>
            </w:pPr>
            <w:r w:rsidRPr="00B96E6D">
              <w:rPr>
                <w:b/>
              </w:rPr>
              <w:t>Date of Publication:</w:t>
            </w:r>
          </w:p>
        </w:tc>
        <w:tc>
          <w:tcPr>
            <w:tcW w:w="7182" w:type="dxa"/>
            <w:gridSpan w:val="2"/>
          </w:tcPr>
          <w:p w14:paraId="20F1464F" w14:textId="4575DE1A" w:rsidR="00F75F95" w:rsidRPr="00B96E6D" w:rsidRDefault="00095F25" w:rsidP="005B1572">
            <w:r>
              <w:t>11 February 2019</w:t>
            </w:r>
          </w:p>
        </w:tc>
      </w:tr>
      <w:tr w:rsidR="00F75F95" w:rsidRPr="00B96E6D" w14:paraId="4D3C0CB8" w14:textId="77777777" w:rsidTr="00095F25">
        <w:tc>
          <w:tcPr>
            <w:tcW w:w="2946" w:type="dxa"/>
          </w:tcPr>
          <w:p w14:paraId="5160B375" w14:textId="77777777" w:rsidR="00F75F95" w:rsidRPr="00083596" w:rsidRDefault="00F75F95" w:rsidP="005B1572">
            <w:pPr>
              <w:rPr>
                <w:b/>
                <w:szCs w:val="24"/>
              </w:rPr>
            </w:pPr>
            <w:r w:rsidRPr="00083596">
              <w:rPr>
                <w:b/>
                <w:szCs w:val="24"/>
              </w:rPr>
              <w:t>Accountable Executive Director/Director</w:t>
            </w:r>
          </w:p>
        </w:tc>
        <w:tc>
          <w:tcPr>
            <w:tcW w:w="7182" w:type="dxa"/>
            <w:gridSpan w:val="2"/>
          </w:tcPr>
          <w:p w14:paraId="05D165D3" w14:textId="77777777" w:rsidR="00F75F95" w:rsidRPr="00B96E6D" w:rsidRDefault="00F75F95" w:rsidP="005B1572">
            <w:pPr>
              <w:rPr>
                <w:szCs w:val="24"/>
              </w:rPr>
            </w:pPr>
            <w:r>
              <w:t>Huw George, Deputy Chief Executive/Executive Director for Finance and Operations.</w:t>
            </w:r>
          </w:p>
        </w:tc>
      </w:tr>
      <w:tr w:rsidR="00F75F95" w:rsidRPr="00083596" w14:paraId="01262D34" w14:textId="77777777" w:rsidTr="00095F25">
        <w:tc>
          <w:tcPr>
            <w:tcW w:w="2946" w:type="dxa"/>
          </w:tcPr>
          <w:p w14:paraId="13C0CA1C" w14:textId="77777777" w:rsidR="00F75F95" w:rsidRPr="00083596" w:rsidRDefault="00F75F95" w:rsidP="005B1572">
            <w:pPr>
              <w:rPr>
                <w:b/>
                <w:szCs w:val="24"/>
              </w:rPr>
            </w:pPr>
            <w:r w:rsidRPr="00083596">
              <w:rPr>
                <w:b/>
                <w:szCs w:val="24"/>
              </w:rPr>
              <w:lastRenderedPageBreak/>
              <w:t>Author</w:t>
            </w:r>
          </w:p>
        </w:tc>
        <w:tc>
          <w:tcPr>
            <w:tcW w:w="7182" w:type="dxa"/>
            <w:gridSpan w:val="2"/>
          </w:tcPr>
          <w:p w14:paraId="661650C9" w14:textId="0A45EF60" w:rsidR="00F75F95" w:rsidRPr="00083596" w:rsidRDefault="00F75F95" w:rsidP="004D6CEB">
            <w:pPr>
              <w:rPr>
                <w:szCs w:val="24"/>
              </w:rPr>
            </w:pPr>
            <w:r>
              <w:t>Mark Parsons Head of Estates and Health and Safety</w:t>
            </w:r>
            <w:r w:rsidR="004D6CEB">
              <w:t xml:space="preserve"> / Nicola White , Health and Safety Professional</w:t>
            </w:r>
            <w:r w:rsidR="00621817">
              <w:t xml:space="preserve"> Manager</w:t>
            </w:r>
          </w:p>
        </w:tc>
      </w:tr>
    </w:tbl>
    <w:p w14:paraId="30A0D2DF" w14:textId="77777777" w:rsidR="00F75F95" w:rsidRDefault="00F75F95" w:rsidP="00F75F95">
      <w:pPr>
        <w:rPr>
          <w:b/>
          <w:sz w:val="28"/>
          <w:szCs w:val="28"/>
        </w:rPr>
      </w:pPr>
    </w:p>
    <w:p w14:paraId="24C68A95" w14:textId="77777777" w:rsidR="00F75F95" w:rsidRDefault="00F75F95" w:rsidP="00F75F95">
      <w:pPr>
        <w:rPr>
          <w:b/>
          <w:sz w:val="28"/>
          <w:szCs w:val="28"/>
        </w:rPr>
      </w:pPr>
      <w:r>
        <w:rPr>
          <w:b/>
          <w:sz w:val="28"/>
          <w:szCs w:val="28"/>
        </w:rPr>
        <w:t>Procedure</w:t>
      </w:r>
      <w:r w:rsidRPr="00765075">
        <w:rPr>
          <w:b/>
          <w:sz w:val="28"/>
          <w:szCs w:val="28"/>
        </w:rPr>
        <w:t xml:space="preserve"> </w:t>
      </w:r>
      <w:r>
        <w:rPr>
          <w:b/>
          <w:sz w:val="28"/>
          <w:szCs w:val="28"/>
        </w:rPr>
        <w:t xml:space="preserve">consultation </w:t>
      </w:r>
      <w:r w:rsidRPr="00765075">
        <w:rPr>
          <w:b/>
          <w:sz w:val="28"/>
          <w:szCs w:val="28"/>
        </w:rPr>
        <w:t>circulation list</w:t>
      </w:r>
    </w:p>
    <w:p w14:paraId="6FBF45BD" w14:textId="77777777" w:rsidR="00F75F95" w:rsidRPr="00765075" w:rsidRDefault="00F75F95" w:rsidP="00F75F9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F75F95" w:rsidRPr="00765075" w14:paraId="029C37B5" w14:textId="77777777" w:rsidTr="00095F25">
        <w:tc>
          <w:tcPr>
            <w:tcW w:w="4514" w:type="dxa"/>
          </w:tcPr>
          <w:p w14:paraId="17E3506C" w14:textId="77777777" w:rsidR="00F75F95" w:rsidRPr="00765075" w:rsidRDefault="00F75F95" w:rsidP="005B1572">
            <w:pPr>
              <w:rPr>
                <w:b/>
                <w:szCs w:val="24"/>
              </w:rPr>
            </w:pPr>
            <w:r w:rsidRPr="00765075">
              <w:rPr>
                <w:b/>
                <w:szCs w:val="24"/>
              </w:rPr>
              <w:t>Group/Lead</w:t>
            </w:r>
          </w:p>
        </w:tc>
        <w:tc>
          <w:tcPr>
            <w:tcW w:w="4502" w:type="dxa"/>
          </w:tcPr>
          <w:p w14:paraId="0690F88F" w14:textId="77777777" w:rsidR="00F75F95" w:rsidRPr="00765075" w:rsidRDefault="00F75F95" w:rsidP="005B1572">
            <w:pPr>
              <w:rPr>
                <w:b/>
                <w:szCs w:val="24"/>
              </w:rPr>
            </w:pPr>
            <w:r w:rsidRPr="00765075">
              <w:rPr>
                <w:b/>
                <w:szCs w:val="24"/>
              </w:rPr>
              <w:t>Date Circulated</w:t>
            </w:r>
          </w:p>
        </w:tc>
      </w:tr>
      <w:tr w:rsidR="00F75F95" w:rsidRPr="00765075" w14:paraId="15136512" w14:textId="77777777" w:rsidTr="00095F25">
        <w:tc>
          <w:tcPr>
            <w:tcW w:w="4514" w:type="dxa"/>
          </w:tcPr>
          <w:p w14:paraId="3E11BF3F" w14:textId="77777777" w:rsidR="00F75F95" w:rsidRPr="00765075" w:rsidRDefault="00F75F95" w:rsidP="005B1572">
            <w:pPr>
              <w:rPr>
                <w:szCs w:val="24"/>
              </w:rPr>
            </w:pPr>
            <w:r>
              <w:rPr>
                <w:szCs w:val="24"/>
              </w:rPr>
              <w:t xml:space="preserve">Health and Safety Group </w:t>
            </w:r>
          </w:p>
        </w:tc>
        <w:tc>
          <w:tcPr>
            <w:tcW w:w="4502" w:type="dxa"/>
          </w:tcPr>
          <w:p w14:paraId="49E298F9" w14:textId="77777777" w:rsidR="00F75F95" w:rsidRPr="00765075" w:rsidRDefault="00F75F95" w:rsidP="005B1572">
            <w:pPr>
              <w:rPr>
                <w:szCs w:val="24"/>
              </w:rPr>
            </w:pPr>
          </w:p>
        </w:tc>
      </w:tr>
    </w:tbl>
    <w:p w14:paraId="7F9B2CBD" w14:textId="77777777" w:rsidR="00F75F95" w:rsidRDefault="00F75F95" w:rsidP="00F75F95">
      <w:pPr>
        <w:rPr>
          <w:b/>
          <w:sz w:val="32"/>
          <w:szCs w:val="32"/>
        </w:rPr>
      </w:pPr>
    </w:p>
    <w:p w14:paraId="7F103E99" w14:textId="77777777" w:rsidR="00F75F95" w:rsidRDefault="00F75F95" w:rsidP="00F75F95">
      <w:pPr>
        <w:rPr>
          <w:b/>
          <w:sz w:val="32"/>
          <w:szCs w:val="32"/>
        </w:rPr>
      </w:pPr>
    </w:p>
    <w:p w14:paraId="2D3E822C" w14:textId="77777777" w:rsidR="00F75F95" w:rsidRDefault="00F75F95" w:rsidP="00F75F95">
      <w:pPr>
        <w:rPr>
          <w:b/>
          <w:sz w:val="32"/>
          <w:szCs w:val="32"/>
        </w:rPr>
      </w:pPr>
    </w:p>
    <w:p w14:paraId="52149EEF" w14:textId="77777777" w:rsidR="00F75F95" w:rsidRDefault="00F75F95" w:rsidP="00F75F95">
      <w:pPr>
        <w:rPr>
          <w:b/>
          <w:sz w:val="32"/>
          <w:szCs w:val="32"/>
        </w:rPr>
      </w:pPr>
    </w:p>
    <w:p w14:paraId="7C222591" w14:textId="77777777" w:rsidR="00F75F95" w:rsidRDefault="00F75F95" w:rsidP="00F75F95">
      <w:pPr>
        <w:rPr>
          <w:b/>
          <w:sz w:val="32"/>
          <w:szCs w:val="32"/>
        </w:rPr>
      </w:pPr>
    </w:p>
    <w:p w14:paraId="45081759" w14:textId="77777777" w:rsidR="00F75F95" w:rsidRDefault="00F75F95" w:rsidP="00F75F95">
      <w:pPr>
        <w:rPr>
          <w:b/>
          <w:sz w:val="32"/>
          <w:szCs w:val="32"/>
        </w:rPr>
      </w:pPr>
    </w:p>
    <w:p w14:paraId="62748BEB" w14:textId="77777777" w:rsidR="00F75F95" w:rsidRDefault="00F75F95" w:rsidP="00F75F95">
      <w:pPr>
        <w:rPr>
          <w:b/>
          <w:sz w:val="32"/>
          <w:szCs w:val="32"/>
        </w:rPr>
      </w:pPr>
    </w:p>
    <w:p w14:paraId="2C28A75D" w14:textId="77777777" w:rsidR="00F75F95" w:rsidRDefault="00F75F95" w:rsidP="00F75F95">
      <w:pPr>
        <w:rPr>
          <w:b/>
          <w:sz w:val="32"/>
          <w:szCs w:val="32"/>
        </w:rPr>
      </w:pPr>
    </w:p>
    <w:p w14:paraId="2EA97154" w14:textId="77777777" w:rsidR="00F75F95" w:rsidRDefault="00F75F95" w:rsidP="00F75F95">
      <w:pPr>
        <w:rPr>
          <w:b/>
          <w:sz w:val="32"/>
          <w:szCs w:val="32"/>
        </w:rPr>
      </w:pPr>
    </w:p>
    <w:p w14:paraId="356D757D" w14:textId="4F40331B" w:rsidR="00F75F95" w:rsidRDefault="00F75F95" w:rsidP="00F75F95">
      <w:pPr>
        <w:rPr>
          <w:b/>
          <w:sz w:val="32"/>
          <w:szCs w:val="32"/>
        </w:rPr>
      </w:pPr>
    </w:p>
    <w:p w14:paraId="6CF5647A" w14:textId="34CCE76C" w:rsidR="00095F25" w:rsidRDefault="00095F25" w:rsidP="00F75F95">
      <w:pPr>
        <w:rPr>
          <w:b/>
          <w:sz w:val="32"/>
          <w:szCs w:val="32"/>
        </w:rPr>
      </w:pPr>
    </w:p>
    <w:p w14:paraId="33D6E991" w14:textId="46F6E028" w:rsidR="00095F25" w:rsidRDefault="00095F25" w:rsidP="00F75F95">
      <w:pPr>
        <w:rPr>
          <w:b/>
          <w:sz w:val="32"/>
          <w:szCs w:val="32"/>
        </w:rPr>
      </w:pPr>
    </w:p>
    <w:p w14:paraId="08022EB5" w14:textId="33B8310B" w:rsidR="00095F25" w:rsidRDefault="00095F25" w:rsidP="00F75F95">
      <w:pPr>
        <w:rPr>
          <w:b/>
          <w:sz w:val="32"/>
          <w:szCs w:val="32"/>
        </w:rPr>
      </w:pPr>
    </w:p>
    <w:p w14:paraId="3C3E31F0" w14:textId="0FE5E60D" w:rsidR="00095F25" w:rsidRDefault="00095F25" w:rsidP="00F75F95">
      <w:pPr>
        <w:rPr>
          <w:b/>
          <w:sz w:val="32"/>
          <w:szCs w:val="32"/>
        </w:rPr>
      </w:pPr>
    </w:p>
    <w:p w14:paraId="01B72D89" w14:textId="6D54C67B" w:rsidR="00095F25" w:rsidRDefault="00095F25" w:rsidP="00F75F95">
      <w:pPr>
        <w:rPr>
          <w:b/>
          <w:sz w:val="32"/>
          <w:szCs w:val="32"/>
        </w:rPr>
      </w:pPr>
    </w:p>
    <w:p w14:paraId="684F3FD0" w14:textId="3BCF7483" w:rsidR="00095F25" w:rsidRDefault="00095F25" w:rsidP="00F75F95">
      <w:pPr>
        <w:rPr>
          <w:b/>
          <w:sz w:val="32"/>
          <w:szCs w:val="32"/>
        </w:rPr>
      </w:pPr>
    </w:p>
    <w:p w14:paraId="20B590BF" w14:textId="7140BF81" w:rsidR="00095F25" w:rsidRDefault="00095F25" w:rsidP="00F75F95">
      <w:pPr>
        <w:rPr>
          <w:b/>
          <w:sz w:val="32"/>
          <w:szCs w:val="32"/>
        </w:rPr>
      </w:pPr>
    </w:p>
    <w:sdt>
      <w:sdtPr>
        <w:rPr>
          <w:rFonts w:ascii="Verdana" w:eastAsia="Times New Roman" w:hAnsi="Verdana" w:cs="Times New Roman"/>
          <w:color w:val="auto"/>
          <w:sz w:val="24"/>
          <w:szCs w:val="20"/>
          <w:lang w:val="en-GB"/>
        </w:rPr>
        <w:id w:val="954297841"/>
        <w:docPartObj>
          <w:docPartGallery w:val="Table of Contents"/>
          <w:docPartUnique/>
        </w:docPartObj>
      </w:sdtPr>
      <w:sdtEndPr>
        <w:rPr>
          <w:b/>
          <w:bCs/>
          <w:noProof/>
        </w:rPr>
      </w:sdtEndPr>
      <w:sdtContent>
        <w:p w14:paraId="235293B7" w14:textId="636107B1" w:rsidR="00095F25" w:rsidRPr="00095F25" w:rsidRDefault="00095F25">
          <w:pPr>
            <w:pStyle w:val="TOCHeading"/>
            <w:rPr>
              <w:color w:val="auto"/>
            </w:rPr>
          </w:pPr>
          <w:r w:rsidRPr="00095F25">
            <w:rPr>
              <w:color w:val="auto"/>
            </w:rPr>
            <w:t>Contents</w:t>
          </w:r>
        </w:p>
        <w:p w14:paraId="6A434F7C" w14:textId="1C66F394" w:rsidR="00095F25" w:rsidRDefault="00095F25">
          <w:pPr>
            <w:pStyle w:val="TOC1"/>
            <w:tabs>
              <w:tab w:val="left" w:pos="660"/>
              <w:tab w:val="right" w:leader="dot" w:pos="9016"/>
            </w:tabs>
            <w:rPr>
              <w:rFonts w:asciiTheme="minorHAnsi" w:eastAsiaTheme="minorEastAsia" w:hAnsiTheme="minorHAnsi" w:cstheme="minorBidi"/>
              <w:noProof/>
              <w:sz w:val="22"/>
              <w:szCs w:val="22"/>
              <w:lang w:eastAsia="en-GB"/>
            </w:rPr>
          </w:pPr>
          <w:r w:rsidRPr="00095F25">
            <w:rPr>
              <w:b/>
              <w:bCs/>
              <w:noProof/>
            </w:rPr>
            <w:fldChar w:fldCharType="begin"/>
          </w:r>
          <w:r w:rsidRPr="00095F25">
            <w:rPr>
              <w:b/>
              <w:bCs/>
              <w:noProof/>
            </w:rPr>
            <w:instrText xml:space="preserve"> TOC \o "1-3" \h \z \u </w:instrText>
          </w:r>
          <w:r w:rsidRPr="00095F25">
            <w:rPr>
              <w:b/>
              <w:bCs/>
              <w:noProof/>
            </w:rPr>
            <w:fldChar w:fldCharType="separate"/>
          </w:r>
          <w:hyperlink w:anchor="_Toc873351" w:history="1">
            <w:r w:rsidRPr="00836E64">
              <w:rPr>
                <w:rStyle w:val="Hyperlink"/>
                <w:noProof/>
              </w:rPr>
              <w:t>1.</w:t>
            </w:r>
            <w:r>
              <w:rPr>
                <w:rFonts w:asciiTheme="minorHAnsi" w:eastAsiaTheme="minorEastAsia" w:hAnsiTheme="minorHAnsi" w:cstheme="minorBidi"/>
                <w:noProof/>
                <w:sz w:val="22"/>
                <w:szCs w:val="22"/>
                <w:lang w:eastAsia="en-GB"/>
              </w:rPr>
              <w:tab/>
            </w:r>
            <w:r w:rsidRPr="00836E64">
              <w:rPr>
                <w:rStyle w:val="Hyperlink"/>
                <w:noProof/>
              </w:rPr>
              <w:t>Introduction</w:t>
            </w:r>
            <w:r>
              <w:rPr>
                <w:noProof/>
                <w:webHidden/>
              </w:rPr>
              <w:tab/>
            </w:r>
            <w:r>
              <w:rPr>
                <w:noProof/>
                <w:webHidden/>
              </w:rPr>
              <w:fldChar w:fldCharType="begin"/>
            </w:r>
            <w:r>
              <w:rPr>
                <w:noProof/>
                <w:webHidden/>
              </w:rPr>
              <w:instrText xml:space="preserve"> PAGEREF _Toc873351 \h </w:instrText>
            </w:r>
            <w:r>
              <w:rPr>
                <w:noProof/>
                <w:webHidden/>
              </w:rPr>
            </w:r>
            <w:r>
              <w:rPr>
                <w:noProof/>
                <w:webHidden/>
              </w:rPr>
              <w:fldChar w:fldCharType="separate"/>
            </w:r>
            <w:r w:rsidR="00BE2F7C">
              <w:rPr>
                <w:noProof/>
                <w:webHidden/>
              </w:rPr>
              <w:t>4</w:t>
            </w:r>
            <w:r>
              <w:rPr>
                <w:noProof/>
                <w:webHidden/>
              </w:rPr>
              <w:fldChar w:fldCharType="end"/>
            </w:r>
          </w:hyperlink>
        </w:p>
        <w:p w14:paraId="334D2AF4" w14:textId="409CF619" w:rsidR="00095F25" w:rsidRDefault="00BE2F7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873352" w:history="1">
            <w:r w:rsidR="00095F25" w:rsidRPr="00836E64">
              <w:rPr>
                <w:rStyle w:val="Hyperlink"/>
                <w:noProof/>
              </w:rPr>
              <w:t>2.</w:t>
            </w:r>
            <w:r w:rsidR="00095F25">
              <w:rPr>
                <w:rFonts w:asciiTheme="minorHAnsi" w:eastAsiaTheme="minorEastAsia" w:hAnsiTheme="minorHAnsi" w:cstheme="minorBidi"/>
                <w:noProof/>
                <w:sz w:val="22"/>
                <w:szCs w:val="22"/>
                <w:lang w:eastAsia="en-GB"/>
              </w:rPr>
              <w:tab/>
            </w:r>
            <w:r w:rsidR="00095F25" w:rsidRPr="00836E64">
              <w:rPr>
                <w:rStyle w:val="Hyperlink"/>
                <w:noProof/>
              </w:rPr>
              <w:t>Scope</w:t>
            </w:r>
            <w:r w:rsidR="00095F25">
              <w:rPr>
                <w:noProof/>
                <w:webHidden/>
              </w:rPr>
              <w:tab/>
            </w:r>
            <w:r w:rsidR="00095F25">
              <w:rPr>
                <w:noProof/>
                <w:webHidden/>
              </w:rPr>
              <w:fldChar w:fldCharType="begin"/>
            </w:r>
            <w:r w:rsidR="00095F25">
              <w:rPr>
                <w:noProof/>
                <w:webHidden/>
              </w:rPr>
              <w:instrText xml:space="preserve"> PAGEREF _Toc873352 \h </w:instrText>
            </w:r>
            <w:r w:rsidR="00095F25">
              <w:rPr>
                <w:noProof/>
                <w:webHidden/>
              </w:rPr>
            </w:r>
            <w:r w:rsidR="00095F25">
              <w:rPr>
                <w:noProof/>
                <w:webHidden/>
              </w:rPr>
              <w:fldChar w:fldCharType="separate"/>
            </w:r>
            <w:r>
              <w:rPr>
                <w:noProof/>
                <w:webHidden/>
              </w:rPr>
              <w:t>4</w:t>
            </w:r>
            <w:r w:rsidR="00095F25">
              <w:rPr>
                <w:noProof/>
                <w:webHidden/>
              </w:rPr>
              <w:fldChar w:fldCharType="end"/>
            </w:r>
          </w:hyperlink>
        </w:p>
        <w:p w14:paraId="3275A37D" w14:textId="0F3D9AEA" w:rsidR="00095F25" w:rsidRDefault="00BE2F7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873353" w:history="1">
            <w:r w:rsidR="00095F25" w:rsidRPr="00836E64">
              <w:rPr>
                <w:rStyle w:val="Hyperlink"/>
                <w:noProof/>
              </w:rPr>
              <w:t>3.</w:t>
            </w:r>
            <w:r w:rsidR="00095F25">
              <w:rPr>
                <w:rFonts w:asciiTheme="minorHAnsi" w:eastAsiaTheme="minorEastAsia" w:hAnsiTheme="minorHAnsi" w:cstheme="minorBidi"/>
                <w:noProof/>
                <w:sz w:val="22"/>
                <w:szCs w:val="22"/>
                <w:lang w:eastAsia="en-GB"/>
              </w:rPr>
              <w:tab/>
            </w:r>
            <w:r w:rsidR="00095F25" w:rsidRPr="00836E64">
              <w:rPr>
                <w:rStyle w:val="Hyperlink"/>
                <w:noProof/>
              </w:rPr>
              <w:t>Roles and Responsibilities</w:t>
            </w:r>
            <w:r w:rsidR="00095F25">
              <w:rPr>
                <w:noProof/>
                <w:webHidden/>
              </w:rPr>
              <w:tab/>
            </w:r>
            <w:r w:rsidR="00095F25">
              <w:rPr>
                <w:noProof/>
                <w:webHidden/>
              </w:rPr>
              <w:fldChar w:fldCharType="begin"/>
            </w:r>
            <w:r w:rsidR="00095F25">
              <w:rPr>
                <w:noProof/>
                <w:webHidden/>
              </w:rPr>
              <w:instrText xml:space="preserve"> PAGEREF _Toc873353 \h </w:instrText>
            </w:r>
            <w:r w:rsidR="00095F25">
              <w:rPr>
                <w:noProof/>
                <w:webHidden/>
              </w:rPr>
            </w:r>
            <w:r w:rsidR="00095F25">
              <w:rPr>
                <w:noProof/>
                <w:webHidden/>
              </w:rPr>
              <w:fldChar w:fldCharType="separate"/>
            </w:r>
            <w:r>
              <w:rPr>
                <w:noProof/>
                <w:webHidden/>
              </w:rPr>
              <w:t>4</w:t>
            </w:r>
            <w:r w:rsidR="00095F25">
              <w:rPr>
                <w:noProof/>
                <w:webHidden/>
              </w:rPr>
              <w:fldChar w:fldCharType="end"/>
            </w:r>
          </w:hyperlink>
        </w:p>
        <w:p w14:paraId="660DCBDF" w14:textId="6E3C3B34" w:rsidR="00095F25" w:rsidRDefault="00BE2F7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873354" w:history="1">
            <w:r w:rsidR="00095F25" w:rsidRPr="00836E64">
              <w:rPr>
                <w:rStyle w:val="Hyperlink"/>
                <w:noProof/>
              </w:rPr>
              <w:t>4.</w:t>
            </w:r>
            <w:r w:rsidR="00095F25">
              <w:rPr>
                <w:rFonts w:asciiTheme="minorHAnsi" w:eastAsiaTheme="minorEastAsia" w:hAnsiTheme="minorHAnsi" w:cstheme="minorBidi"/>
                <w:noProof/>
                <w:sz w:val="22"/>
                <w:szCs w:val="22"/>
                <w:lang w:eastAsia="en-GB"/>
              </w:rPr>
              <w:tab/>
            </w:r>
            <w:r w:rsidR="00095F25" w:rsidRPr="00836E64">
              <w:rPr>
                <w:rStyle w:val="Hyperlink"/>
                <w:noProof/>
              </w:rPr>
              <w:t>Definitions</w:t>
            </w:r>
            <w:r w:rsidR="00095F25">
              <w:rPr>
                <w:noProof/>
                <w:webHidden/>
              </w:rPr>
              <w:tab/>
            </w:r>
            <w:r w:rsidR="00095F25">
              <w:rPr>
                <w:noProof/>
                <w:webHidden/>
              </w:rPr>
              <w:fldChar w:fldCharType="begin"/>
            </w:r>
            <w:r w:rsidR="00095F25">
              <w:rPr>
                <w:noProof/>
                <w:webHidden/>
              </w:rPr>
              <w:instrText xml:space="preserve"> PAGEREF _Toc873354 \h </w:instrText>
            </w:r>
            <w:r w:rsidR="00095F25">
              <w:rPr>
                <w:noProof/>
                <w:webHidden/>
              </w:rPr>
            </w:r>
            <w:r w:rsidR="00095F25">
              <w:rPr>
                <w:noProof/>
                <w:webHidden/>
              </w:rPr>
              <w:fldChar w:fldCharType="separate"/>
            </w:r>
            <w:r>
              <w:rPr>
                <w:noProof/>
                <w:webHidden/>
              </w:rPr>
              <w:t>4</w:t>
            </w:r>
            <w:r w:rsidR="00095F25">
              <w:rPr>
                <w:noProof/>
                <w:webHidden/>
              </w:rPr>
              <w:fldChar w:fldCharType="end"/>
            </w:r>
          </w:hyperlink>
        </w:p>
        <w:p w14:paraId="3A532592" w14:textId="0EC23D43" w:rsidR="00095F25" w:rsidRDefault="00BE2F7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873355" w:history="1">
            <w:r w:rsidR="00095F25" w:rsidRPr="00836E64">
              <w:rPr>
                <w:rStyle w:val="Hyperlink"/>
                <w:rFonts w:eastAsiaTheme="majorEastAsia" w:cstheme="majorBidi"/>
                <w:b/>
                <w:noProof/>
              </w:rPr>
              <w:t>5.</w:t>
            </w:r>
            <w:r w:rsidR="00095F25">
              <w:rPr>
                <w:rFonts w:asciiTheme="minorHAnsi" w:eastAsiaTheme="minorEastAsia" w:hAnsiTheme="minorHAnsi" w:cstheme="minorBidi"/>
                <w:noProof/>
                <w:sz w:val="22"/>
                <w:szCs w:val="22"/>
                <w:lang w:eastAsia="en-GB"/>
              </w:rPr>
              <w:tab/>
            </w:r>
            <w:r w:rsidR="00095F25" w:rsidRPr="00095F25">
              <w:rPr>
                <w:rStyle w:val="Hyperlink"/>
                <w:rFonts w:eastAsiaTheme="majorEastAsia" w:cstheme="majorBidi"/>
                <w:noProof/>
              </w:rPr>
              <w:t>Risk Assessment</w:t>
            </w:r>
            <w:r w:rsidR="00095F25">
              <w:rPr>
                <w:noProof/>
                <w:webHidden/>
              </w:rPr>
              <w:tab/>
            </w:r>
            <w:r w:rsidR="00095F25">
              <w:rPr>
                <w:noProof/>
                <w:webHidden/>
              </w:rPr>
              <w:fldChar w:fldCharType="begin"/>
            </w:r>
            <w:r w:rsidR="00095F25">
              <w:rPr>
                <w:noProof/>
                <w:webHidden/>
              </w:rPr>
              <w:instrText xml:space="preserve"> PAGEREF _Toc873355 \h </w:instrText>
            </w:r>
            <w:r w:rsidR="00095F25">
              <w:rPr>
                <w:noProof/>
                <w:webHidden/>
              </w:rPr>
            </w:r>
            <w:r w:rsidR="00095F25">
              <w:rPr>
                <w:noProof/>
                <w:webHidden/>
              </w:rPr>
              <w:fldChar w:fldCharType="separate"/>
            </w:r>
            <w:r>
              <w:rPr>
                <w:noProof/>
                <w:webHidden/>
              </w:rPr>
              <w:t>5</w:t>
            </w:r>
            <w:r w:rsidR="00095F25">
              <w:rPr>
                <w:noProof/>
                <w:webHidden/>
              </w:rPr>
              <w:fldChar w:fldCharType="end"/>
            </w:r>
          </w:hyperlink>
        </w:p>
        <w:p w14:paraId="22D519AC" w14:textId="5612AE8D" w:rsidR="00095F25" w:rsidRDefault="00BE2F7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873356" w:history="1">
            <w:r w:rsidR="00095F25" w:rsidRPr="00836E64">
              <w:rPr>
                <w:rStyle w:val="Hyperlink"/>
                <w:noProof/>
              </w:rPr>
              <w:t>6.</w:t>
            </w:r>
            <w:r w:rsidR="00095F25">
              <w:rPr>
                <w:rFonts w:asciiTheme="minorHAnsi" w:eastAsiaTheme="minorEastAsia" w:hAnsiTheme="minorHAnsi" w:cstheme="minorBidi"/>
                <w:noProof/>
                <w:sz w:val="22"/>
                <w:szCs w:val="22"/>
                <w:lang w:eastAsia="en-GB"/>
              </w:rPr>
              <w:tab/>
            </w:r>
            <w:r w:rsidR="00095F25" w:rsidRPr="00836E64">
              <w:rPr>
                <w:rStyle w:val="Hyperlink"/>
                <w:noProof/>
              </w:rPr>
              <w:t>Safe Systems of Work</w:t>
            </w:r>
            <w:r w:rsidR="00095F25">
              <w:rPr>
                <w:noProof/>
                <w:webHidden/>
              </w:rPr>
              <w:tab/>
            </w:r>
            <w:r w:rsidR="00095F25">
              <w:rPr>
                <w:noProof/>
                <w:webHidden/>
              </w:rPr>
              <w:fldChar w:fldCharType="begin"/>
            </w:r>
            <w:r w:rsidR="00095F25">
              <w:rPr>
                <w:noProof/>
                <w:webHidden/>
              </w:rPr>
              <w:instrText xml:space="preserve"> PAGEREF _Toc873356 \h </w:instrText>
            </w:r>
            <w:r w:rsidR="00095F25">
              <w:rPr>
                <w:noProof/>
                <w:webHidden/>
              </w:rPr>
            </w:r>
            <w:r w:rsidR="00095F25">
              <w:rPr>
                <w:noProof/>
                <w:webHidden/>
              </w:rPr>
              <w:fldChar w:fldCharType="separate"/>
            </w:r>
            <w:r>
              <w:rPr>
                <w:noProof/>
                <w:webHidden/>
              </w:rPr>
              <w:t>6</w:t>
            </w:r>
            <w:r w:rsidR="00095F25">
              <w:rPr>
                <w:noProof/>
                <w:webHidden/>
              </w:rPr>
              <w:fldChar w:fldCharType="end"/>
            </w:r>
          </w:hyperlink>
        </w:p>
        <w:p w14:paraId="6446A7D6" w14:textId="3214ECA2" w:rsidR="00095F25" w:rsidRDefault="00BE2F7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873357" w:history="1">
            <w:r w:rsidR="00095F25" w:rsidRPr="00836E64">
              <w:rPr>
                <w:rStyle w:val="Hyperlink"/>
                <w:rFonts w:eastAsiaTheme="majorEastAsia" w:cstheme="majorBidi"/>
                <w:b/>
                <w:noProof/>
              </w:rPr>
              <w:t>7.</w:t>
            </w:r>
            <w:r w:rsidR="00095F25">
              <w:rPr>
                <w:rFonts w:asciiTheme="minorHAnsi" w:eastAsiaTheme="minorEastAsia" w:hAnsiTheme="minorHAnsi" w:cstheme="minorBidi"/>
                <w:noProof/>
                <w:sz w:val="22"/>
                <w:szCs w:val="22"/>
                <w:lang w:eastAsia="en-GB"/>
              </w:rPr>
              <w:tab/>
            </w:r>
            <w:r w:rsidR="00095F25" w:rsidRPr="00095F25">
              <w:rPr>
                <w:rStyle w:val="Hyperlink"/>
                <w:rFonts w:eastAsiaTheme="majorEastAsia" w:cstheme="majorBidi"/>
                <w:noProof/>
              </w:rPr>
              <w:t>Principles of Good Control Practice</w:t>
            </w:r>
            <w:r w:rsidR="00095F25">
              <w:rPr>
                <w:noProof/>
                <w:webHidden/>
              </w:rPr>
              <w:tab/>
            </w:r>
            <w:r w:rsidR="00095F25">
              <w:rPr>
                <w:noProof/>
                <w:webHidden/>
              </w:rPr>
              <w:fldChar w:fldCharType="begin"/>
            </w:r>
            <w:r w:rsidR="00095F25">
              <w:rPr>
                <w:noProof/>
                <w:webHidden/>
              </w:rPr>
              <w:instrText xml:space="preserve"> PAGEREF _Toc873357 \h </w:instrText>
            </w:r>
            <w:r w:rsidR="00095F25">
              <w:rPr>
                <w:noProof/>
                <w:webHidden/>
              </w:rPr>
            </w:r>
            <w:r w:rsidR="00095F25">
              <w:rPr>
                <w:noProof/>
                <w:webHidden/>
              </w:rPr>
              <w:fldChar w:fldCharType="separate"/>
            </w:r>
            <w:r>
              <w:rPr>
                <w:noProof/>
                <w:webHidden/>
              </w:rPr>
              <w:t>6</w:t>
            </w:r>
            <w:r w:rsidR="00095F25">
              <w:rPr>
                <w:noProof/>
                <w:webHidden/>
              </w:rPr>
              <w:fldChar w:fldCharType="end"/>
            </w:r>
          </w:hyperlink>
        </w:p>
        <w:p w14:paraId="05A19A1B" w14:textId="51A5F423" w:rsidR="00095F25" w:rsidRDefault="00BE2F7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873358" w:history="1">
            <w:r w:rsidR="00095F25" w:rsidRPr="00836E64">
              <w:rPr>
                <w:rStyle w:val="Hyperlink"/>
                <w:noProof/>
              </w:rPr>
              <w:t>8.</w:t>
            </w:r>
            <w:r w:rsidR="00095F25">
              <w:rPr>
                <w:rFonts w:asciiTheme="minorHAnsi" w:eastAsiaTheme="minorEastAsia" w:hAnsiTheme="minorHAnsi" w:cstheme="minorBidi"/>
                <w:noProof/>
                <w:sz w:val="22"/>
                <w:szCs w:val="22"/>
                <w:lang w:eastAsia="en-GB"/>
              </w:rPr>
              <w:tab/>
            </w:r>
            <w:r w:rsidR="00095F25" w:rsidRPr="00836E64">
              <w:rPr>
                <w:rStyle w:val="Hyperlink"/>
                <w:noProof/>
              </w:rPr>
              <w:t>Training, Information, Instruction and Communication</w:t>
            </w:r>
            <w:r w:rsidR="00095F25">
              <w:rPr>
                <w:noProof/>
                <w:webHidden/>
              </w:rPr>
              <w:tab/>
            </w:r>
            <w:r w:rsidR="00095F25">
              <w:rPr>
                <w:noProof/>
                <w:webHidden/>
              </w:rPr>
              <w:fldChar w:fldCharType="begin"/>
            </w:r>
            <w:r w:rsidR="00095F25">
              <w:rPr>
                <w:noProof/>
                <w:webHidden/>
              </w:rPr>
              <w:instrText xml:space="preserve"> PAGEREF _Toc873358 \h </w:instrText>
            </w:r>
            <w:r w:rsidR="00095F25">
              <w:rPr>
                <w:noProof/>
                <w:webHidden/>
              </w:rPr>
            </w:r>
            <w:r w:rsidR="00095F25">
              <w:rPr>
                <w:noProof/>
                <w:webHidden/>
              </w:rPr>
              <w:fldChar w:fldCharType="separate"/>
            </w:r>
            <w:r>
              <w:rPr>
                <w:noProof/>
                <w:webHidden/>
              </w:rPr>
              <w:t>7</w:t>
            </w:r>
            <w:r w:rsidR="00095F25">
              <w:rPr>
                <w:noProof/>
                <w:webHidden/>
              </w:rPr>
              <w:fldChar w:fldCharType="end"/>
            </w:r>
          </w:hyperlink>
        </w:p>
        <w:p w14:paraId="23A1BDB9" w14:textId="4F19A9B6" w:rsidR="00095F25" w:rsidRDefault="00BE2F7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873359" w:history="1">
            <w:r w:rsidR="00095F25" w:rsidRPr="00836E64">
              <w:rPr>
                <w:rStyle w:val="Hyperlink"/>
                <w:noProof/>
              </w:rPr>
              <w:t>9.</w:t>
            </w:r>
            <w:r w:rsidR="00095F25">
              <w:rPr>
                <w:rFonts w:asciiTheme="minorHAnsi" w:eastAsiaTheme="minorEastAsia" w:hAnsiTheme="minorHAnsi" w:cstheme="minorBidi"/>
                <w:noProof/>
                <w:sz w:val="22"/>
                <w:szCs w:val="22"/>
                <w:lang w:eastAsia="en-GB"/>
              </w:rPr>
              <w:tab/>
            </w:r>
            <w:r w:rsidR="00095F25" w:rsidRPr="00836E64">
              <w:rPr>
                <w:rStyle w:val="Hyperlink"/>
                <w:noProof/>
              </w:rPr>
              <w:t>Monitoring and Auditing</w:t>
            </w:r>
            <w:r w:rsidR="00095F25">
              <w:rPr>
                <w:noProof/>
                <w:webHidden/>
              </w:rPr>
              <w:tab/>
            </w:r>
            <w:r w:rsidR="00095F25">
              <w:rPr>
                <w:noProof/>
                <w:webHidden/>
              </w:rPr>
              <w:fldChar w:fldCharType="begin"/>
            </w:r>
            <w:r w:rsidR="00095F25">
              <w:rPr>
                <w:noProof/>
                <w:webHidden/>
              </w:rPr>
              <w:instrText xml:space="preserve"> PAGEREF _Toc873359 \h </w:instrText>
            </w:r>
            <w:r w:rsidR="00095F25">
              <w:rPr>
                <w:noProof/>
                <w:webHidden/>
              </w:rPr>
            </w:r>
            <w:r w:rsidR="00095F25">
              <w:rPr>
                <w:noProof/>
                <w:webHidden/>
              </w:rPr>
              <w:fldChar w:fldCharType="separate"/>
            </w:r>
            <w:r>
              <w:rPr>
                <w:noProof/>
                <w:webHidden/>
              </w:rPr>
              <w:t>7</w:t>
            </w:r>
            <w:r w:rsidR="00095F25">
              <w:rPr>
                <w:noProof/>
                <w:webHidden/>
              </w:rPr>
              <w:fldChar w:fldCharType="end"/>
            </w:r>
          </w:hyperlink>
        </w:p>
        <w:p w14:paraId="31F9A23B" w14:textId="4F617E9E" w:rsidR="00095F25" w:rsidRDefault="00095F25">
          <w:r w:rsidRPr="00095F25">
            <w:rPr>
              <w:b/>
              <w:bCs/>
              <w:noProof/>
            </w:rPr>
            <w:fldChar w:fldCharType="end"/>
          </w:r>
        </w:p>
      </w:sdtContent>
    </w:sdt>
    <w:p w14:paraId="5BFFA016" w14:textId="32245F71" w:rsidR="00095F25" w:rsidRDefault="00095F25" w:rsidP="00F75F95">
      <w:pPr>
        <w:rPr>
          <w:b/>
          <w:sz w:val="32"/>
          <w:szCs w:val="32"/>
        </w:rPr>
      </w:pPr>
    </w:p>
    <w:p w14:paraId="386E47FF" w14:textId="094DEA6E" w:rsidR="00095F25" w:rsidRDefault="00095F25" w:rsidP="00F75F95">
      <w:pPr>
        <w:rPr>
          <w:b/>
          <w:sz w:val="32"/>
          <w:szCs w:val="32"/>
        </w:rPr>
      </w:pPr>
    </w:p>
    <w:p w14:paraId="0D273629" w14:textId="7BCC6FBB" w:rsidR="00095F25" w:rsidRDefault="00095F25" w:rsidP="00F75F95">
      <w:pPr>
        <w:rPr>
          <w:b/>
          <w:sz w:val="32"/>
          <w:szCs w:val="32"/>
        </w:rPr>
      </w:pPr>
    </w:p>
    <w:p w14:paraId="6CE75A42" w14:textId="5F645A00" w:rsidR="00095F25" w:rsidRDefault="00095F25" w:rsidP="00F75F95">
      <w:pPr>
        <w:rPr>
          <w:b/>
          <w:sz w:val="32"/>
          <w:szCs w:val="32"/>
        </w:rPr>
      </w:pPr>
    </w:p>
    <w:p w14:paraId="27DDAA43" w14:textId="49F92FB1" w:rsidR="00095F25" w:rsidRDefault="00095F25" w:rsidP="00F75F95">
      <w:pPr>
        <w:rPr>
          <w:b/>
          <w:sz w:val="32"/>
          <w:szCs w:val="32"/>
        </w:rPr>
      </w:pPr>
      <w:bookmarkStart w:id="0" w:name="_GoBack"/>
      <w:bookmarkEnd w:id="0"/>
    </w:p>
    <w:p w14:paraId="77A76846" w14:textId="5430FDA4" w:rsidR="00095F25" w:rsidRDefault="00095F25" w:rsidP="00F75F95">
      <w:pPr>
        <w:rPr>
          <w:b/>
          <w:sz w:val="32"/>
          <w:szCs w:val="32"/>
        </w:rPr>
      </w:pPr>
    </w:p>
    <w:p w14:paraId="767F500C" w14:textId="60C8B193" w:rsidR="00095F25" w:rsidRDefault="00095F25" w:rsidP="00F75F95">
      <w:pPr>
        <w:rPr>
          <w:b/>
          <w:sz w:val="32"/>
          <w:szCs w:val="32"/>
        </w:rPr>
      </w:pPr>
    </w:p>
    <w:p w14:paraId="0E513E48" w14:textId="0BF73F0C" w:rsidR="00095F25" w:rsidRDefault="00095F25" w:rsidP="00F75F95">
      <w:pPr>
        <w:rPr>
          <w:b/>
          <w:sz w:val="32"/>
          <w:szCs w:val="32"/>
        </w:rPr>
      </w:pPr>
    </w:p>
    <w:p w14:paraId="273A5D38" w14:textId="3BE4EA22" w:rsidR="00095F25" w:rsidRDefault="00095F25" w:rsidP="00F75F95">
      <w:pPr>
        <w:rPr>
          <w:b/>
          <w:sz w:val="32"/>
          <w:szCs w:val="32"/>
        </w:rPr>
      </w:pPr>
    </w:p>
    <w:p w14:paraId="57F6FC5B" w14:textId="35B0BA19" w:rsidR="00095F25" w:rsidRDefault="00095F25" w:rsidP="00F75F95">
      <w:pPr>
        <w:rPr>
          <w:b/>
          <w:sz w:val="32"/>
          <w:szCs w:val="32"/>
        </w:rPr>
      </w:pPr>
    </w:p>
    <w:p w14:paraId="57E023CD" w14:textId="31AC1A24" w:rsidR="00095F25" w:rsidRDefault="00095F25" w:rsidP="00F75F95">
      <w:pPr>
        <w:rPr>
          <w:b/>
          <w:sz w:val="32"/>
          <w:szCs w:val="32"/>
        </w:rPr>
      </w:pPr>
    </w:p>
    <w:p w14:paraId="32739D49" w14:textId="6D9C6943" w:rsidR="00095F25" w:rsidRDefault="00095F25" w:rsidP="00F75F95">
      <w:pPr>
        <w:rPr>
          <w:b/>
          <w:sz w:val="32"/>
          <w:szCs w:val="32"/>
        </w:rPr>
      </w:pPr>
    </w:p>
    <w:p w14:paraId="43410B4F" w14:textId="77777777" w:rsidR="00F75F95" w:rsidRPr="00661221" w:rsidRDefault="00F75F95" w:rsidP="00661221">
      <w:pPr>
        <w:pStyle w:val="Heading1"/>
        <w:numPr>
          <w:ilvl w:val="0"/>
          <w:numId w:val="11"/>
        </w:numPr>
        <w:ind w:left="1134" w:hanging="1134"/>
        <w:rPr>
          <w:sz w:val="28"/>
          <w:szCs w:val="28"/>
        </w:rPr>
      </w:pPr>
      <w:bookmarkStart w:id="1" w:name="_Toc476746198"/>
      <w:bookmarkStart w:id="2" w:name="_Toc873351"/>
      <w:r w:rsidRPr="00661221">
        <w:rPr>
          <w:sz w:val="28"/>
          <w:szCs w:val="28"/>
        </w:rPr>
        <w:t>Introduction</w:t>
      </w:r>
      <w:bookmarkEnd w:id="1"/>
      <w:bookmarkEnd w:id="2"/>
    </w:p>
    <w:p w14:paraId="315BB9CE" w14:textId="77777777" w:rsidR="00F75F95" w:rsidRPr="00FA7404" w:rsidRDefault="00F75F95" w:rsidP="00F75F95"/>
    <w:p w14:paraId="26F3E117" w14:textId="77777777" w:rsidR="00F75F95" w:rsidRPr="00A9556E" w:rsidRDefault="00F75F95" w:rsidP="00F75F95">
      <w:pPr>
        <w:pStyle w:val="Default"/>
        <w:rPr>
          <w:color w:val="auto"/>
        </w:rPr>
      </w:pPr>
      <w:r w:rsidRPr="00A9556E">
        <w:rPr>
          <w:color w:val="auto"/>
        </w:rPr>
        <w:t xml:space="preserve">The purpose of this Procedure is to enable Public Health Wales, as an organisation, to comply with the Control of Substances Hazardous to Health (COSHH) Regulations 2002 (as amended). </w:t>
      </w:r>
    </w:p>
    <w:p w14:paraId="750EED3E" w14:textId="77777777" w:rsidR="00F75F95" w:rsidRPr="00A9556E" w:rsidRDefault="00F75F95" w:rsidP="00F75F95">
      <w:pPr>
        <w:pStyle w:val="Default"/>
        <w:rPr>
          <w:color w:val="auto"/>
        </w:rPr>
      </w:pPr>
    </w:p>
    <w:p w14:paraId="58B06513" w14:textId="77777777" w:rsidR="00F75F95" w:rsidRDefault="00F75F95" w:rsidP="00F75F95">
      <w:pPr>
        <w:pStyle w:val="Default"/>
        <w:rPr>
          <w:color w:val="auto"/>
        </w:rPr>
      </w:pPr>
      <w:r>
        <w:rPr>
          <w:color w:val="auto"/>
        </w:rPr>
        <w:t xml:space="preserve">Under the COSHH Regulations, the </w:t>
      </w:r>
      <w:r w:rsidRPr="00A9556E">
        <w:rPr>
          <w:color w:val="auto"/>
        </w:rPr>
        <w:t>organisation</w:t>
      </w:r>
      <w:r>
        <w:rPr>
          <w:color w:val="auto"/>
        </w:rPr>
        <w:t xml:space="preserve"> is required to make an assessment of health risks created by work involving hazardous substances. Where risks are identified, all managers must carry out</w:t>
      </w:r>
      <w:r w:rsidRPr="00A9556E">
        <w:rPr>
          <w:color w:val="auto"/>
        </w:rPr>
        <w:t xml:space="preserve"> </w:t>
      </w:r>
      <w:r>
        <w:rPr>
          <w:color w:val="auto"/>
        </w:rPr>
        <w:t xml:space="preserve">a risk assessment, take action to prevent or control exposure to those substances, monitor exposure and provide information, instruction and training for those who may be exposed. The Regulations apply to a wide range of substances and preparations with the potential to cause harm if they are inhaled, ingested, injected or absorbed through the skin.  </w:t>
      </w:r>
    </w:p>
    <w:p w14:paraId="7CAF7DD0" w14:textId="77777777" w:rsidR="00F75F95" w:rsidRPr="00661221" w:rsidRDefault="007C0A45" w:rsidP="00661221">
      <w:pPr>
        <w:pStyle w:val="Heading1"/>
        <w:numPr>
          <w:ilvl w:val="0"/>
          <w:numId w:val="11"/>
        </w:numPr>
        <w:ind w:left="1134" w:hanging="1134"/>
        <w:rPr>
          <w:sz w:val="28"/>
          <w:szCs w:val="28"/>
        </w:rPr>
      </w:pPr>
      <w:bookmarkStart w:id="3" w:name="_Toc873352"/>
      <w:r w:rsidRPr="00661221">
        <w:rPr>
          <w:sz w:val="28"/>
          <w:szCs w:val="28"/>
        </w:rPr>
        <w:t>Scope</w:t>
      </w:r>
      <w:bookmarkEnd w:id="3"/>
    </w:p>
    <w:p w14:paraId="737A8BC6" w14:textId="77777777" w:rsidR="00F75F95" w:rsidRDefault="007C0A45" w:rsidP="00F75F95">
      <w:r w:rsidRPr="007C0A45">
        <w:t>All persons employed or engaged by Public Health Wales, including part time workers, temporary and agency workers, those holding honorary contracts and those engaged by the NHS Wales Health Collaborative.</w:t>
      </w:r>
    </w:p>
    <w:p w14:paraId="3F511B66" w14:textId="77777777" w:rsidR="00F75F95" w:rsidRPr="00661221" w:rsidRDefault="00570D22" w:rsidP="00661221">
      <w:pPr>
        <w:pStyle w:val="Heading1"/>
        <w:numPr>
          <w:ilvl w:val="0"/>
          <w:numId w:val="11"/>
        </w:numPr>
        <w:ind w:left="1134" w:hanging="1134"/>
        <w:rPr>
          <w:sz w:val="28"/>
          <w:szCs w:val="28"/>
        </w:rPr>
      </w:pPr>
      <w:bookmarkStart w:id="4" w:name="_Toc873353"/>
      <w:r w:rsidRPr="00661221">
        <w:rPr>
          <w:sz w:val="28"/>
          <w:szCs w:val="28"/>
        </w:rPr>
        <w:t>Roles and Responsibilities</w:t>
      </w:r>
      <w:bookmarkEnd w:id="4"/>
    </w:p>
    <w:p w14:paraId="2594E442" w14:textId="7B741A6B" w:rsidR="00570D22" w:rsidRPr="00570D22" w:rsidRDefault="00570D22" w:rsidP="00570D22">
      <w:r w:rsidRPr="00570D22">
        <w:t xml:space="preserve">All </w:t>
      </w:r>
      <w:r w:rsidR="00EB1268">
        <w:t xml:space="preserve">employees of </w:t>
      </w:r>
      <w:r w:rsidRPr="00570D22">
        <w:t xml:space="preserve">Public Health Wales have a legal duty to comply with </w:t>
      </w:r>
      <w:r w:rsidR="00EB1268">
        <w:t xml:space="preserve">both the </w:t>
      </w:r>
      <w:r w:rsidRPr="00570D22">
        <w:t>Welsh and UK Government</w:t>
      </w:r>
      <w:r w:rsidR="00EB1268">
        <w:t>s</w:t>
      </w:r>
      <w:r w:rsidRPr="00570D22">
        <w:t xml:space="preserve"> legislation </w:t>
      </w:r>
      <w:r w:rsidR="00EB1268">
        <w:t xml:space="preserve">set out in </w:t>
      </w:r>
      <w:r w:rsidRPr="00570D22">
        <w:t>this procedural document.</w:t>
      </w:r>
    </w:p>
    <w:p w14:paraId="5C058766" w14:textId="77777777" w:rsidR="00570D22" w:rsidRPr="00661221" w:rsidRDefault="00570D22" w:rsidP="00661221">
      <w:pPr>
        <w:pStyle w:val="Heading1"/>
        <w:numPr>
          <w:ilvl w:val="0"/>
          <w:numId w:val="11"/>
        </w:numPr>
        <w:ind w:left="1134" w:hanging="1134"/>
        <w:rPr>
          <w:sz w:val="28"/>
          <w:szCs w:val="28"/>
        </w:rPr>
      </w:pPr>
      <w:bookmarkStart w:id="5" w:name="_Toc873354"/>
      <w:r w:rsidRPr="00661221">
        <w:rPr>
          <w:sz w:val="28"/>
          <w:szCs w:val="28"/>
        </w:rPr>
        <w:t>Definitions</w:t>
      </w:r>
      <w:bookmarkEnd w:id="5"/>
    </w:p>
    <w:p w14:paraId="5B284293" w14:textId="77777777" w:rsidR="00570D22" w:rsidRDefault="00570D22" w:rsidP="00570D22">
      <w:pPr>
        <w:pStyle w:val="Default"/>
      </w:pPr>
    </w:p>
    <w:p w14:paraId="328ED82C" w14:textId="3ADBD994" w:rsidR="00570D22" w:rsidRDefault="00570D22" w:rsidP="00570D22">
      <w:pPr>
        <w:pStyle w:val="Default"/>
      </w:pPr>
      <w:r w:rsidRPr="00897AC9">
        <w:t xml:space="preserve">A hazardous substance is one which can cause ill health. Substances are classified according to the severity and type of hazard which may be presented to </w:t>
      </w:r>
      <w:r w:rsidR="00EB1268">
        <w:t xml:space="preserve">individuals </w:t>
      </w:r>
      <w:r w:rsidRPr="00897AC9">
        <w:t>who</w:t>
      </w:r>
      <w:r w:rsidR="00EB1268">
        <w:t xml:space="preserve"> may</w:t>
      </w:r>
      <w:r w:rsidRPr="00897AC9">
        <w:t xml:space="preserve"> come into contact with </w:t>
      </w:r>
      <w:r w:rsidR="00EB1268">
        <w:t>the substance</w:t>
      </w:r>
      <w:r w:rsidR="004D6CEB">
        <w:t>.</w:t>
      </w:r>
      <w:r w:rsidR="00EB1268">
        <w:t xml:space="preserve"> </w:t>
      </w:r>
      <w:r w:rsidRPr="00897AC9">
        <w:t xml:space="preserve"> There are many classifications including: </w:t>
      </w:r>
    </w:p>
    <w:p w14:paraId="2D07D080" w14:textId="77777777" w:rsidR="00570D22" w:rsidRPr="00897AC9" w:rsidRDefault="00570D22" w:rsidP="00570D22">
      <w:pPr>
        <w:pStyle w:val="Default"/>
      </w:pPr>
    </w:p>
    <w:p w14:paraId="1FD6810A" w14:textId="503025DD" w:rsidR="00570D22" w:rsidRPr="00897AC9" w:rsidRDefault="00570D22" w:rsidP="00EB1268">
      <w:pPr>
        <w:pStyle w:val="Default"/>
        <w:numPr>
          <w:ilvl w:val="0"/>
          <w:numId w:val="2"/>
        </w:numPr>
        <w:spacing w:after="27"/>
        <w:ind w:left="567"/>
      </w:pPr>
      <w:r w:rsidRPr="00897AC9">
        <w:rPr>
          <w:b/>
          <w:bCs/>
        </w:rPr>
        <w:t xml:space="preserve">very toxic </w:t>
      </w:r>
      <w:r w:rsidRPr="00897AC9">
        <w:t xml:space="preserve">– substances and preparations which, in very low quantities, can cause death, acute or chronic damage to health when inhaled, swallowed or absorbed through the skin </w:t>
      </w:r>
    </w:p>
    <w:p w14:paraId="03211B80" w14:textId="622979AE" w:rsidR="00570D22" w:rsidRPr="00897AC9" w:rsidRDefault="00570D22" w:rsidP="00EB1268">
      <w:pPr>
        <w:pStyle w:val="Default"/>
        <w:numPr>
          <w:ilvl w:val="0"/>
          <w:numId w:val="2"/>
        </w:numPr>
        <w:spacing w:after="27"/>
        <w:ind w:left="567"/>
      </w:pPr>
      <w:r w:rsidRPr="00897AC9">
        <w:rPr>
          <w:b/>
          <w:bCs/>
        </w:rPr>
        <w:t xml:space="preserve">toxic </w:t>
      </w:r>
      <w:r w:rsidRPr="00897AC9">
        <w:t xml:space="preserve">– substances and preparations which, in low quantities, can cause death, acute or chronic damage to health when inhaled, swallowed or absorbed through the skin </w:t>
      </w:r>
    </w:p>
    <w:p w14:paraId="2828C030" w14:textId="6C2E05B7" w:rsidR="00570D22" w:rsidRPr="00897AC9" w:rsidRDefault="00570D22" w:rsidP="00EB1268">
      <w:pPr>
        <w:pStyle w:val="Default"/>
        <w:numPr>
          <w:ilvl w:val="0"/>
          <w:numId w:val="2"/>
        </w:numPr>
        <w:spacing w:after="27"/>
        <w:ind w:left="567"/>
      </w:pPr>
      <w:r w:rsidRPr="00897AC9">
        <w:rPr>
          <w:b/>
          <w:bCs/>
        </w:rPr>
        <w:t xml:space="preserve">harmful </w:t>
      </w:r>
      <w:r w:rsidRPr="00897AC9">
        <w:t xml:space="preserve">– substances and preparations which may cause death, acute or chronic damage to health when inhaled, swallowed or absorbed through the skin </w:t>
      </w:r>
    </w:p>
    <w:p w14:paraId="3E61BE3E" w14:textId="3C9E20D6" w:rsidR="00570D22" w:rsidRPr="00897AC9" w:rsidRDefault="00570D22" w:rsidP="00EB1268">
      <w:pPr>
        <w:pStyle w:val="Default"/>
        <w:numPr>
          <w:ilvl w:val="0"/>
          <w:numId w:val="2"/>
        </w:numPr>
        <w:spacing w:after="27"/>
        <w:ind w:left="567"/>
      </w:pPr>
      <w:r w:rsidRPr="00897AC9">
        <w:rPr>
          <w:b/>
          <w:bCs/>
        </w:rPr>
        <w:t xml:space="preserve">corrosive </w:t>
      </w:r>
      <w:r w:rsidRPr="00897AC9">
        <w:t xml:space="preserve">– substances and preparations which may destroy living tissue upon contact </w:t>
      </w:r>
    </w:p>
    <w:p w14:paraId="46CC21F8" w14:textId="195E8630" w:rsidR="00570D22" w:rsidRPr="00897AC9" w:rsidRDefault="00570D22" w:rsidP="00570D22">
      <w:pPr>
        <w:pStyle w:val="Default"/>
        <w:numPr>
          <w:ilvl w:val="0"/>
          <w:numId w:val="2"/>
        </w:numPr>
        <w:spacing w:after="27"/>
      </w:pPr>
      <w:r w:rsidRPr="00897AC9">
        <w:rPr>
          <w:b/>
          <w:bCs/>
        </w:rPr>
        <w:t xml:space="preserve">irritant </w:t>
      </w:r>
      <w:r w:rsidRPr="00897AC9">
        <w:t xml:space="preserve">– non-corrosive substances and preparations which through immediate, prolonged or repeated contact with the skin or mucous membrane may cause inflammation </w:t>
      </w:r>
    </w:p>
    <w:p w14:paraId="204011F2" w14:textId="5A4EAE1C" w:rsidR="00570D22" w:rsidRPr="00897AC9" w:rsidRDefault="00570D22" w:rsidP="00570D22">
      <w:pPr>
        <w:pStyle w:val="Default"/>
        <w:numPr>
          <w:ilvl w:val="0"/>
          <w:numId w:val="2"/>
        </w:numPr>
        <w:spacing w:after="27"/>
      </w:pPr>
      <w:r w:rsidRPr="00897AC9">
        <w:rPr>
          <w:b/>
          <w:bCs/>
        </w:rPr>
        <w:t xml:space="preserve">carcinogenic </w:t>
      </w:r>
      <w:r w:rsidRPr="00897AC9">
        <w:t xml:space="preserve">– substances and preparations which if they are inhaled, ingested or penetrate the skin may cause cancer </w:t>
      </w:r>
    </w:p>
    <w:p w14:paraId="54FD2523" w14:textId="177A5DBD" w:rsidR="00570D22" w:rsidRPr="00897AC9" w:rsidRDefault="00570D22" w:rsidP="00570D22">
      <w:pPr>
        <w:pStyle w:val="Default"/>
        <w:numPr>
          <w:ilvl w:val="0"/>
          <w:numId w:val="2"/>
        </w:numPr>
        <w:spacing w:after="27"/>
      </w:pPr>
      <w:r w:rsidRPr="00897AC9">
        <w:rPr>
          <w:b/>
          <w:bCs/>
        </w:rPr>
        <w:t xml:space="preserve">teratogenic </w:t>
      </w:r>
      <w:r w:rsidRPr="00897AC9">
        <w:t xml:space="preserve">– substances and preparations which if they are inhaled, ingested or penetrate the skin, may affect the developing child in the womb </w:t>
      </w:r>
    </w:p>
    <w:p w14:paraId="0E86A0B6" w14:textId="77777777" w:rsidR="00570D22" w:rsidRPr="00897AC9" w:rsidRDefault="00570D22" w:rsidP="00570D22">
      <w:pPr>
        <w:pStyle w:val="Default"/>
        <w:numPr>
          <w:ilvl w:val="0"/>
          <w:numId w:val="2"/>
        </w:numPr>
        <w:spacing w:after="27"/>
      </w:pPr>
      <w:r w:rsidRPr="00897AC9">
        <w:rPr>
          <w:b/>
          <w:bCs/>
        </w:rPr>
        <w:t xml:space="preserve">mutagenic </w:t>
      </w:r>
      <w:r w:rsidRPr="00897AC9">
        <w:t xml:space="preserve">– substances and preparations which if inhaled, ingested or penetrate the skin may affect future children; </w:t>
      </w:r>
    </w:p>
    <w:p w14:paraId="5DD0164B" w14:textId="4C6ACEE9" w:rsidR="00570D22" w:rsidRPr="00897AC9" w:rsidRDefault="00570D22" w:rsidP="00570D22">
      <w:pPr>
        <w:pStyle w:val="Default"/>
        <w:numPr>
          <w:ilvl w:val="0"/>
          <w:numId w:val="2"/>
        </w:numPr>
      </w:pPr>
      <w:r w:rsidRPr="00897AC9">
        <w:rPr>
          <w:b/>
          <w:bCs/>
        </w:rPr>
        <w:t xml:space="preserve">a biological agent </w:t>
      </w:r>
      <w:r w:rsidRPr="00897AC9">
        <w:t xml:space="preserve">– including viruses, bacteria, fungus, moulds and </w:t>
      </w:r>
      <w:r w:rsidR="00F55254" w:rsidRPr="00897AC9">
        <w:t>zoonosis</w:t>
      </w:r>
      <w:r w:rsidRPr="00897AC9">
        <w:t xml:space="preserve"> </w:t>
      </w:r>
    </w:p>
    <w:p w14:paraId="12F43396" w14:textId="77777777" w:rsidR="00570D22" w:rsidRPr="00897AC9" w:rsidRDefault="00570D22" w:rsidP="00570D22">
      <w:pPr>
        <w:pStyle w:val="Default"/>
      </w:pPr>
    </w:p>
    <w:p w14:paraId="3D6BAA07" w14:textId="77777777" w:rsidR="00570D22" w:rsidRDefault="00570D22" w:rsidP="00570D22">
      <w:pPr>
        <w:pStyle w:val="Default"/>
      </w:pPr>
      <w:r w:rsidRPr="00897AC9">
        <w:t xml:space="preserve">A substance may enter the body through: </w:t>
      </w:r>
    </w:p>
    <w:p w14:paraId="6666B2A5" w14:textId="77777777" w:rsidR="00F55254" w:rsidRPr="00897AC9" w:rsidRDefault="00F55254" w:rsidP="00570D22">
      <w:pPr>
        <w:pStyle w:val="Default"/>
      </w:pPr>
    </w:p>
    <w:p w14:paraId="0CE0578F" w14:textId="3890A3C7" w:rsidR="00570D22" w:rsidRPr="00897AC9" w:rsidRDefault="00570D22" w:rsidP="00570D22">
      <w:pPr>
        <w:pStyle w:val="Default"/>
        <w:numPr>
          <w:ilvl w:val="0"/>
          <w:numId w:val="3"/>
        </w:numPr>
        <w:spacing w:after="29"/>
      </w:pPr>
      <w:r w:rsidRPr="00897AC9">
        <w:rPr>
          <w:b/>
          <w:bCs/>
        </w:rPr>
        <w:t xml:space="preserve">inhalation </w:t>
      </w:r>
      <w:r w:rsidRPr="00897AC9">
        <w:t>– substances may directly attack the lungs and could enter the blood stream</w:t>
      </w:r>
    </w:p>
    <w:p w14:paraId="158BC6D8" w14:textId="1FE7C8AF" w:rsidR="00570D22" w:rsidRPr="00897AC9" w:rsidRDefault="00570D22" w:rsidP="00570D22">
      <w:pPr>
        <w:pStyle w:val="Default"/>
        <w:numPr>
          <w:ilvl w:val="0"/>
          <w:numId w:val="3"/>
        </w:numPr>
        <w:spacing w:after="29"/>
      </w:pPr>
      <w:r w:rsidRPr="00897AC9">
        <w:rPr>
          <w:b/>
          <w:bCs/>
        </w:rPr>
        <w:t xml:space="preserve">absorption </w:t>
      </w:r>
      <w:r w:rsidRPr="00897AC9">
        <w:t xml:space="preserve">– through the skin </w:t>
      </w:r>
    </w:p>
    <w:p w14:paraId="2E58014B" w14:textId="1A0AAEAE" w:rsidR="00570D22" w:rsidRPr="00897AC9" w:rsidRDefault="00570D22" w:rsidP="00570D22">
      <w:pPr>
        <w:pStyle w:val="Default"/>
        <w:numPr>
          <w:ilvl w:val="0"/>
          <w:numId w:val="3"/>
        </w:numPr>
        <w:spacing w:after="29"/>
      </w:pPr>
      <w:r w:rsidRPr="00897AC9">
        <w:rPr>
          <w:b/>
          <w:bCs/>
        </w:rPr>
        <w:t xml:space="preserve">ingestion </w:t>
      </w:r>
      <w:r w:rsidRPr="00897AC9">
        <w:t xml:space="preserve">– through the mouth </w:t>
      </w:r>
    </w:p>
    <w:p w14:paraId="01367643" w14:textId="26DBF92B" w:rsidR="00570D22" w:rsidRPr="00897AC9" w:rsidRDefault="00570D22" w:rsidP="00570D22">
      <w:pPr>
        <w:pStyle w:val="Default"/>
        <w:numPr>
          <w:ilvl w:val="0"/>
          <w:numId w:val="3"/>
        </w:numPr>
      </w:pPr>
      <w:r w:rsidRPr="00897AC9">
        <w:rPr>
          <w:b/>
          <w:bCs/>
        </w:rPr>
        <w:t xml:space="preserve">injection or penetrations </w:t>
      </w:r>
      <w:r w:rsidRPr="00897AC9">
        <w:t xml:space="preserve">– of the skin with a sharp object or wound which allows the substance to enter the blood supply </w:t>
      </w:r>
    </w:p>
    <w:p w14:paraId="21639DEA" w14:textId="77777777" w:rsidR="00570D22" w:rsidRPr="00897AC9" w:rsidRDefault="00570D22" w:rsidP="00570D22">
      <w:pPr>
        <w:pStyle w:val="Default"/>
      </w:pPr>
    </w:p>
    <w:p w14:paraId="05ADEEFB" w14:textId="77777777" w:rsidR="00570D22" w:rsidRDefault="00570D22" w:rsidP="00570D22">
      <w:pPr>
        <w:pStyle w:val="Default"/>
      </w:pPr>
      <w:r w:rsidRPr="00897AC9">
        <w:t xml:space="preserve">The effects of a substance can be: </w:t>
      </w:r>
    </w:p>
    <w:p w14:paraId="7CB5D168" w14:textId="77777777" w:rsidR="00570D22" w:rsidRPr="00897AC9" w:rsidRDefault="00570D22" w:rsidP="00570D22">
      <w:pPr>
        <w:pStyle w:val="Default"/>
      </w:pPr>
    </w:p>
    <w:p w14:paraId="662F9082" w14:textId="5FF2A3B0" w:rsidR="00570D22" w:rsidRPr="00897AC9" w:rsidRDefault="00570D22" w:rsidP="00570D22">
      <w:pPr>
        <w:pStyle w:val="Default"/>
        <w:numPr>
          <w:ilvl w:val="0"/>
          <w:numId w:val="4"/>
        </w:numPr>
        <w:spacing w:after="27"/>
      </w:pPr>
      <w:r w:rsidRPr="00897AC9">
        <w:rPr>
          <w:b/>
          <w:bCs/>
        </w:rPr>
        <w:t xml:space="preserve">acute </w:t>
      </w:r>
      <w:r w:rsidRPr="00897AC9">
        <w:t xml:space="preserve">– immediate usually short term effect from contact with a hazard to health </w:t>
      </w:r>
    </w:p>
    <w:p w14:paraId="49C7A7EA" w14:textId="7A7E7232" w:rsidR="00570D22" w:rsidRPr="00897AC9" w:rsidRDefault="00570D22" w:rsidP="00570D22">
      <w:pPr>
        <w:pStyle w:val="Default"/>
        <w:numPr>
          <w:ilvl w:val="0"/>
          <w:numId w:val="4"/>
        </w:numPr>
        <w:spacing w:after="27"/>
      </w:pPr>
      <w:r w:rsidRPr="00897AC9">
        <w:rPr>
          <w:b/>
          <w:bCs/>
        </w:rPr>
        <w:t xml:space="preserve">chronic </w:t>
      </w:r>
      <w:r w:rsidRPr="00897AC9">
        <w:t xml:space="preserve">– effect built up from exposure over a period of time </w:t>
      </w:r>
    </w:p>
    <w:p w14:paraId="0B8189F0" w14:textId="5FEFF182" w:rsidR="00570D22" w:rsidRPr="00897AC9" w:rsidRDefault="00570D22" w:rsidP="00570D22">
      <w:pPr>
        <w:pStyle w:val="Default"/>
        <w:numPr>
          <w:ilvl w:val="0"/>
          <w:numId w:val="4"/>
        </w:numPr>
      </w:pPr>
      <w:r w:rsidRPr="00897AC9">
        <w:rPr>
          <w:b/>
          <w:bCs/>
        </w:rPr>
        <w:t xml:space="preserve">local </w:t>
      </w:r>
      <w:r w:rsidRPr="00897AC9">
        <w:t xml:space="preserve">– effect is at point of contact </w:t>
      </w:r>
    </w:p>
    <w:p w14:paraId="03956C12" w14:textId="1310E01F" w:rsidR="00570D22" w:rsidRPr="00897AC9" w:rsidRDefault="00570D22" w:rsidP="00570D22">
      <w:pPr>
        <w:pStyle w:val="Default"/>
        <w:numPr>
          <w:ilvl w:val="0"/>
          <w:numId w:val="4"/>
        </w:numPr>
        <w:spacing w:after="27"/>
        <w:rPr>
          <w:color w:val="auto"/>
        </w:rPr>
      </w:pPr>
      <w:r w:rsidRPr="00897AC9">
        <w:rPr>
          <w:b/>
          <w:bCs/>
          <w:color w:val="auto"/>
        </w:rPr>
        <w:t xml:space="preserve">systemic </w:t>
      </w:r>
      <w:r w:rsidRPr="00897AC9">
        <w:rPr>
          <w:color w:val="auto"/>
        </w:rPr>
        <w:t xml:space="preserve">– effect at some other part of the body other than point of contact </w:t>
      </w:r>
    </w:p>
    <w:p w14:paraId="165FA4A4" w14:textId="0972BB37" w:rsidR="00570D22" w:rsidRPr="00661221" w:rsidRDefault="00570D22" w:rsidP="008757C7">
      <w:pPr>
        <w:pStyle w:val="Default"/>
        <w:numPr>
          <w:ilvl w:val="0"/>
          <w:numId w:val="5"/>
        </w:numPr>
        <w:rPr>
          <w:b/>
          <w:bCs/>
          <w:color w:val="auto"/>
        </w:rPr>
      </w:pPr>
      <w:proofErr w:type="gramStart"/>
      <w:r w:rsidRPr="00661221">
        <w:rPr>
          <w:b/>
          <w:bCs/>
          <w:color w:val="auto"/>
        </w:rPr>
        <w:t>sensitisation</w:t>
      </w:r>
      <w:proofErr w:type="gramEnd"/>
      <w:r w:rsidRPr="00661221">
        <w:rPr>
          <w:b/>
          <w:bCs/>
          <w:color w:val="auto"/>
        </w:rPr>
        <w:t xml:space="preserve"> </w:t>
      </w:r>
      <w:r w:rsidRPr="00661221">
        <w:rPr>
          <w:color w:val="auto"/>
        </w:rPr>
        <w:t>– particular organs become sensitised to a substance. A reaction to a very small concentration of the substance will then occur</w:t>
      </w:r>
    </w:p>
    <w:p w14:paraId="6E3BE099" w14:textId="77777777" w:rsidR="00661221" w:rsidRPr="00661221" w:rsidRDefault="00661221" w:rsidP="00661221">
      <w:pPr>
        <w:pStyle w:val="ListParagraph"/>
        <w:keepNext/>
        <w:numPr>
          <w:ilvl w:val="0"/>
          <w:numId w:val="10"/>
        </w:numPr>
        <w:spacing w:before="360" w:after="160" w:line="259" w:lineRule="auto"/>
        <w:ind w:left="1134" w:hanging="1134"/>
        <w:jc w:val="left"/>
        <w:outlineLvl w:val="0"/>
        <w:rPr>
          <w:rFonts w:eastAsiaTheme="majorEastAsia" w:cstheme="majorBidi"/>
          <w:b/>
          <w:sz w:val="28"/>
          <w:szCs w:val="28"/>
        </w:rPr>
      </w:pPr>
      <w:bookmarkStart w:id="6" w:name="_Toc873355"/>
      <w:r w:rsidRPr="00661221">
        <w:rPr>
          <w:rFonts w:eastAsiaTheme="majorEastAsia" w:cstheme="majorBidi"/>
          <w:b/>
          <w:sz w:val="28"/>
          <w:szCs w:val="28"/>
        </w:rPr>
        <w:t>Risk Assessment</w:t>
      </w:r>
      <w:bookmarkEnd w:id="6"/>
    </w:p>
    <w:p w14:paraId="0A243031" w14:textId="77777777" w:rsidR="00661221" w:rsidRPr="00661221" w:rsidRDefault="00661221" w:rsidP="00661221">
      <w:pPr>
        <w:spacing w:before="0"/>
        <w:jc w:val="left"/>
        <w:rPr>
          <w:rFonts w:cs="Arial"/>
          <w:szCs w:val="24"/>
          <w:lang w:val="en-US" w:eastAsia="en-GB"/>
        </w:rPr>
      </w:pPr>
      <w:r w:rsidRPr="00661221">
        <w:rPr>
          <w:rFonts w:cs="Arial"/>
          <w:szCs w:val="24"/>
          <w:lang w:val="en-US" w:eastAsia="en-GB"/>
        </w:rPr>
        <w:t>The COSHH assessment must be undertaken by a competent person who is familiar with the systems of work within the area being assessed.  It may be necessary to undertake more than one assessment for each area e.g. an assessment for nursing activities and another for housekeeping activities.</w:t>
      </w:r>
    </w:p>
    <w:p w14:paraId="29597CC7" w14:textId="77777777" w:rsidR="00661221" w:rsidRPr="00661221" w:rsidRDefault="00661221" w:rsidP="00661221">
      <w:pPr>
        <w:spacing w:before="0"/>
        <w:ind w:left="709" w:hanging="709"/>
        <w:jc w:val="left"/>
        <w:rPr>
          <w:rFonts w:cs="Arial"/>
          <w:szCs w:val="24"/>
          <w:lang w:val="en-US" w:eastAsia="en-GB"/>
        </w:rPr>
      </w:pPr>
    </w:p>
    <w:p w14:paraId="6914A1E0" w14:textId="77777777" w:rsidR="00661221" w:rsidRPr="00661221" w:rsidRDefault="00661221" w:rsidP="00661221">
      <w:pPr>
        <w:spacing w:before="0"/>
        <w:jc w:val="left"/>
        <w:rPr>
          <w:rFonts w:cs="Arial"/>
          <w:szCs w:val="24"/>
          <w:lang w:val="en-US" w:eastAsia="en-GB"/>
        </w:rPr>
      </w:pPr>
      <w:r w:rsidRPr="00661221">
        <w:rPr>
          <w:rFonts w:cs="Arial"/>
          <w:szCs w:val="24"/>
          <w:lang w:val="en-US" w:eastAsia="en-GB"/>
        </w:rPr>
        <w:t xml:space="preserve">It is the responsibility of managers to ensure that a COSHH assessment is undertaken for their </w:t>
      </w:r>
      <w:r w:rsidR="00C63B2C">
        <w:rPr>
          <w:rFonts w:cs="Arial"/>
          <w:szCs w:val="24"/>
          <w:lang w:val="en-US" w:eastAsia="en-GB"/>
        </w:rPr>
        <w:t xml:space="preserve">respective </w:t>
      </w:r>
      <w:r w:rsidRPr="00661221">
        <w:rPr>
          <w:rFonts w:cs="Arial"/>
          <w:szCs w:val="24"/>
          <w:lang w:val="en-US" w:eastAsia="en-GB"/>
        </w:rPr>
        <w:t xml:space="preserve">areas of responsibility and </w:t>
      </w:r>
      <w:r w:rsidR="00C63B2C">
        <w:rPr>
          <w:rFonts w:cs="Arial"/>
          <w:szCs w:val="24"/>
          <w:lang w:val="en-US" w:eastAsia="en-GB"/>
        </w:rPr>
        <w:t xml:space="preserve">that all </w:t>
      </w:r>
      <w:r w:rsidRPr="00661221">
        <w:rPr>
          <w:rFonts w:cs="Arial"/>
          <w:szCs w:val="24"/>
          <w:lang w:val="en-US" w:eastAsia="en-GB"/>
        </w:rPr>
        <w:t>their assessment documentation is kept up-to-date</w:t>
      </w:r>
      <w:r w:rsidR="00C63B2C">
        <w:rPr>
          <w:rFonts w:cs="Arial"/>
          <w:szCs w:val="24"/>
          <w:lang w:val="en-US" w:eastAsia="en-GB"/>
        </w:rPr>
        <w:t xml:space="preserve"> and is available for inspection during health and safety audits</w:t>
      </w:r>
      <w:r w:rsidRPr="00661221">
        <w:rPr>
          <w:rFonts w:cs="Arial"/>
          <w:szCs w:val="24"/>
          <w:lang w:val="en-US" w:eastAsia="en-GB"/>
        </w:rPr>
        <w:t xml:space="preserve">.  Where there are no substances hazardous to health within this area this must be clearly noted.  </w:t>
      </w:r>
    </w:p>
    <w:p w14:paraId="5793086F" w14:textId="77777777" w:rsidR="00661221" w:rsidRPr="00661221" w:rsidRDefault="00661221" w:rsidP="00661221">
      <w:pPr>
        <w:spacing w:before="0"/>
        <w:ind w:left="709" w:hanging="709"/>
        <w:jc w:val="left"/>
        <w:rPr>
          <w:rFonts w:ascii="Arial" w:hAnsi="Arial" w:cs="Arial"/>
          <w:szCs w:val="24"/>
          <w:lang w:val="en-US" w:eastAsia="en-GB"/>
        </w:rPr>
      </w:pPr>
    </w:p>
    <w:p w14:paraId="3EB7600B" w14:textId="5BF904A8" w:rsidR="00661221" w:rsidRPr="00661221" w:rsidRDefault="00661221" w:rsidP="00661221">
      <w:pPr>
        <w:spacing w:before="0"/>
        <w:jc w:val="left"/>
        <w:rPr>
          <w:rFonts w:cs="Arial"/>
          <w:szCs w:val="24"/>
          <w:lang w:val="en-US" w:eastAsia="en-GB"/>
        </w:rPr>
      </w:pPr>
      <w:r w:rsidRPr="00661221">
        <w:rPr>
          <w:rFonts w:cs="Arial"/>
          <w:szCs w:val="24"/>
          <w:lang w:val="en-US" w:eastAsia="en-GB"/>
        </w:rPr>
        <w:t>The Safety Data Sheet</w:t>
      </w:r>
      <w:r w:rsidR="0006397E">
        <w:rPr>
          <w:rFonts w:cs="Arial"/>
          <w:szCs w:val="24"/>
          <w:lang w:val="en-US" w:eastAsia="en-GB"/>
        </w:rPr>
        <w:t xml:space="preserve">s </w:t>
      </w:r>
      <w:r w:rsidRPr="00661221">
        <w:rPr>
          <w:rFonts w:cs="Arial"/>
          <w:szCs w:val="24"/>
          <w:lang w:val="en-US" w:eastAsia="en-GB"/>
        </w:rPr>
        <w:t>play a vital role when completing COSHH risk assessment</w:t>
      </w:r>
      <w:r w:rsidR="00621817">
        <w:rPr>
          <w:rFonts w:cs="Arial"/>
          <w:szCs w:val="24"/>
          <w:lang w:val="en-US" w:eastAsia="en-GB"/>
        </w:rPr>
        <w:t>s</w:t>
      </w:r>
      <w:r w:rsidRPr="00661221">
        <w:rPr>
          <w:rFonts w:cs="Arial"/>
          <w:szCs w:val="24"/>
          <w:lang w:val="en-US" w:eastAsia="en-GB"/>
        </w:rPr>
        <w:t xml:space="preserve"> as it provides key information on the hazardous substance, which is used to help identify control measures required.  It is important to understand that they are not a replacement for the risk assessment procedure.</w:t>
      </w:r>
    </w:p>
    <w:p w14:paraId="54FA73DD" w14:textId="77777777" w:rsidR="00554C9A" w:rsidRPr="00661221" w:rsidRDefault="00554C9A" w:rsidP="00661221">
      <w:pPr>
        <w:pStyle w:val="Heading1"/>
        <w:numPr>
          <w:ilvl w:val="0"/>
          <w:numId w:val="10"/>
        </w:numPr>
        <w:ind w:left="1134" w:hanging="1134"/>
        <w:rPr>
          <w:sz w:val="28"/>
          <w:szCs w:val="28"/>
        </w:rPr>
      </w:pPr>
      <w:bookmarkStart w:id="7" w:name="_Toc873356"/>
      <w:r w:rsidRPr="00661221">
        <w:rPr>
          <w:sz w:val="28"/>
          <w:szCs w:val="28"/>
        </w:rPr>
        <w:t>Safe Systems of Work</w:t>
      </w:r>
      <w:bookmarkEnd w:id="7"/>
    </w:p>
    <w:p w14:paraId="273BC545" w14:textId="77777777" w:rsidR="005C36BC" w:rsidRDefault="005C36BC" w:rsidP="005C36BC">
      <w:pPr>
        <w:pStyle w:val="Default"/>
        <w:rPr>
          <w:b/>
          <w:bCs/>
          <w:color w:val="auto"/>
        </w:rPr>
      </w:pPr>
    </w:p>
    <w:p w14:paraId="4B462808" w14:textId="325BD5FC" w:rsidR="005C36BC" w:rsidRDefault="005C36BC" w:rsidP="005C36BC">
      <w:pPr>
        <w:spacing w:before="0"/>
        <w:jc w:val="left"/>
        <w:rPr>
          <w:rFonts w:cs="Arial"/>
          <w:szCs w:val="24"/>
          <w:lang w:val="en-US" w:eastAsia="en-GB"/>
        </w:rPr>
      </w:pPr>
      <w:r w:rsidRPr="005C36BC">
        <w:rPr>
          <w:rFonts w:cs="Arial"/>
          <w:szCs w:val="24"/>
          <w:lang w:val="en-US" w:eastAsia="en-GB"/>
        </w:rPr>
        <w:t>Safe systems of work shall be documented and implemented for all work activities and shall include good hygiene practice, safe handling and disposal procedures.</w:t>
      </w:r>
      <w:r w:rsidR="00554C9A">
        <w:rPr>
          <w:rFonts w:cs="Arial"/>
          <w:szCs w:val="24"/>
          <w:lang w:val="en-US" w:eastAsia="en-GB"/>
        </w:rPr>
        <w:t xml:space="preserve"> </w:t>
      </w:r>
      <w:r w:rsidRPr="005C36BC">
        <w:rPr>
          <w:rFonts w:cs="Arial"/>
          <w:szCs w:val="24"/>
          <w:lang w:val="en-US" w:eastAsia="en-GB"/>
        </w:rPr>
        <w:t xml:space="preserve">Employees must be trained and supervised in the </w:t>
      </w:r>
      <w:r w:rsidR="00C63B2C">
        <w:rPr>
          <w:rFonts w:cs="Arial"/>
          <w:szCs w:val="24"/>
          <w:lang w:val="en-US" w:eastAsia="en-GB"/>
        </w:rPr>
        <w:t xml:space="preserve">appropriate </w:t>
      </w:r>
      <w:r w:rsidRPr="005C36BC">
        <w:rPr>
          <w:rFonts w:cs="Arial"/>
          <w:szCs w:val="24"/>
          <w:lang w:val="en-US" w:eastAsia="en-GB"/>
        </w:rPr>
        <w:t>systems to maintain safety for themselves and others who may be affected by the work</w:t>
      </w:r>
      <w:r w:rsidR="00C63B2C">
        <w:rPr>
          <w:rFonts w:cs="Arial"/>
          <w:szCs w:val="24"/>
          <w:lang w:val="en-US" w:eastAsia="en-GB"/>
        </w:rPr>
        <w:t xml:space="preserve"> being undertaken</w:t>
      </w:r>
      <w:r w:rsidRPr="005C36BC">
        <w:rPr>
          <w:rFonts w:cs="Arial"/>
          <w:szCs w:val="24"/>
          <w:lang w:val="en-US" w:eastAsia="en-GB"/>
        </w:rPr>
        <w:t>.</w:t>
      </w:r>
      <w:r w:rsidRPr="00554C9A">
        <w:rPr>
          <w:rFonts w:cs="Arial"/>
          <w:szCs w:val="24"/>
          <w:lang w:val="en-US" w:eastAsia="en-GB"/>
        </w:rPr>
        <w:t xml:space="preserve"> </w:t>
      </w:r>
      <w:r w:rsidR="00C63B2C">
        <w:rPr>
          <w:rFonts w:cs="Arial"/>
          <w:szCs w:val="24"/>
          <w:lang w:val="en-US" w:eastAsia="en-GB"/>
        </w:rPr>
        <w:t>It is essential that a</w:t>
      </w:r>
      <w:r w:rsidRPr="005C36BC">
        <w:rPr>
          <w:rFonts w:cs="Arial"/>
          <w:szCs w:val="24"/>
          <w:lang w:val="en-US" w:eastAsia="en-GB"/>
        </w:rPr>
        <w:t xml:space="preserve">ll control measures </w:t>
      </w:r>
      <w:r w:rsidR="00C63B2C">
        <w:rPr>
          <w:rFonts w:cs="Arial"/>
          <w:szCs w:val="24"/>
          <w:lang w:val="en-US" w:eastAsia="en-GB"/>
        </w:rPr>
        <w:t xml:space="preserve">must be followed as intended </w:t>
      </w:r>
      <w:r w:rsidRPr="005C36BC">
        <w:rPr>
          <w:rFonts w:cs="Arial"/>
          <w:szCs w:val="24"/>
          <w:lang w:val="en-US" w:eastAsia="en-GB"/>
        </w:rPr>
        <w:t xml:space="preserve">and </w:t>
      </w:r>
      <w:r w:rsidR="00C63B2C">
        <w:rPr>
          <w:rFonts w:cs="Arial"/>
          <w:szCs w:val="24"/>
          <w:lang w:val="en-US" w:eastAsia="en-GB"/>
        </w:rPr>
        <w:t xml:space="preserve">any and all </w:t>
      </w:r>
      <w:r w:rsidRPr="005C36BC">
        <w:rPr>
          <w:rFonts w:cs="Arial"/>
          <w:szCs w:val="24"/>
          <w:lang w:val="en-US" w:eastAsia="en-GB"/>
        </w:rPr>
        <w:t>defects reported promptly to managers.</w:t>
      </w:r>
    </w:p>
    <w:p w14:paraId="4888D3F5" w14:textId="77777777" w:rsidR="00DF6F46" w:rsidRPr="00C25357" w:rsidRDefault="00DF6F46" w:rsidP="00C25357">
      <w:pPr>
        <w:pStyle w:val="ListParagraph"/>
        <w:keepNext/>
        <w:numPr>
          <w:ilvl w:val="0"/>
          <w:numId w:val="10"/>
        </w:numPr>
        <w:spacing w:before="360" w:after="160" w:line="259" w:lineRule="auto"/>
        <w:ind w:left="1134" w:hanging="1134"/>
        <w:jc w:val="left"/>
        <w:outlineLvl w:val="0"/>
        <w:rPr>
          <w:rFonts w:eastAsiaTheme="majorEastAsia" w:cstheme="majorBidi"/>
          <w:b/>
          <w:sz w:val="28"/>
          <w:szCs w:val="28"/>
        </w:rPr>
      </w:pPr>
      <w:bookmarkStart w:id="8" w:name="_Toc476746202"/>
      <w:bookmarkStart w:id="9" w:name="_Toc873357"/>
      <w:r w:rsidRPr="00C25357">
        <w:rPr>
          <w:rFonts w:eastAsiaTheme="majorEastAsia" w:cstheme="majorBidi"/>
          <w:b/>
          <w:sz w:val="28"/>
          <w:szCs w:val="28"/>
        </w:rPr>
        <w:t>Principles of Good Control Practice</w:t>
      </w:r>
      <w:bookmarkEnd w:id="8"/>
      <w:bookmarkEnd w:id="9"/>
      <w:r w:rsidRPr="00C25357">
        <w:rPr>
          <w:rFonts w:eastAsiaTheme="majorEastAsia" w:cstheme="majorBidi"/>
          <w:b/>
          <w:sz w:val="28"/>
          <w:szCs w:val="28"/>
        </w:rPr>
        <w:t xml:space="preserve"> </w:t>
      </w:r>
    </w:p>
    <w:p w14:paraId="44383F09" w14:textId="77777777" w:rsidR="00DF6F46" w:rsidRPr="00C25357" w:rsidRDefault="00DF6F46" w:rsidP="00DF6F46">
      <w:pPr>
        <w:autoSpaceDE w:val="0"/>
        <w:autoSpaceDN w:val="0"/>
        <w:adjustRightInd w:val="0"/>
        <w:spacing w:before="0"/>
        <w:jc w:val="left"/>
        <w:rPr>
          <w:rFonts w:eastAsiaTheme="minorHAnsi" w:cs="Arial"/>
          <w:szCs w:val="24"/>
        </w:rPr>
      </w:pPr>
    </w:p>
    <w:p w14:paraId="3CD71EBA" w14:textId="26943D8A" w:rsidR="00DF6F46" w:rsidRPr="00DF6F46" w:rsidRDefault="00C63B2C" w:rsidP="00DF6F46">
      <w:pPr>
        <w:numPr>
          <w:ilvl w:val="0"/>
          <w:numId w:val="8"/>
        </w:numPr>
        <w:autoSpaceDE w:val="0"/>
        <w:autoSpaceDN w:val="0"/>
        <w:adjustRightInd w:val="0"/>
        <w:spacing w:before="0" w:after="20" w:line="259" w:lineRule="auto"/>
        <w:jc w:val="left"/>
        <w:rPr>
          <w:rFonts w:eastAsiaTheme="minorHAnsi" w:cs="Arial"/>
          <w:color w:val="000000"/>
          <w:szCs w:val="24"/>
        </w:rPr>
      </w:pPr>
      <w:r>
        <w:rPr>
          <w:rFonts w:eastAsiaTheme="minorHAnsi" w:cs="Arial"/>
          <w:color w:val="000000"/>
          <w:szCs w:val="24"/>
        </w:rPr>
        <w:t>d</w:t>
      </w:r>
      <w:r w:rsidR="00DF6F46" w:rsidRPr="00DF6F46">
        <w:rPr>
          <w:rFonts w:eastAsiaTheme="minorHAnsi" w:cs="Arial"/>
          <w:color w:val="000000"/>
          <w:szCs w:val="24"/>
        </w:rPr>
        <w:t>esign and operate processes to minimise emission, release and spread of all substances identified in COSHH regulations</w:t>
      </w:r>
      <w:r w:rsidR="004D6CEB">
        <w:rPr>
          <w:rFonts w:eastAsiaTheme="minorHAnsi" w:cs="Arial"/>
          <w:color w:val="000000"/>
          <w:szCs w:val="24"/>
        </w:rPr>
        <w:t>;</w:t>
      </w:r>
    </w:p>
    <w:p w14:paraId="23C292F9" w14:textId="080F946A" w:rsidR="00DF6F46" w:rsidRPr="00DF6F46" w:rsidRDefault="00C63B2C" w:rsidP="00DF6F46">
      <w:pPr>
        <w:numPr>
          <w:ilvl w:val="0"/>
          <w:numId w:val="8"/>
        </w:numPr>
        <w:autoSpaceDE w:val="0"/>
        <w:autoSpaceDN w:val="0"/>
        <w:adjustRightInd w:val="0"/>
        <w:spacing w:before="0" w:after="20" w:line="259" w:lineRule="auto"/>
        <w:jc w:val="left"/>
        <w:rPr>
          <w:rFonts w:eastAsiaTheme="minorHAnsi" w:cs="Arial"/>
          <w:color w:val="000000"/>
          <w:szCs w:val="24"/>
        </w:rPr>
      </w:pPr>
      <w:r>
        <w:rPr>
          <w:rFonts w:eastAsiaTheme="minorHAnsi" w:cs="Arial"/>
          <w:color w:val="000000"/>
          <w:szCs w:val="24"/>
        </w:rPr>
        <w:t>t</w:t>
      </w:r>
      <w:r w:rsidR="00DF6F46" w:rsidRPr="00DF6F46">
        <w:rPr>
          <w:rFonts w:eastAsiaTheme="minorHAnsi" w:cs="Arial"/>
          <w:color w:val="000000"/>
          <w:szCs w:val="24"/>
        </w:rPr>
        <w:t>ake into account all relevant routes of exposure - inhalation, skin absorption, injection and ingestion - when developing control measures</w:t>
      </w:r>
      <w:r w:rsidR="004D6CEB">
        <w:rPr>
          <w:rFonts w:eastAsiaTheme="minorHAnsi" w:cs="Arial"/>
          <w:color w:val="000000"/>
          <w:szCs w:val="24"/>
        </w:rPr>
        <w:t>;</w:t>
      </w:r>
      <w:r w:rsidR="00DF6F46" w:rsidRPr="00DF6F46">
        <w:rPr>
          <w:rFonts w:eastAsiaTheme="minorHAnsi" w:cs="Arial"/>
          <w:color w:val="000000"/>
          <w:szCs w:val="24"/>
        </w:rPr>
        <w:t xml:space="preserve"> </w:t>
      </w:r>
    </w:p>
    <w:p w14:paraId="7A8D2648" w14:textId="23C13C7D" w:rsidR="00DF6F46" w:rsidRPr="00DF6F46" w:rsidRDefault="00C63B2C" w:rsidP="00DF6F46">
      <w:pPr>
        <w:numPr>
          <w:ilvl w:val="0"/>
          <w:numId w:val="8"/>
        </w:numPr>
        <w:autoSpaceDE w:val="0"/>
        <w:autoSpaceDN w:val="0"/>
        <w:adjustRightInd w:val="0"/>
        <w:spacing w:before="0" w:after="20" w:line="259" w:lineRule="auto"/>
        <w:jc w:val="left"/>
        <w:rPr>
          <w:rFonts w:eastAsiaTheme="minorHAnsi" w:cs="Arial"/>
          <w:color w:val="000000"/>
          <w:szCs w:val="24"/>
        </w:rPr>
      </w:pPr>
      <w:r>
        <w:rPr>
          <w:rFonts w:eastAsiaTheme="minorHAnsi" w:cs="Arial"/>
          <w:color w:val="000000"/>
          <w:szCs w:val="24"/>
        </w:rPr>
        <w:t>c</w:t>
      </w:r>
      <w:r w:rsidR="00DF6F46" w:rsidRPr="00DF6F46">
        <w:rPr>
          <w:rFonts w:eastAsiaTheme="minorHAnsi" w:cs="Arial"/>
          <w:color w:val="000000"/>
          <w:szCs w:val="24"/>
        </w:rPr>
        <w:t>ontrol exposure by measures proportionate to the health risk</w:t>
      </w:r>
      <w:r w:rsidR="004D6CEB">
        <w:rPr>
          <w:rFonts w:eastAsiaTheme="minorHAnsi" w:cs="Arial"/>
          <w:color w:val="000000"/>
          <w:szCs w:val="24"/>
        </w:rPr>
        <w:t>;</w:t>
      </w:r>
      <w:r w:rsidR="00DF6F46" w:rsidRPr="00DF6F46">
        <w:rPr>
          <w:rFonts w:eastAsiaTheme="minorHAnsi" w:cs="Arial"/>
          <w:color w:val="000000"/>
          <w:szCs w:val="24"/>
        </w:rPr>
        <w:t xml:space="preserve"> </w:t>
      </w:r>
    </w:p>
    <w:p w14:paraId="14029178" w14:textId="708CA802" w:rsidR="00DF6F46" w:rsidRPr="00DF6F46" w:rsidRDefault="00C63B2C" w:rsidP="00DF6F46">
      <w:pPr>
        <w:numPr>
          <w:ilvl w:val="0"/>
          <w:numId w:val="8"/>
        </w:numPr>
        <w:autoSpaceDE w:val="0"/>
        <w:autoSpaceDN w:val="0"/>
        <w:adjustRightInd w:val="0"/>
        <w:spacing w:before="0" w:after="20" w:line="259" w:lineRule="auto"/>
        <w:jc w:val="left"/>
        <w:rPr>
          <w:rFonts w:eastAsiaTheme="minorHAnsi" w:cs="Arial"/>
          <w:color w:val="000000"/>
          <w:szCs w:val="24"/>
        </w:rPr>
      </w:pPr>
      <w:r>
        <w:rPr>
          <w:rFonts w:eastAsiaTheme="minorHAnsi" w:cs="Arial"/>
          <w:color w:val="000000"/>
          <w:szCs w:val="24"/>
        </w:rPr>
        <w:t>c</w:t>
      </w:r>
      <w:r w:rsidR="00DF6F46" w:rsidRPr="00DF6F46">
        <w:rPr>
          <w:rFonts w:eastAsiaTheme="minorHAnsi" w:cs="Arial"/>
          <w:color w:val="000000"/>
          <w:szCs w:val="24"/>
        </w:rPr>
        <w:t xml:space="preserve">hoose </w:t>
      </w:r>
      <w:r w:rsidR="007C4BB3">
        <w:rPr>
          <w:rFonts w:eastAsiaTheme="minorHAnsi" w:cs="Arial"/>
          <w:color w:val="000000"/>
          <w:szCs w:val="24"/>
        </w:rPr>
        <w:t xml:space="preserve">the </w:t>
      </w:r>
      <w:r w:rsidR="00DF6F46" w:rsidRPr="00DF6F46">
        <w:rPr>
          <w:rFonts w:eastAsiaTheme="minorHAnsi" w:cs="Arial"/>
          <w:color w:val="000000"/>
          <w:szCs w:val="24"/>
        </w:rPr>
        <w:t>most effective and reliable control options which minimise escape and spread of contaminant from sources</w:t>
      </w:r>
      <w:r w:rsidR="004D6CEB">
        <w:rPr>
          <w:rFonts w:eastAsiaTheme="minorHAnsi" w:cs="Arial"/>
          <w:color w:val="000000"/>
          <w:szCs w:val="24"/>
        </w:rPr>
        <w:t>;</w:t>
      </w:r>
      <w:r w:rsidR="00DF6F46" w:rsidRPr="00DF6F46">
        <w:rPr>
          <w:rFonts w:eastAsiaTheme="minorHAnsi" w:cs="Arial"/>
          <w:color w:val="000000"/>
          <w:szCs w:val="24"/>
        </w:rPr>
        <w:t xml:space="preserve"> </w:t>
      </w:r>
    </w:p>
    <w:p w14:paraId="41935F11" w14:textId="73D1982D" w:rsidR="00DF6F46" w:rsidRPr="00DF6F46" w:rsidRDefault="00C63B2C" w:rsidP="00DF6F46">
      <w:pPr>
        <w:numPr>
          <w:ilvl w:val="0"/>
          <w:numId w:val="8"/>
        </w:numPr>
        <w:autoSpaceDE w:val="0"/>
        <w:autoSpaceDN w:val="0"/>
        <w:adjustRightInd w:val="0"/>
        <w:spacing w:before="0" w:after="20" w:line="259" w:lineRule="auto"/>
        <w:jc w:val="left"/>
        <w:rPr>
          <w:rFonts w:eastAsiaTheme="minorHAnsi" w:cs="Arial"/>
          <w:color w:val="000000"/>
          <w:szCs w:val="24"/>
        </w:rPr>
      </w:pPr>
      <w:r>
        <w:rPr>
          <w:rFonts w:eastAsiaTheme="minorHAnsi" w:cs="Arial"/>
          <w:color w:val="000000"/>
          <w:szCs w:val="24"/>
        </w:rPr>
        <w:t>w</w:t>
      </w:r>
      <w:r w:rsidR="00DF6F46" w:rsidRPr="00DF6F46">
        <w:rPr>
          <w:rFonts w:eastAsiaTheme="minorHAnsi" w:cs="Arial"/>
          <w:color w:val="000000"/>
          <w:szCs w:val="24"/>
        </w:rPr>
        <w:t xml:space="preserve">here adequate control is not reasonably practicable by other means, provide suitable Personal Protective Equipment (PPE) in combination with other measures </w:t>
      </w:r>
      <w:r w:rsidR="007C4BB3">
        <w:rPr>
          <w:rFonts w:eastAsiaTheme="minorHAnsi" w:cs="Arial"/>
          <w:color w:val="000000"/>
          <w:szCs w:val="24"/>
        </w:rPr>
        <w:t>as necessary</w:t>
      </w:r>
      <w:r w:rsidR="004D6CEB">
        <w:rPr>
          <w:rFonts w:eastAsiaTheme="minorHAnsi" w:cs="Arial"/>
          <w:color w:val="000000"/>
          <w:szCs w:val="24"/>
        </w:rPr>
        <w:t>;</w:t>
      </w:r>
      <w:r w:rsidR="007C4BB3">
        <w:rPr>
          <w:rFonts w:eastAsiaTheme="minorHAnsi" w:cs="Arial"/>
          <w:color w:val="000000"/>
          <w:szCs w:val="24"/>
        </w:rPr>
        <w:t xml:space="preserve"> </w:t>
      </w:r>
    </w:p>
    <w:p w14:paraId="4DB2EB0A" w14:textId="7D2B54F3" w:rsidR="00DF6F46" w:rsidRPr="00DF6F46" w:rsidRDefault="00C63B2C" w:rsidP="00DF6F46">
      <w:pPr>
        <w:numPr>
          <w:ilvl w:val="0"/>
          <w:numId w:val="8"/>
        </w:numPr>
        <w:autoSpaceDE w:val="0"/>
        <w:autoSpaceDN w:val="0"/>
        <w:adjustRightInd w:val="0"/>
        <w:spacing w:before="0" w:after="20" w:line="259" w:lineRule="auto"/>
        <w:jc w:val="left"/>
        <w:rPr>
          <w:rFonts w:eastAsiaTheme="minorHAnsi" w:cs="Arial"/>
          <w:color w:val="000000"/>
          <w:szCs w:val="24"/>
        </w:rPr>
      </w:pPr>
      <w:r>
        <w:rPr>
          <w:rFonts w:eastAsiaTheme="minorHAnsi" w:cs="Arial"/>
          <w:color w:val="000000"/>
          <w:szCs w:val="24"/>
        </w:rPr>
        <w:t>c</w:t>
      </w:r>
      <w:r w:rsidR="00DF6F46" w:rsidRPr="00DF6F46">
        <w:rPr>
          <w:rFonts w:eastAsiaTheme="minorHAnsi" w:cs="Arial"/>
          <w:color w:val="000000"/>
          <w:szCs w:val="24"/>
        </w:rPr>
        <w:t>heck and review regularly, all elements of control measures for continuing effectiveness</w:t>
      </w:r>
      <w:r w:rsidR="004D6CEB">
        <w:rPr>
          <w:rFonts w:eastAsiaTheme="minorHAnsi" w:cs="Arial"/>
          <w:color w:val="000000"/>
          <w:szCs w:val="24"/>
        </w:rPr>
        <w:t>;</w:t>
      </w:r>
      <w:r w:rsidR="00DF6F46" w:rsidRPr="00DF6F46">
        <w:rPr>
          <w:rFonts w:eastAsiaTheme="minorHAnsi" w:cs="Arial"/>
          <w:color w:val="000000"/>
          <w:szCs w:val="24"/>
        </w:rPr>
        <w:t xml:space="preserve"> </w:t>
      </w:r>
    </w:p>
    <w:p w14:paraId="63EFACA2" w14:textId="29DE6F9D" w:rsidR="007C4BB3" w:rsidRDefault="00C63B2C" w:rsidP="00DF6F46">
      <w:pPr>
        <w:numPr>
          <w:ilvl w:val="0"/>
          <w:numId w:val="8"/>
        </w:numPr>
        <w:autoSpaceDE w:val="0"/>
        <w:autoSpaceDN w:val="0"/>
        <w:adjustRightInd w:val="0"/>
        <w:spacing w:before="0" w:after="20" w:line="259" w:lineRule="auto"/>
        <w:jc w:val="left"/>
        <w:rPr>
          <w:rFonts w:eastAsiaTheme="minorHAnsi" w:cs="Arial"/>
          <w:color w:val="000000"/>
          <w:szCs w:val="24"/>
        </w:rPr>
      </w:pPr>
      <w:r>
        <w:rPr>
          <w:rFonts w:eastAsiaTheme="minorHAnsi" w:cs="Arial"/>
          <w:color w:val="000000"/>
          <w:szCs w:val="24"/>
        </w:rPr>
        <w:t>i</w:t>
      </w:r>
      <w:r w:rsidR="00DF6F46" w:rsidRPr="00DF6F46">
        <w:rPr>
          <w:rFonts w:eastAsiaTheme="minorHAnsi" w:cs="Arial"/>
          <w:color w:val="000000"/>
          <w:szCs w:val="24"/>
        </w:rPr>
        <w:t>nform &amp; train all employees on hazards and risks from substances and use of control measures</w:t>
      </w:r>
      <w:r w:rsidR="004D6CEB">
        <w:rPr>
          <w:rFonts w:eastAsiaTheme="minorHAnsi" w:cs="Arial"/>
          <w:color w:val="000000"/>
          <w:szCs w:val="24"/>
        </w:rPr>
        <w:t>;</w:t>
      </w:r>
    </w:p>
    <w:p w14:paraId="7CBEA00F" w14:textId="2F63B7D6" w:rsidR="00DF6F46" w:rsidRPr="00DF6F46" w:rsidRDefault="007C4BB3" w:rsidP="00DF6F46">
      <w:pPr>
        <w:numPr>
          <w:ilvl w:val="0"/>
          <w:numId w:val="8"/>
        </w:numPr>
        <w:autoSpaceDE w:val="0"/>
        <w:autoSpaceDN w:val="0"/>
        <w:adjustRightInd w:val="0"/>
        <w:spacing w:before="0" w:after="20" w:line="259" w:lineRule="auto"/>
        <w:jc w:val="left"/>
        <w:rPr>
          <w:rFonts w:eastAsiaTheme="minorHAnsi" w:cs="Arial"/>
          <w:color w:val="000000"/>
          <w:szCs w:val="24"/>
        </w:rPr>
      </w:pPr>
      <w:proofErr w:type="gramStart"/>
      <w:r>
        <w:rPr>
          <w:rFonts w:eastAsiaTheme="minorHAnsi" w:cs="Arial"/>
          <w:color w:val="000000"/>
          <w:szCs w:val="24"/>
        </w:rPr>
        <w:t>e</w:t>
      </w:r>
      <w:r w:rsidR="00DF6F46" w:rsidRPr="00DF6F46">
        <w:rPr>
          <w:rFonts w:eastAsiaTheme="minorHAnsi" w:cs="Arial"/>
          <w:color w:val="000000"/>
          <w:szCs w:val="24"/>
        </w:rPr>
        <w:t>nsure</w:t>
      </w:r>
      <w:proofErr w:type="gramEnd"/>
      <w:r w:rsidR="00DF6F46" w:rsidRPr="00DF6F46">
        <w:rPr>
          <w:rFonts w:eastAsiaTheme="minorHAnsi" w:cs="Arial"/>
          <w:color w:val="000000"/>
          <w:szCs w:val="24"/>
        </w:rPr>
        <w:t xml:space="preserve"> introduction of control measures does not increase overall risk</w:t>
      </w:r>
      <w:r w:rsidR="004D6CEB">
        <w:rPr>
          <w:rFonts w:eastAsiaTheme="minorHAnsi" w:cs="Arial"/>
          <w:color w:val="000000"/>
          <w:szCs w:val="24"/>
        </w:rPr>
        <w:t>.</w:t>
      </w:r>
      <w:r w:rsidR="00DF6F46" w:rsidRPr="00DF6F46">
        <w:rPr>
          <w:rFonts w:eastAsiaTheme="minorHAnsi" w:cs="Arial"/>
          <w:color w:val="000000"/>
          <w:szCs w:val="24"/>
        </w:rPr>
        <w:t xml:space="preserve"> </w:t>
      </w:r>
    </w:p>
    <w:p w14:paraId="380F5E27" w14:textId="77777777" w:rsidR="00DF6F46" w:rsidRPr="00DF6F46" w:rsidRDefault="00DF6F46" w:rsidP="00DF6F46">
      <w:pPr>
        <w:autoSpaceDE w:val="0"/>
        <w:autoSpaceDN w:val="0"/>
        <w:adjustRightInd w:val="0"/>
        <w:spacing w:before="0"/>
        <w:jc w:val="left"/>
        <w:rPr>
          <w:rFonts w:eastAsiaTheme="minorHAnsi" w:cs="Arial"/>
          <w:color w:val="000000"/>
          <w:szCs w:val="24"/>
        </w:rPr>
      </w:pPr>
    </w:p>
    <w:p w14:paraId="409BDE00" w14:textId="77777777" w:rsidR="00DF6F46" w:rsidRPr="00DF6F46" w:rsidRDefault="00DF6F46" w:rsidP="00DF6F46">
      <w:pPr>
        <w:autoSpaceDE w:val="0"/>
        <w:autoSpaceDN w:val="0"/>
        <w:adjustRightInd w:val="0"/>
        <w:spacing w:before="0"/>
        <w:jc w:val="left"/>
        <w:rPr>
          <w:rFonts w:eastAsiaTheme="minorHAnsi" w:cs="Arial"/>
          <w:color w:val="000000"/>
          <w:szCs w:val="24"/>
        </w:rPr>
      </w:pPr>
      <w:r w:rsidRPr="00DF6F46">
        <w:rPr>
          <w:rFonts w:eastAsiaTheme="minorHAnsi" w:cs="Arial"/>
          <w:color w:val="000000"/>
          <w:szCs w:val="24"/>
        </w:rPr>
        <w:t xml:space="preserve">For the vast majority of commercial chemicals, the presence (or not) of a warning label will indicate whether COSHH is relevant. For example, household washing up liquid doesn’t have a warning label but bleach does, so COSHH applies to bleach but not washing up liquid when used at work. </w:t>
      </w:r>
    </w:p>
    <w:p w14:paraId="36A08C0E" w14:textId="77777777" w:rsidR="00570D22" w:rsidRPr="00661221" w:rsidRDefault="00570D22" w:rsidP="00661221">
      <w:pPr>
        <w:pStyle w:val="Heading1"/>
        <w:numPr>
          <w:ilvl w:val="0"/>
          <w:numId w:val="10"/>
        </w:numPr>
        <w:ind w:left="1134" w:hanging="1134"/>
        <w:rPr>
          <w:sz w:val="28"/>
          <w:szCs w:val="28"/>
        </w:rPr>
      </w:pPr>
      <w:bookmarkStart w:id="10" w:name="_Toc873358"/>
      <w:r w:rsidRPr="00661221">
        <w:rPr>
          <w:sz w:val="28"/>
          <w:szCs w:val="28"/>
        </w:rPr>
        <w:t>Training, Information, Instruction and Communication</w:t>
      </w:r>
      <w:bookmarkEnd w:id="10"/>
    </w:p>
    <w:p w14:paraId="4829B7B2" w14:textId="77777777" w:rsidR="00570D22" w:rsidRDefault="00570D22" w:rsidP="00570D22">
      <w:r>
        <w:t>There is a legal requirement under COSHH Regulations for the organisation to provide suitable and sufficient training, information and instruction:</w:t>
      </w:r>
    </w:p>
    <w:p w14:paraId="037913DD" w14:textId="5150792C" w:rsidR="00570D22" w:rsidRDefault="00570D22" w:rsidP="007C4BB3">
      <w:pPr>
        <w:pStyle w:val="ListParagraph"/>
        <w:numPr>
          <w:ilvl w:val="0"/>
          <w:numId w:val="5"/>
        </w:numPr>
        <w:ind w:left="567"/>
      </w:pPr>
      <w:r>
        <w:t>to all employees who use potentially hazardous substances</w:t>
      </w:r>
    </w:p>
    <w:p w14:paraId="56FBC3D9" w14:textId="17455E49" w:rsidR="00570D22" w:rsidRDefault="00570D22" w:rsidP="007C4BB3">
      <w:pPr>
        <w:pStyle w:val="ListParagraph"/>
        <w:numPr>
          <w:ilvl w:val="0"/>
          <w:numId w:val="5"/>
        </w:numPr>
        <w:ind w:left="567"/>
      </w:pPr>
      <w:r>
        <w:t xml:space="preserve">on any significant risks to health and the precautions which should be taken; on monitoring of exposure </w:t>
      </w:r>
    </w:p>
    <w:p w14:paraId="13954F60" w14:textId="5B3ECD11" w:rsidR="00570D22" w:rsidRDefault="00570D22" w:rsidP="007C4BB3">
      <w:pPr>
        <w:pStyle w:val="ListParagraph"/>
        <w:numPr>
          <w:ilvl w:val="0"/>
          <w:numId w:val="5"/>
        </w:numPr>
        <w:ind w:left="567"/>
      </w:pPr>
      <w:r>
        <w:t xml:space="preserve">on collective results of health surveillance </w:t>
      </w:r>
    </w:p>
    <w:p w14:paraId="6212CCCC" w14:textId="77777777" w:rsidR="00570D22" w:rsidRDefault="00570D22" w:rsidP="007C4BB3">
      <w:pPr>
        <w:pStyle w:val="ListParagraph"/>
        <w:numPr>
          <w:ilvl w:val="0"/>
          <w:numId w:val="5"/>
        </w:numPr>
        <w:ind w:left="567"/>
      </w:pPr>
      <w:proofErr w:type="gramStart"/>
      <w:r>
        <w:t>on</w:t>
      </w:r>
      <w:proofErr w:type="gramEnd"/>
      <w:r>
        <w:t xml:space="preserve"> procedures for dealing with incidents and emergencies. </w:t>
      </w:r>
    </w:p>
    <w:p w14:paraId="06478D6C" w14:textId="77777777" w:rsidR="00570D22" w:rsidRPr="00570D22" w:rsidRDefault="00570D22" w:rsidP="00570D22">
      <w:r>
        <w:t>Following the completion of a COSHH risk assessment the need for information, instruction and training must be considered and appropriate arrangements made by the manager.</w:t>
      </w:r>
    </w:p>
    <w:p w14:paraId="02091D83" w14:textId="77777777" w:rsidR="00570D22" w:rsidRPr="00661221" w:rsidRDefault="00570D22" w:rsidP="00661221">
      <w:pPr>
        <w:pStyle w:val="Heading1"/>
        <w:numPr>
          <w:ilvl w:val="0"/>
          <w:numId w:val="10"/>
        </w:numPr>
        <w:ind w:left="1134" w:hanging="1134"/>
        <w:rPr>
          <w:sz w:val="28"/>
          <w:szCs w:val="28"/>
        </w:rPr>
      </w:pPr>
      <w:bookmarkStart w:id="11" w:name="_Toc873359"/>
      <w:r w:rsidRPr="00661221">
        <w:rPr>
          <w:sz w:val="28"/>
          <w:szCs w:val="28"/>
        </w:rPr>
        <w:t xml:space="preserve">Monitoring and </w:t>
      </w:r>
      <w:r w:rsidR="005C36BC" w:rsidRPr="00661221">
        <w:rPr>
          <w:sz w:val="28"/>
          <w:szCs w:val="28"/>
        </w:rPr>
        <w:t>Auditing</w:t>
      </w:r>
      <w:bookmarkEnd w:id="11"/>
    </w:p>
    <w:p w14:paraId="32BDE3B0" w14:textId="4C7EC395" w:rsidR="005C36BC" w:rsidRDefault="005C36BC" w:rsidP="005C36BC">
      <w:r>
        <w:t>Routine surveillance of an individual’s health must be undertaken when</w:t>
      </w:r>
      <w:r w:rsidR="007C4BB3">
        <w:t xml:space="preserve"> and where </w:t>
      </w:r>
      <w:r>
        <w:t xml:space="preserve">it is warranted by the degree of exposure and the nature of the </w:t>
      </w:r>
      <w:r w:rsidR="007C4BB3">
        <w:t xml:space="preserve">potential </w:t>
      </w:r>
      <w:r>
        <w:t xml:space="preserve">effects.  Health surveillance for those regularly using substances that pose a risk to health should be undertaken by the Occupational Health </w:t>
      </w:r>
      <w:r w:rsidR="007C4BB3">
        <w:t xml:space="preserve">service </w:t>
      </w:r>
      <w:r w:rsidR="00E2647A">
        <w:t>provider</w:t>
      </w:r>
      <w:r>
        <w:t xml:space="preserve">. Any health surveillance will be determined by the Risk Assessment and the responsible manager or supervisor should contact the </w:t>
      </w:r>
      <w:r w:rsidR="007C4BB3">
        <w:t>O</w:t>
      </w:r>
      <w:r>
        <w:t xml:space="preserve">ccupational </w:t>
      </w:r>
      <w:r w:rsidR="007C4BB3">
        <w:t>H</w:t>
      </w:r>
      <w:r>
        <w:t xml:space="preserve">ealth </w:t>
      </w:r>
      <w:r w:rsidR="007C4BB3">
        <w:t>Service</w:t>
      </w:r>
      <w:r w:rsidR="00E2647A">
        <w:t xml:space="preserve"> provider</w:t>
      </w:r>
      <w:r>
        <w:t xml:space="preserve">. </w:t>
      </w:r>
    </w:p>
    <w:p w14:paraId="39D49A27" w14:textId="5108DC91" w:rsidR="005C36BC" w:rsidRDefault="005C36BC" w:rsidP="005C36BC">
      <w:pPr>
        <w:jc w:val="left"/>
      </w:pPr>
      <w:r>
        <w:t xml:space="preserve">Where there is substantial exposure to skin irritants, the regular checking of hands and forearms should be considered </w:t>
      </w:r>
      <w:r w:rsidR="007C4BB3">
        <w:t xml:space="preserve">so as to inform the </w:t>
      </w:r>
      <w:r>
        <w:t>early detection of dermatitis. Where health surveillance is provided, records shall be kept in a</w:t>
      </w:r>
      <w:r w:rsidR="00E2647A">
        <w:t>n</w:t>
      </w:r>
      <w:r>
        <w:t xml:space="preserve"> </w:t>
      </w:r>
      <w:r w:rsidR="007C4BB3">
        <w:t>appropriate format f</w:t>
      </w:r>
      <w:r>
        <w:t>or at least 40 years, by the Occupational Health Service provider.</w:t>
      </w:r>
    </w:p>
    <w:p w14:paraId="2C2A9207" w14:textId="7AEA8547" w:rsidR="005C36BC" w:rsidRDefault="005C36BC" w:rsidP="005C36BC">
      <w:r>
        <w:t xml:space="preserve">Where employees are exposed to materials with possible long-term effects (such as </w:t>
      </w:r>
      <w:proofErr w:type="spellStart"/>
      <w:r>
        <w:t>sensitisers</w:t>
      </w:r>
      <w:proofErr w:type="spellEnd"/>
      <w:r>
        <w:t xml:space="preserve"> or carcinogens)</w:t>
      </w:r>
      <w:r w:rsidR="00E2647A">
        <w:t>, employees should be informed and</w:t>
      </w:r>
      <w:r>
        <w:t xml:space="preserve"> a note of the fact should be attached to their personnel records.</w:t>
      </w:r>
    </w:p>
    <w:p w14:paraId="7830D16F" w14:textId="77777777" w:rsidR="005C36BC" w:rsidRPr="005C36BC" w:rsidRDefault="005C36BC" w:rsidP="005C36BC">
      <w:r>
        <w:t>Where health surveillance is needed a health record must be established for each individual containing particulars approved by the Health and Safety Executive (HSE) and held for at least 40 years.  Advice on all health surveillance matters should be sought from the appropriate Occupational Health Services provider.</w:t>
      </w:r>
    </w:p>
    <w:p w14:paraId="03DF86B0" w14:textId="77777777" w:rsidR="00570D22" w:rsidRPr="00570D22" w:rsidRDefault="00570D22" w:rsidP="00570D22"/>
    <w:p w14:paraId="313ECF0D" w14:textId="77777777" w:rsidR="00F75F95" w:rsidRDefault="00F75F95"/>
    <w:sectPr w:rsidR="00F75F9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53B7F" w14:textId="77777777" w:rsidR="00F34C87" w:rsidRDefault="00F34C87" w:rsidP="00661221">
      <w:pPr>
        <w:spacing w:before="0"/>
      </w:pPr>
      <w:r>
        <w:separator/>
      </w:r>
    </w:p>
  </w:endnote>
  <w:endnote w:type="continuationSeparator" w:id="0">
    <w:p w14:paraId="17750BB5" w14:textId="77777777" w:rsidR="00F34C87" w:rsidRDefault="00F34C87" w:rsidP="006612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55137"/>
      <w:docPartObj>
        <w:docPartGallery w:val="Page Numbers (Bottom of Page)"/>
        <w:docPartUnique/>
      </w:docPartObj>
    </w:sdtPr>
    <w:sdtEndPr/>
    <w:sdtContent>
      <w:sdt>
        <w:sdtPr>
          <w:id w:val="-1705238520"/>
          <w:docPartObj>
            <w:docPartGallery w:val="Page Numbers (Top of Page)"/>
            <w:docPartUnique/>
          </w:docPartObj>
        </w:sdtPr>
        <w:sdtEndPr/>
        <w:sdtContent>
          <w:p w14:paraId="282F5C8A" w14:textId="0E62BFEC" w:rsidR="00505C25" w:rsidRDefault="00505C25">
            <w:pPr>
              <w:pStyle w:val="Footer"/>
            </w:pPr>
            <w:r>
              <w:t xml:space="preserve">Page </w:t>
            </w:r>
            <w:r>
              <w:rPr>
                <w:b/>
                <w:bCs/>
                <w:szCs w:val="24"/>
              </w:rPr>
              <w:fldChar w:fldCharType="begin"/>
            </w:r>
            <w:r>
              <w:rPr>
                <w:b/>
                <w:bCs/>
              </w:rPr>
              <w:instrText xml:space="preserve"> PAGE </w:instrText>
            </w:r>
            <w:r>
              <w:rPr>
                <w:b/>
                <w:bCs/>
                <w:szCs w:val="24"/>
              </w:rPr>
              <w:fldChar w:fldCharType="separate"/>
            </w:r>
            <w:r w:rsidR="00BE2F7C">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2F7C">
              <w:rPr>
                <w:b/>
                <w:bCs/>
                <w:noProof/>
              </w:rPr>
              <w:t>7</w:t>
            </w:r>
            <w:r>
              <w:rPr>
                <w:b/>
                <w:bCs/>
                <w:szCs w:val="24"/>
              </w:rPr>
              <w:fldChar w:fldCharType="end"/>
            </w:r>
          </w:p>
        </w:sdtContent>
      </w:sdt>
    </w:sdtContent>
  </w:sdt>
  <w:p w14:paraId="3BFDE2BD" w14:textId="77777777" w:rsidR="00661221" w:rsidRDefault="0066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FDC5" w14:textId="77777777" w:rsidR="00F34C87" w:rsidRDefault="00F34C87" w:rsidP="00661221">
      <w:pPr>
        <w:spacing w:before="0"/>
      </w:pPr>
      <w:r>
        <w:separator/>
      </w:r>
    </w:p>
  </w:footnote>
  <w:footnote w:type="continuationSeparator" w:id="0">
    <w:p w14:paraId="08B3D5EC" w14:textId="77777777" w:rsidR="00F34C87" w:rsidRDefault="00F34C87" w:rsidP="0066122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4FF"/>
    <w:multiLevelType w:val="hybridMultilevel"/>
    <w:tmpl w:val="F6443A6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9DB6C73"/>
    <w:multiLevelType w:val="hybridMultilevel"/>
    <w:tmpl w:val="297E2C4E"/>
    <w:lvl w:ilvl="0" w:tplc="1D8E16D4">
      <w:start w:val="1"/>
      <w:numFmt w:val="decimal"/>
      <w:lvlText w:val="%1."/>
      <w:lvlJc w:val="left"/>
      <w:pPr>
        <w:ind w:left="1728" w:hanging="72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2" w15:restartNumberingAfterBreak="0">
    <w:nsid w:val="2DFD1132"/>
    <w:multiLevelType w:val="hybridMultilevel"/>
    <w:tmpl w:val="53A070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84E39D7"/>
    <w:multiLevelType w:val="multilevel"/>
    <w:tmpl w:val="0896BE92"/>
    <w:lvl w:ilvl="0">
      <w:start w:val="1"/>
      <w:numFmt w:val="decimal"/>
      <w:lvlText w:val="%1."/>
      <w:lvlJc w:val="left"/>
      <w:pPr>
        <w:tabs>
          <w:tab w:val="num" w:pos="720"/>
        </w:tabs>
        <w:ind w:left="720" w:hanging="360"/>
      </w:pPr>
      <w:rPr>
        <w:rFonts w:ascii="Verdana" w:eastAsia="Times New Roman" w:hAnsi="Verdana"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411680"/>
    <w:multiLevelType w:val="hybridMultilevel"/>
    <w:tmpl w:val="6D7A403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678E6F3A"/>
    <w:multiLevelType w:val="hybridMultilevel"/>
    <w:tmpl w:val="32264682"/>
    <w:lvl w:ilvl="0" w:tplc="240EA4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64EC6"/>
    <w:multiLevelType w:val="hybridMultilevel"/>
    <w:tmpl w:val="D9E48E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727549FF"/>
    <w:multiLevelType w:val="multilevel"/>
    <w:tmpl w:val="C44ADCC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lvl>
    <w:lvl w:ilvl="3">
      <w:start w:val="1"/>
      <w:numFmt w:val="none"/>
      <w:lvlText w:val="%1.%2.%3.%4"/>
      <w:lvlJc w:val="left"/>
      <w:pPr>
        <w:tabs>
          <w:tab w:val="num" w:pos="1080"/>
        </w:tabs>
        <w:ind w:left="0" w:firstLine="0"/>
      </w:pPr>
    </w:lvl>
    <w:lvl w:ilvl="4">
      <w:start w:val="1"/>
      <w:numFmt w:val="none"/>
      <w:pStyle w:val="Heading5"/>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8" w15:restartNumberingAfterBreak="0">
    <w:nsid w:val="75DF411F"/>
    <w:multiLevelType w:val="hybridMultilevel"/>
    <w:tmpl w:val="4EF69FAA"/>
    <w:lvl w:ilvl="0" w:tplc="14045A80">
      <w:start w:val="5"/>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77723340"/>
    <w:multiLevelType w:val="hybridMultilevel"/>
    <w:tmpl w:val="4EFA4A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7C552D1A"/>
    <w:multiLevelType w:val="hybridMultilevel"/>
    <w:tmpl w:val="442E19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9"/>
  </w:num>
  <w:num w:numId="5">
    <w:abstractNumId w:val="6"/>
  </w:num>
  <w:num w:numId="6">
    <w:abstractNumId w:val="5"/>
  </w:num>
  <w:num w:numId="7">
    <w:abstractNumId w:val="3"/>
  </w:num>
  <w:num w:numId="8">
    <w:abstractNumId w:val="2"/>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95"/>
    <w:rsid w:val="0006397E"/>
    <w:rsid w:val="00095F25"/>
    <w:rsid w:val="000D276E"/>
    <w:rsid w:val="00210624"/>
    <w:rsid w:val="004D6CEB"/>
    <w:rsid w:val="00505C25"/>
    <w:rsid w:val="005323BD"/>
    <w:rsid w:val="00554C9A"/>
    <w:rsid w:val="00570D22"/>
    <w:rsid w:val="005C36BC"/>
    <w:rsid w:val="005E5919"/>
    <w:rsid w:val="006147B9"/>
    <w:rsid w:val="00621817"/>
    <w:rsid w:val="00661221"/>
    <w:rsid w:val="00674672"/>
    <w:rsid w:val="007A50B1"/>
    <w:rsid w:val="007C0A45"/>
    <w:rsid w:val="007C4BB3"/>
    <w:rsid w:val="007E5898"/>
    <w:rsid w:val="00875101"/>
    <w:rsid w:val="009B6D0D"/>
    <w:rsid w:val="00BE2F7C"/>
    <w:rsid w:val="00C25357"/>
    <w:rsid w:val="00C63B2C"/>
    <w:rsid w:val="00C651D4"/>
    <w:rsid w:val="00DF6F46"/>
    <w:rsid w:val="00E2647A"/>
    <w:rsid w:val="00E35C70"/>
    <w:rsid w:val="00E8515F"/>
    <w:rsid w:val="00EB1268"/>
    <w:rsid w:val="00F34C87"/>
    <w:rsid w:val="00F55254"/>
    <w:rsid w:val="00F75F95"/>
    <w:rsid w:val="00F8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2D1E"/>
  <w15:chartTrackingRefBased/>
  <w15:docId w15:val="{6A1E3823-86BB-4EF6-BB85-4B39120E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95"/>
    <w:pPr>
      <w:spacing w:before="240" w:after="0" w:line="240" w:lineRule="auto"/>
      <w:jc w:val="both"/>
    </w:pPr>
    <w:rPr>
      <w:rFonts w:ascii="Verdana" w:eastAsia="Times New Roman" w:hAnsi="Verdana" w:cs="Times New Roman"/>
      <w:sz w:val="24"/>
      <w:szCs w:val="20"/>
    </w:rPr>
  </w:style>
  <w:style w:type="paragraph" w:styleId="Heading1">
    <w:name w:val="heading 1"/>
    <w:basedOn w:val="Normal"/>
    <w:next w:val="Normal"/>
    <w:link w:val="Heading1Char"/>
    <w:qFormat/>
    <w:rsid w:val="00F75F95"/>
    <w:pPr>
      <w:keepNext/>
      <w:numPr>
        <w:numId w:val="1"/>
      </w:numPr>
      <w:spacing w:before="360"/>
      <w:jc w:val="left"/>
      <w:outlineLvl w:val="0"/>
    </w:pPr>
    <w:rPr>
      <w:b/>
      <w:kern w:val="28"/>
      <w:sz w:val="32"/>
    </w:rPr>
  </w:style>
  <w:style w:type="paragraph" w:styleId="Heading2">
    <w:name w:val="heading 2"/>
    <w:basedOn w:val="Normal"/>
    <w:next w:val="Normal"/>
    <w:link w:val="Heading2Char"/>
    <w:qFormat/>
    <w:rsid w:val="00F75F95"/>
    <w:pPr>
      <w:keepNext/>
      <w:numPr>
        <w:ilvl w:val="1"/>
        <w:numId w:val="1"/>
      </w:numPr>
      <w:spacing w:before="360"/>
      <w:jc w:val="left"/>
      <w:outlineLvl w:val="1"/>
    </w:pPr>
    <w:rPr>
      <w:b/>
      <w:sz w:val="28"/>
    </w:rPr>
  </w:style>
  <w:style w:type="paragraph" w:styleId="Heading3">
    <w:name w:val="heading 3"/>
    <w:basedOn w:val="Normal"/>
    <w:next w:val="Normal"/>
    <w:link w:val="Heading3Char"/>
    <w:qFormat/>
    <w:rsid w:val="00F75F95"/>
    <w:pPr>
      <w:keepNext/>
      <w:numPr>
        <w:ilvl w:val="2"/>
        <w:numId w:val="1"/>
      </w:numPr>
      <w:spacing w:before="360"/>
      <w:outlineLvl w:val="2"/>
    </w:pPr>
  </w:style>
  <w:style w:type="paragraph" w:styleId="Heading5">
    <w:name w:val="heading 5"/>
    <w:basedOn w:val="Normal"/>
    <w:next w:val="Normal"/>
    <w:link w:val="Heading5Char"/>
    <w:qFormat/>
    <w:rsid w:val="00F75F95"/>
    <w:pPr>
      <w:keepNext/>
      <w:numPr>
        <w:ilvl w:val="4"/>
        <w:numId w:val="1"/>
      </w:numPr>
      <w:outlineLvl w:val="4"/>
    </w:pPr>
    <w:rPr>
      <w:b/>
    </w:rPr>
  </w:style>
  <w:style w:type="paragraph" w:styleId="Heading7">
    <w:name w:val="heading 7"/>
    <w:basedOn w:val="Normal"/>
    <w:next w:val="Normal"/>
    <w:link w:val="Heading7Char"/>
    <w:qFormat/>
    <w:rsid w:val="00F75F95"/>
    <w:pPr>
      <w:keepNext/>
      <w:numPr>
        <w:ilvl w:val="6"/>
        <w:numId w:val="1"/>
      </w:numPr>
      <w:outlineLvl w:val="6"/>
    </w:pPr>
    <w:rPr>
      <w:b/>
    </w:rPr>
  </w:style>
  <w:style w:type="paragraph" w:styleId="Heading8">
    <w:name w:val="heading 8"/>
    <w:basedOn w:val="Normal"/>
    <w:next w:val="Normal"/>
    <w:link w:val="Heading8Char"/>
    <w:qFormat/>
    <w:rsid w:val="00F75F95"/>
    <w:pPr>
      <w:keepNext/>
      <w:numPr>
        <w:ilvl w:val="7"/>
        <w:numId w:val="1"/>
      </w:numPr>
      <w:spacing w:before="120"/>
      <w:outlineLvl w:val="7"/>
    </w:pPr>
    <w:rPr>
      <w:b/>
    </w:rPr>
  </w:style>
  <w:style w:type="paragraph" w:styleId="Heading9">
    <w:name w:val="heading 9"/>
    <w:basedOn w:val="Normal"/>
    <w:next w:val="Normal"/>
    <w:link w:val="Heading9Char"/>
    <w:qFormat/>
    <w:rsid w:val="00F75F95"/>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75F95"/>
    <w:rPr>
      <w:sz w:val="16"/>
      <w:szCs w:val="16"/>
    </w:rPr>
  </w:style>
  <w:style w:type="paragraph" w:styleId="CommentText">
    <w:name w:val="annotation text"/>
    <w:basedOn w:val="Normal"/>
    <w:link w:val="CommentTextChar"/>
    <w:rsid w:val="00F75F95"/>
    <w:rPr>
      <w:sz w:val="20"/>
    </w:rPr>
  </w:style>
  <w:style w:type="character" w:customStyle="1" w:styleId="CommentTextChar">
    <w:name w:val="Comment Text Char"/>
    <w:basedOn w:val="DefaultParagraphFont"/>
    <w:link w:val="CommentText"/>
    <w:rsid w:val="00F75F95"/>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F75F9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95"/>
    <w:rPr>
      <w:rFonts w:ascii="Segoe UI" w:eastAsia="Times New Roman" w:hAnsi="Segoe UI" w:cs="Segoe UI"/>
      <w:sz w:val="18"/>
      <w:szCs w:val="18"/>
    </w:rPr>
  </w:style>
  <w:style w:type="character" w:customStyle="1" w:styleId="Heading1Char">
    <w:name w:val="Heading 1 Char"/>
    <w:basedOn w:val="DefaultParagraphFont"/>
    <w:link w:val="Heading1"/>
    <w:rsid w:val="00F75F95"/>
    <w:rPr>
      <w:rFonts w:ascii="Verdana" w:eastAsia="Times New Roman" w:hAnsi="Verdana" w:cs="Times New Roman"/>
      <w:b/>
      <w:kern w:val="28"/>
      <w:sz w:val="32"/>
      <w:szCs w:val="20"/>
    </w:rPr>
  </w:style>
  <w:style w:type="character" w:customStyle="1" w:styleId="Heading2Char">
    <w:name w:val="Heading 2 Char"/>
    <w:basedOn w:val="DefaultParagraphFont"/>
    <w:link w:val="Heading2"/>
    <w:rsid w:val="00F75F95"/>
    <w:rPr>
      <w:rFonts w:ascii="Verdana" w:eastAsia="Times New Roman" w:hAnsi="Verdana" w:cs="Times New Roman"/>
      <w:b/>
      <w:sz w:val="28"/>
      <w:szCs w:val="20"/>
    </w:rPr>
  </w:style>
  <w:style w:type="character" w:customStyle="1" w:styleId="Heading3Char">
    <w:name w:val="Heading 3 Char"/>
    <w:basedOn w:val="DefaultParagraphFont"/>
    <w:link w:val="Heading3"/>
    <w:rsid w:val="00F75F95"/>
    <w:rPr>
      <w:rFonts w:ascii="Verdana" w:eastAsia="Times New Roman" w:hAnsi="Verdana" w:cs="Times New Roman"/>
      <w:sz w:val="24"/>
      <w:szCs w:val="20"/>
    </w:rPr>
  </w:style>
  <w:style w:type="character" w:customStyle="1" w:styleId="Heading5Char">
    <w:name w:val="Heading 5 Char"/>
    <w:basedOn w:val="DefaultParagraphFont"/>
    <w:link w:val="Heading5"/>
    <w:rsid w:val="00F75F95"/>
    <w:rPr>
      <w:rFonts w:ascii="Verdana" w:eastAsia="Times New Roman" w:hAnsi="Verdana" w:cs="Times New Roman"/>
      <w:b/>
      <w:sz w:val="24"/>
      <w:szCs w:val="20"/>
    </w:rPr>
  </w:style>
  <w:style w:type="character" w:customStyle="1" w:styleId="Heading7Char">
    <w:name w:val="Heading 7 Char"/>
    <w:basedOn w:val="DefaultParagraphFont"/>
    <w:link w:val="Heading7"/>
    <w:rsid w:val="00F75F95"/>
    <w:rPr>
      <w:rFonts w:ascii="Verdana" w:eastAsia="Times New Roman" w:hAnsi="Verdana" w:cs="Times New Roman"/>
      <w:b/>
      <w:sz w:val="24"/>
      <w:szCs w:val="20"/>
    </w:rPr>
  </w:style>
  <w:style w:type="character" w:customStyle="1" w:styleId="Heading8Char">
    <w:name w:val="Heading 8 Char"/>
    <w:basedOn w:val="DefaultParagraphFont"/>
    <w:link w:val="Heading8"/>
    <w:rsid w:val="00F75F95"/>
    <w:rPr>
      <w:rFonts w:ascii="Verdana" w:eastAsia="Times New Roman" w:hAnsi="Verdana" w:cs="Times New Roman"/>
      <w:b/>
      <w:sz w:val="24"/>
      <w:szCs w:val="20"/>
    </w:rPr>
  </w:style>
  <w:style w:type="character" w:customStyle="1" w:styleId="Heading9Char">
    <w:name w:val="Heading 9 Char"/>
    <w:basedOn w:val="DefaultParagraphFont"/>
    <w:link w:val="Heading9"/>
    <w:rsid w:val="00F75F95"/>
    <w:rPr>
      <w:rFonts w:ascii="Verdana" w:eastAsia="Times New Roman" w:hAnsi="Verdana" w:cs="Times New Roman"/>
      <w:b/>
      <w:sz w:val="24"/>
      <w:szCs w:val="20"/>
    </w:rPr>
  </w:style>
  <w:style w:type="paragraph" w:customStyle="1" w:styleId="Default">
    <w:name w:val="Default"/>
    <w:rsid w:val="00F75F95"/>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570D22"/>
    <w:pPr>
      <w:ind w:left="720"/>
      <w:contextualSpacing/>
    </w:pPr>
  </w:style>
  <w:style w:type="paragraph" w:styleId="Header">
    <w:name w:val="header"/>
    <w:basedOn w:val="Normal"/>
    <w:link w:val="HeaderChar"/>
    <w:uiPriority w:val="99"/>
    <w:unhideWhenUsed/>
    <w:rsid w:val="00661221"/>
    <w:pPr>
      <w:tabs>
        <w:tab w:val="center" w:pos="4513"/>
        <w:tab w:val="right" w:pos="9026"/>
      </w:tabs>
      <w:spacing w:before="0"/>
    </w:pPr>
  </w:style>
  <w:style w:type="character" w:customStyle="1" w:styleId="HeaderChar">
    <w:name w:val="Header Char"/>
    <w:basedOn w:val="DefaultParagraphFont"/>
    <w:link w:val="Header"/>
    <w:uiPriority w:val="99"/>
    <w:rsid w:val="00661221"/>
    <w:rPr>
      <w:rFonts w:ascii="Verdana" w:eastAsia="Times New Roman" w:hAnsi="Verdana" w:cs="Times New Roman"/>
      <w:sz w:val="24"/>
      <w:szCs w:val="20"/>
    </w:rPr>
  </w:style>
  <w:style w:type="paragraph" w:styleId="Footer">
    <w:name w:val="footer"/>
    <w:basedOn w:val="Normal"/>
    <w:link w:val="FooterChar"/>
    <w:uiPriority w:val="99"/>
    <w:unhideWhenUsed/>
    <w:rsid w:val="00661221"/>
    <w:pPr>
      <w:tabs>
        <w:tab w:val="center" w:pos="4513"/>
        <w:tab w:val="right" w:pos="9026"/>
      </w:tabs>
      <w:spacing w:before="0"/>
    </w:pPr>
  </w:style>
  <w:style w:type="character" w:customStyle="1" w:styleId="FooterChar">
    <w:name w:val="Footer Char"/>
    <w:basedOn w:val="DefaultParagraphFont"/>
    <w:link w:val="Footer"/>
    <w:uiPriority w:val="99"/>
    <w:rsid w:val="00661221"/>
    <w:rPr>
      <w:rFonts w:ascii="Verdana" w:eastAsia="Times New Roman" w:hAnsi="Verdana" w:cs="Times New Roman"/>
      <w:sz w:val="24"/>
      <w:szCs w:val="20"/>
    </w:rPr>
  </w:style>
  <w:style w:type="paragraph" w:styleId="CommentSubject">
    <w:name w:val="annotation subject"/>
    <w:basedOn w:val="CommentText"/>
    <w:next w:val="CommentText"/>
    <w:link w:val="CommentSubjectChar"/>
    <w:uiPriority w:val="99"/>
    <w:semiHidden/>
    <w:unhideWhenUsed/>
    <w:rsid w:val="00EB1268"/>
    <w:rPr>
      <w:b/>
      <w:bCs/>
    </w:rPr>
  </w:style>
  <w:style w:type="character" w:customStyle="1" w:styleId="CommentSubjectChar">
    <w:name w:val="Comment Subject Char"/>
    <w:basedOn w:val="CommentTextChar"/>
    <w:link w:val="CommentSubject"/>
    <w:uiPriority w:val="99"/>
    <w:semiHidden/>
    <w:rsid w:val="00EB1268"/>
    <w:rPr>
      <w:rFonts w:ascii="Verdana" w:eastAsia="Times New Roman" w:hAnsi="Verdana" w:cs="Times New Roman"/>
      <w:b/>
      <w:bCs/>
      <w:sz w:val="20"/>
      <w:szCs w:val="20"/>
    </w:rPr>
  </w:style>
  <w:style w:type="paragraph" w:styleId="TOCHeading">
    <w:name w:val="TOC Heading"/>
    <w:basedOn w:val="Heading1"/>
    <w:next w:val="Normal"/>
    <w:uiPriority w:val="39"/>
    <w:unhideWhenUsed/>
    <w:qFormat/>
    <w:rsid w:val="00095F25"/>
    <w:pPr>
      <w:keepLines/>
      <w:numPr>
        <w:numId w:val="0"/>
      </w:numPr>
      <w:spacing w:before="240" w:line="259" w:lineRule="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095F25"/>
    <w:pPr>
      <w:spacing w:after="100"/>
    </w:pPr>
  </w:style>
  <w:style w:type="character" w:styleId="Hyperlink">
    <w:name w:val="Hyperlink"/>
    <w:basedOn w:val="DefaultParagraphFont"/>
    <w:uiPriority w:val="99"/>
    <w:unhideWhenUsed/>
    <w:rsid w:val="00095F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389F-D99E-4EC2-B038-4CE0B83A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Parsons (Public Health Wales - No. 2 Capital Quarter)</dc:creator>
  <cp:keywords/>
  <dc:description/>
  <cp:lastModifiedBy>Reanne Reffell (Public Health Wales - No. 2 Capital Quarter)</cp:lastModifiedBy>
  <cp:revision>5</cp:revision>
  <cp:lastPrinted>2019-02-13T16:33:00Z</cp:lastPrinted>
  <dcterms:created xsi:type="dcterms:W3CDTF">2019-01-15T09:33:00Z</dcterms:created>
  <dcterms:modified xsi:type="dcterms:W3CDTF">2019-02-13T16:37:00Z</dcterms:modified>
</cp:coreProperties>
</file>