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2E" w:rsidRDefault="00F7312E" w:rsidP="003905A6">
      <w:pPr>
        <w:pStyle w:val="AppendixCTHB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Control of Contractors Guidance:</w:t>
      </w:r>
    </w:p>
    <w:p w:rsidR="00F7312E" w:rsidRDefault="00F7312E" w:rsidP="003905A6">
      <w:pPr>
        <w:pStyle w:val="AppendixCTHB"/>
        <w:numPr>
          <w:ilvl w:val="0"/>
          <w:numId w:val="0"/>
        </w:numPr>
        <w:ind w:left="357" w:hanging="357"/>
        <w:rPr>
          <w:lang w:val="en-GB"/>
        </w:rPr>
      </w:pPr>
    </w:p>
    <w:p w:rsidR="003905A6" w:rsidRPr="00587170" w:rsidRDefault="003905A6" w:rsidP="003905A6">
      <w:pPr>
        <w:pStyle w:val="AppendixCTHB"/>
        <w:numPr>
          <w:ilvl w:val="0"/>
          <w:numId w:val="0"/>
        </w:numPr>
        <w:ind w:left="357" w:hanging="357"/>
        <w:rPr>
          <w:lang w:val="en-GB"/>
        </w:rPr>
      </w:pPr>
      <w:r w:rsidRPr="00587170">
        <w:rPr>
          <w:lang w:val="en-GB"/>
        </w:rPr>
        <w:t xml:space="preserve">Checklist for </w:t>
      </w:r>
      <w:r>
        <w:rPr>
          <w:lang w:val="en-GB"/>
        </w:rPr>
        <w:t>c</w:t>
      </w:r>
      <w:r w:rsidRPr="00587170">
        <w:rPr>
          <w:lang w:val="en-GB"/>
        </w:rPr>
        <w:t>ontractors</w:t>
      </w:r>
    </w:p>
    <w:p w:rsidR="003905A6" w:rsidRPr="00587170" w:rsidRDefault="003905A6" w:rsidP="003905A6">
      <w:pPr>
        <w:rPr>
          <w:szCs w:val="24"/>
        </w:rPr>
      </w:pPr>
      <w:r w:rsidRPr="00587170">
        <w:rPr>
          <w:szCs w:val="24"/>
        </w:rPr>
        <w:t xml:space="preserve">All </w:t>
      </w:r>
      <w:r>
        <w:rPr>
          <w:szCs w:val="24"/>
        </w:rPr>
        <w:t>c</w:t>
      </w:r>
      <w:r w:rsidRPr="009D5B00">
        <w:rPr>
          <w:szCs w:val="24"/>
        </w:rPr>
        <w:t>ontractors may be required to provide evidence that any or all of the hazards listed below,</w:t>
      </w:r>
      <w:r w:rsidRPr="00587170">
        <w:rPr>
          <w:szCs w:val="24"/>
        </w:rPr>
        <w:t xml:space="preserve"> relevant to the contract, have been identified and considered.</w:t>
      </w:r>
      <w:r>
        <w:rPr>
          <w:szCs w:val="24"/>
        </w:rPr>
        <w:t xml:space="preserve"> These hazards are required to have been considered within a Risk Assessment Method Statement RAMS (guidance and template Appendix B2 and B3 below). For small ad hoc tasks where a full RAMS may not be required, contractors will need to complete a “two minute Risk Assessment Checklist” prior to commencement of the task (Appendix B4). Where there is uncertainty over whether a full RAMS or two minute RA is required, the local premise manager should contact the Facilities Manager for guidance.</w:t>
      </w:r>
    </w:p>
    <w:p w:rsidR="003905A6" w:rsidRDefault="003905A6" w:rsidP="003905A6">
      <w:pPr>
        <w:spacing w:before="0"/>
        <w:ind w:left="720"/>
        <w:rPr>
          <w:szCs w:val="24"/>
        </w:rPr>
      </w:pPr>
    </w:p>
    <w:p w:rsidR="003905A6" w:rsidRDefault="003905A6" w:rsidP="003905A6">
      <w:pPr>
        <w:numPr>
          <w:ilvl w:val="0"/>
          <w:numId w:val="2"/>
        </w:numPr>
        <w:spacing w:before="0"/>
        <w:rPr>
          <w:szCs w:val="24"/>
        </w:rPr>
      </w:pPr>
      <w:r w:rsidRPr="00587170">
        <w:rPr>
          <w:szCs w:val="24"/>
        </w:rPr>
        <w:t>Special hazards and applicable National or Local Regulations and Codes of Practice, e</w:t>
      </w:r>
      <w:r>
        <w:rPr>
          <w:szCs w:val="24"/>
        </w:rPr>
        <w:t>.</w:t>
      </w:r>
      <w:r w:rsidRPr="00587170">
        <w:rPr>
          <w:szCs w:val="24"/>
        </w:rPr>
        <w:t>g</w:t>
      </w:r>
      <w:r>
        <w:rPr>
          <w:szCs w:val="24"/>
        </w:rPr>
        <w:t>.</w:t>
      </w:r>
      <w:r w:rsidRPr="00587170">
        <w:rPr>
          <w:szCs w:val="24"/>
        </w:rPr>
        <w:t xml:space="preserve"> asbestos, noise, permits to work.</w:t>
      </w:r>
    </w:p>
    <w:p w:rsidR="003905A6" w:rsidRDefault="003905A6" w:rsidP="003905A6">
      <w:pPr>
        <w:spacing w:before="0"/>
        <w:ind w:left="720"/>
        <w:rPr>
          <w:szCs w:val="24"/>
        </w:rPr>
      </w:pPr>
    </w:p>
    <w:p w:rsidR="003905A6" w:rsidRDefault="003905A6" w:rsidP="003905A6">
      <w:pPr>
        <w:numPr>
          <w:ilvl w:val="0"/>
          <w:numId w:val="2"/>
        </w:numPr>
        <w:spacing w:before="0"/>
        <w:rPr>
          <w:szCs w:val="24"/>
        </w:rPr>
      </w:pPr>
      <w:r w:rsidRPr="00587170">
        <w:rPr>
          <w:szCs w:val="24"/>
        </w:rPr>
        <w:t>Safe access</w:t>
      </w:r>
      <w:r>
        <w:rPr>
          <w:szCs w:val="24"/>
        </w:rPr>
        <w:t>/</w:t>
      </w:r>
      <w:r w:rsidRPr="00587170">
        <w:rPr>
          <w:szCs w:val="24"/>
        </w:rPr>
        <w:t>egress to and from the site and to places of work within the site.</w:t>
      </w:r>
    </w:p>
    <w:p w:rsidR="003905A6" w:rsidRDefault="003905A6" w:rsidP="003905A6">
      <w:pPr>
        <w:pStyle w:val="ListParagraph"/>
        <w:spacing w:before="0"/>
        <w:rPr>
          <w:szCs w:val="24"/>
        </w:rPr>
      </w:pPr>
    </w:p>
    <w:p w:rsidR="003905A6" w:rsidRDefault="003905A6" w:rsidP="003905A6">
      <w:pPr>
        <w:numPr>
          <w:ilvl w:val="0"/>
          <w:numId w:val="2"/>
        </w:numPr>
        <w:spacing w:before="0"/>
        <w:rPr>
          <w:szCs w:val="24"/>
        </w:rPr>
      </w:pPr>
      <w:r w:rsidRPr="00587170">
        <w:rPr>
          <w:szCs w:val="24"/>
        </w:rPr>
        <w:t>Any electrical requirements.</w:t>
      </w:r>
    </w:p>
    <w:p w:rsidR="003905A6" w:rsidRDefault="003905A6" w:rsidP="003905A6">
      <w:pPr>
        <w:pStyle w:val="ListParagraph"/>
        <w:spacing w:before="0"/>
        <w:rPr>
          <w:szCs w:val="24"/>
        </w:rPr>
      </w:pPr>
    </w:p>
    <w:p w:rsidR="003905A6" w:rsidRDefault="003905A6" w:rsidP="003905A6">
      <w:pPr>
        <w:numPr>
          <w:ilvl w:val="0"/>
          <w:numId w:val="2"/>
        </w:numPr>
        <w:spacing w:before="0"/>
        <w:rPr>
          <w:szCs w:val="24"/>
        </w:rPr>
      </w:pPr>
      <w:r w:rsidRPr="00587170">
        <w:rPr>
          <w:szCs w:val="24"/>
        </w:rPr>
        <w:t>Details of manual and mechanical handling.</w:t>
      </w:r>
    </w:p>
    <w:p w:rsidR="003905A6" w:rsidRDefault="003905A6" w:rsidP="003905A6">
      <w:pPr>
        <w:pStyle w:val="ListParagraph"/>
        <w:spacing w:before="0"/>
        <w:rPr>
          <w:szCs w:val="24"/>
        </w:rPr>
      </w:pPr>
    </w:p>
    <w:p w:rsidR="003905A6" w:rsidRPr="0058717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587170">
        <w:rPr>
          <w:szCs w:val="24"/>
        </w:rPr>
        <w:t>Buried and overhead services.</w:t>
      </w:r>
    </w:p>
    <w:p w:rsidR="003905A6" w:rsidRPr="0058717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587170">
        <w:rPr>
          <w:szCs w:val="24"/>
        </w:rPr>
        <w:t xml:space="preserve">Fire </w:t>
      </w:r>
      <w:r>
        <w:rPr>
          <w:szCs w:val="24"/>
        </w:rPr>
        <w:t>p</w:t>
      </w:r>
      <w:r w:rsidRPr="00587170">
        <w:rPr>
          <w:szCs w:val="24"/>
        </w:rPr>
        <w:t>rotection.</w:t>
      </w:r>
    </w:p>
    <w:p w:rsidR="003905A6" w:rsidRPr="006504A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587170">
        <w:rPr>
          <w:szCs w:val="24"/>
        </w:rPr>
        <w:t>Any occupational health risks e</w:t>
      </w:r>
      <w:r>
        <w:rPr>
          <w:szCs w:val="24"/>
        </w:rPr>
        <w:t>.</w:t>
      </w:r>
      <w:r w:rsidRPr="00587170">
        <w:rPr>
          <w:szCs w:val="24"/>
        </w:rPr>
        <w:t>g</w:t>
      </w:r>
      <w:r>
        <w:rPr>
          <w:szCs w:val="24"/>
        </w:rPr>
        <w:t>.</w:t>
      </w:r>
      <w:r w:rsidRPr="00587170">
        <w:rPr>
          <w:szCs w:val="24"/>
        </w:rPr>
        <w:t xml:space="preserve"> </w:t>
      </w:r>
      <w:r w:rsidRPr="006504A0">
        <w:rPr>
          <w:szCs w:val="24"/>
        </w:rPr>
        <w:t>noise/dusts/vapours</w:t>
      </w:r>
      <w:r>
        <w:rPr>
          <w:szCs w:val="24"/>
        </w:rPr>
        <w:t>/vibration.</w:t>
      </w:r>
    </w:p>
    <w:p w:rsidR="003905A6" w:rsidRPr="0058717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587170">
        <w:rPr>
          <w:szCs w:val="24"/>
        </w:rPr>
        <w:t>Confined space entry.</w:t>
      </w:r>
    </w:p>
    <w:p w:rsidR="003905A6" w:rsidRPr="0058717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>
        <w:rPr>
          <w:szCs w:val="24"/>
        </w:rPr>
        <w:t>First aid</w:t>
      </w:r>
      <w:r w:rsidRPr="00587170">
        <w:rPr>
          <w:szCs w:val="24"/>
        </w:rPr>
        <w:t>/emergency rescue arrangements</w:t>
      </w:r>
      <w:bookmarkStart w:id="0" w:name="_GoBack"/>
      <w:bookmarkEnd w:id="0"/>
      <w:r w:rsidRPr="00587170">
        <w:rPr>
          <w:szCs w:val="24"/>
        </w:rPr>
        <w:t>.</w:t>
      </w:r>
    </w:p>
    <w:p w:rsidR="003905A6" w:rsidRPr="0058717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>
        <w:rPr>
          <w:szCs w:val="24"/>
        </w:rPr>
        <w:t>Welfare amenities.</w:t>
      </w:r>
    </w:p>
    <w:p w:rsidR="003905A6" w:rsidRPr="0058717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587170">
        <w:rPr>
          <w:szCs w:val="24"/>
        </w:rPr>
        <w:t>Safe storage of chemi</w:t>
      </w:r>
      <w:r>
        <w:rPr>
          <w:szCs w:val="24"/>
        </w:rPr>
        <w:t>cals.</w:t>
      </w:r>
    </w:p>
    <w:p w:rsidR="003905A6" w:rsidRPr="006C675C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587170">
        <w:rPr>
          <w:szCs w:val="24"/>
        </w:rPr>
        <w:t xml:space="preserve">Personal protective </w:t>
      </w:r>
      <w:r>
        <w:rPr>
          <w:szCs w:val="24"/>
        </w:rPr>
        <w:t>equipment.</w:t>
      </w:r>
    </w:p>
    <w:p w:rsidR="003905A6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6C675C">
        <w:rPr>
          <w:szCs w:val="24"/>
        </w:rPr>
        <w:t xml:space="preserve">Relevant </w:t>
      </w:r>
      <w:r>
        <w:rPr>
          <w:szCs w:val="24"/>
        </w:rPr>
        <w:t>documentation and notifications.</w:t>
      </w:r>
    </w:p>
    <w:p w:rsidR="003905A6" w:rsidRPr="006C675C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>
        <w:rPr>
          <w:szCs w:val="24"/>
        </w:rPr>
        <w:t>Training records.</w:t>
      </w:r>
    </w:p>
    <w:p w:rsidR="003905A6" w:rsidRPr="006C675C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6C675C">
        <w:rPr>
          <w:szCs w:val="24"/>
        </w:rPr>
        <w:t>Insurance and special ter</w:t>
      </w:r>
      <w:r>
        <w:rPr>
          <w:szCs w:val="24"/>
        </w:rPr>
        <w:t>ms of condition of the contract.</w:t>
      </w:r>
    </w:p>
    <w:p w:rsidR="003905A6" w:rsidRPr="006C675C" w:rsidRDefault="003905A6" w:rsidP="003905A6">
      <w:pPr>
        <w:numPr>
          <w:ilvl w:val="0"/>
          <w:numId w:val="2"/>
        </w:numPr>
        <w:spacing w:before="0" w:line="480" w:lineRule="auto"/>
        <w:rPr>
          <w:rFonts w:cs="Tahoma"/>
          <w:szCs w:val="24"/>
        </w:rPr>
      </w:pPr>
      <w:r w:rsidRPr="006C675C">
        <w:rPr>
          <w:rFonts w:cs="Tahoma"/>
          <w:szCs w:val="24"/>
        </w:rPr>
        <w:lastRenderedPageBreak/>
        <w:t>Any significant environmental impacts as</w:t>
      </w:r>
      <w:r>
        <w:rPr>
          <w:rFonts w:cs="Tahoma"/>
          <w:szCs w:val="24"/>
        </w:rPr>
        <w:t xml:space="preserve"> a result of the contract works.</w:t>
      </w:r>
    </w:p>
    <w:p w:rsidR="003905A6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6C675C">
        <w:rPr>
          <w:szCs w:val="24"/>
        </w:rPr>
        <w:t>Any other factors relevant t</w:t>
      </w:r>
      <w:r>
        <w:rPr>
          <w:szCs w:val="24"/>
        </w:rPr>
        <w:t>o the contract.</w:t>
      </w:r>
    </w:p>
    <w:p w:rsidR="003905A6" w:rsidRPr="006504A0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6504A0">
        <w:rPr>
          <w:szCs w:val="24"/>
        </w:rPr>
        <w:t>Hot work</w:t>
      </w:r>
      <w:r>
        <w:rPr>
          <w:szCs w:val="24"/>
        </w:rPr>
        <w:t>.</w:t>
      </w:r>
    </w:p>
    <w:p w:rsidR="003905A6" w:rsidRDefault="003905A6" w:rsidP="003905A6">
      <w:pPr>
        <w:numPr>
          <w:ilvl w:val="0"/>
          <w:numId w:val="2"/>
        </w:numPr>
        <w:spacing w:before="0" w:line="480" w:lineRule="auto"/>
        <w:rPr>
          <w:szCs w:val="24"/>
        </w:rPr>
      </w:pPr>
      <w:r w:rsidRPr="006504A0">
        <w:rPr>
          <w:szCs w:val="24"/>
        </w:rPr>
        <w:t>Working at height</w:t>
      </w:r>
      <w:r>
        <w:rPr>
          <w:szCs w:val="24"/>
        </w:rPr>
        <w:t>.</w:t>
      </w:r>
    </w:p>
    <w:p w:rsidR="00883AD4" w:rsidRDefault="00883AD4"/>
    <w:sectPr w:rsidR="00883AD4" w:rsidSect="00883A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D9" w:rsidRDefault="00EC5FD9" w:rsidP="00C2303C">
      <w:pPr>
        <w:spacing w:before="0"/>
      </w:pPr>
      <w:r>
        <w:separator/>
      </w:r>
    </w:p>
  </w:endnote>
  <w:endnote w:type="continuationSeparator" w:id="0">
    <w:p w:rsidR="00EC5FD9" w:rsidRDefault="00EC5FD9" w:rsidP="00C230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3C" w:rsidRPr="00C2303C" w:rsidRDefault="00C2303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</w:rPr>
    </w:pPr>
    <w:r w:rsidRPr="00C2303C">
      <w:rPr>
        <w:color w:val="548DD4" w:themeColor="text2" w:themeTint="99"/>
        <w:spacing w:val="60"/>
        <w:sz w:val="20"/>
      </w:rPr>
      <w:t>Page</w:t>
    </w:r>
    <w:r w:rsidRPr="00C2303C">
      <w:rPr>
        <w:color w:val="548DD4" w:themeColor="text2" w:themeTint="99"/>
        <w:sz w:val="20"/>
      </w:rPr>
      <w:t xml:space="preserve"> </w:t>
    </w:r>
    <w:r w:rsidRPr="00C2303C">
      <w:rPr>
        <w:color w:val="17365D" w:themeColor="text2" w:themeShade="BF"/>
        <w:sz w:val="20"/>
      </w:rPr>
      <w:fldChar w:fldCharType="begin"/>
    </w:r>
    <w:r w:rsidRPr="00C2303C">
      <w:rPr>
        <w:color w:val="17365D" w:themeColor="text2" w:themeShade="BF"/>
        <w:sz w:val="20"/>
      </w:rPr>
      <w:instrText xml:space="preserve"> PAGE   \* MERGEFORMAT </w:instrText>
    </w:r>
    <w:r w:rsidRPr="00C2303C">
      <w:rPr>
        <w:color w:val="17365D" w:themeColor="text2" w:themeShade="BF"/>
        <w:sz w:val="20"/>
      </w:rPr>
      <w:fldChar w:fldCharType="separate"/>
    </w:r>
    <w:r>
      <w:rPr>
        <w:noProof/>
        <w:color w:val="17365D" w:themeColor="text2" w:themeShade="BF"/>
        <w:sz w:val="20"/>
      </w:rPr>
      <w:t>1</w:t>
    </w:r>
    <w:r w:rsidRPr="00C2303C">
      <w:rPr>
        <w:color w:val="17365D" w:themeColor="text2" w:themeShade="BF"/>
        <w:sz w:val="20"/>
      </w:rPr>
      <w:fldChar w:fldCharType="end"/>
    </w:r>
    <w:r w:rsidRPr="00C2303C">
      <w:rPr>
        <w:color w:val="17365D" w:themeColor="text2" w:themeShade="BF"/>
        <w:sz w:val="20"/>
      </w:rPr>
      <w:t xml:space="preserve"> | </w:t>
    </w:r>
    <w:r w:rsidRPr="00C2303C">
      <w:rPr>
        <w:color w:val="17365D" w:themeColor="text2" w:themeShade="BF"/>
        <w:sz w:val="20"/>
      </w:rPr>
      <w:fldChar w:fldCharType="begin"/>
    </w:r>
    <w:r w:rsidRPr="00C2303C">
      <w:rPr>
        <w:color w:val="17365D" w:themeColor="text2" w:themeShade="BF"/>
        <w:sz w:val="20"/>
      </w:rPr>
      <w:instrText xml:space="preserve"> NUMPAGES  \* Arabic  \* MERGEFORMAT </w:instrText>
    </w:r>
    <w:r w:rsidRPr="00C2303C">
      <w:rPr>
        <w:color w:val="17365D" w:themeColor="text2" w:themeShade="BF"/>
        <w:sz w:val="20"/>
      </w:rPr>
      <w:fldChar w:fldCharType="separate"/>
    </w:r>
    <w:r>
      <w:rPr>
        <w:noProof/>
        <w:color w:val="17365D" w:themeColor="text2" w:themeShade="BF"/>
        <w:sz w:val="20"/>
      </w:rPr>
      <w:t>2</w:t>
    </w:r>
    <w:r w:rsidRPr="00C2303C">
      <w:rPr>
        <w:color w:val="17365D" w:themeColor="text2" w:themeShade="BF"/>
        <w:sz w:val="20"/>
      </w:rPr>
      <w:fldChar w:fldCharType="end"/>
    </w:r>
  </w:p>
  <w:p w:rsidR="00C2303C" w:rsidRDefault="00C2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D9" w:rsidRDefault="00EC5FD9" w:rsidP="00C2303C">
      <w:pPr>
        <w:spacing w:before="0"/>
      </w:pPr>
      <w:r>
        <w:separator/>
      </w:r>
    </w:p>
  </w:footnote>
  <w:footnote w:type="continuationSeparator" w:id="0">
    <w:p w:rsidR="00EC5FD9" w:rsidRDefault="00EC5FD9" w:rsidP="00C230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9F2"/>
    <w:multiLevelType w:val="multilevel"/>
    <w:tmpl w:val="C582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E351ADD"/>
    <w:multiLevelType w:val="hybridMultilevel"/>
    <w:tmpl w:val="4AF8A340"/>
    <w:lvl w:ilvl="0" w:tplc="34F29DF0">
      <w:start w:val="1"/>
      <w:numFmt w:val="upperLetter"/>
      <w:pStyle w:val="AppendixCTHB"/>
      <w:lvlText w:val="Appendix %1 - "/>
      <w:lvlJc w:val="left"/>
      <w:pPr>
        <w:tabs>
          <w:tab w:val="num" w:pos="2204"/>
        </w:tabs>
        <w:ind w:left="2204" w:hanging="360"/>
      </w:pPr>
      <w:rPr>
        <w:rFonts w:ascii="Verdana" w:hAnsi="Verdana" w:hint="default"/>
        <w:b/>
        <w:i w:val="0"/>
        <w:sz w:val="32"/>
        <w:szCs w:val="3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A6"/>
    <w:rsid w:val="003905A6"/>
    <w:rsid w:val="005C0366"/>
    <w:rsid w:val="00883AD4"/>
    <w:rsid w:val="00C2303C"/>
    <w:rsid w:val="00EC5FD9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27B7F-D25E-4CAB-A226-0D60E1DD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A6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A6"/>
    <w:pPr>
      <w:ind w:left="720"/>
      <w:contextualSpacing/>
    </w:pPr>
  </w:style>
  <w:style w:type="paragraph" w:customStyle="1" w:styleId="AppendixCTHB">
    <w:name w:val="Appendix CTHB"/>
    <w:basedOn w:val="Heading1"/>
    <w:link w:val="AppendixCTHBCharChar"/>
    <w:rsid w:val="003905A6"/>
    <w:pPr>
      <w:keepLines w:val="0"/>
      <w:numPr>
        <w:numId w:val="1"/>
      </w:numPr>
      <w:tabs>
        <w:tab w:val="clear" w:pos="2204"/>
        <w:tab w:val="left" w:pos="0"/>
        <w:tab w:val="num" w:pos="720"/>
      </w:tabs>
      <w:spacing w:before="0"/>
      <w:ind w:left="357" w:hanging="357"/>
    </w:pPr>
    <w:rPr>
      <w:rFonts w:ascii="Verdana" w:eastAsia="Times New Roman" w:hAnsi="Verdana" w:cs="Times New Roman"/>
      <w:color w:val="000000"/>
      <w:kern w:val="28"/>
      <w:sz w:val="32"/>
      <w:lang w:val="en-US"/>
    </w:rPr>
  </w:style>
  <w:style w:type="character" w:customStyle="1" w:styleId="AppendixCTHBCharChar">
    <w:name w:val="Appendix CTHB Char Char"/>
    <w:basedOn w:val="DefaultParagraphFont"/>
    <w:link w:val="AppendixCTHB"/>
    <w:rsid w:val="003905A6"/>
    <w:rPr>
      <w:rFonts w:ascii="Verdana" w:eastAsia="Times New Roman" w:hAnsi="Verdana" w:cs="Times New Roman"/>
      <w:b/>
      <w:bCs/>
      <w:color w:val="000000"/>
      <w:kern w:val="28"/>
      <w:sz w:val="3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0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303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2303C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03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303C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Parsons</dc:creator>
  <cp:lastModifiedBy>Mark Parsons (Public Health Wales - No. 2 Capital Quarter)</cp:lastModifiedBy>
  <cp:revision>4</cp:revision>
  <dcterms:created xsi:type="dcterms:W3CDTF">2017-06-06T12:23:00Z</dcterms:created>
  <dcterms:modified xsi:type="dcterms:W3CDTF">2018-02-12T07:53:00Z</dcterms:modified>
</cp:coreProperties>
</file>