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4A4" w:rsidRDefault="00B17414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-44745</wp:posOffset>
            </wp:positionH>
            <wp:positionV relativeFrom="margin">
              <wp:posOffset>-95693</wp:posOffset>
            </wp:positionV>
            <wp:extent cx="3585387" cy="839972"/>
            <wp:effectExtent l="19050" t="0" r="0" b="0"/>
            <wp:wrapNone/>
            <wp:docPr id="2" name="Picture 3" descr="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5387" cy="839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754A4" w:rsidRDefault="000754A4"/>
    <w:p w:rsidR="000754A4" w:rsidRDefault="000754A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2"/>
        <w:gridCol w:w="6511"/>
        <w:gridCol w:w="1542"/>
        <w:gridCol w:w="2973"/>
      </w:tblGrid>
      <w:tr w:rsidR="007D04A1" w:rsidTr="00C83397">
        <w:tc>
          <w:tcPr>
            <w:tcW w:w="14174" w:type="dxa"/>
            <w:gridSpan w:val="4"/>
            <w:shd w:val="clear" w:color="auto" w:fill="D9D9D9" w:themeFill="background1" w:themeFillShade="D9"/>
          </w:tcPr>
          <w:p w:rsidR="007D04A1" w:rsidRDefault="007D04A1" w:rsidP="007D04A1">
            <w:pPr>
              <w:rPr>
                <w:rFonts w:ascii="Verdana" w:hAnsi="Verdana"/>
                <w:sz w:val="32"/>
                <w:szCs w:val="32"/>
              </w:rPr>
            </w:pPr>
          </w:p>
          <w:p w:rsidR="007D04A1" w:rsidRPr="007D04A1" w:rsidRDefault="00E302BE" w:rsidP="007D04A1">
            <w:pPr>
              <w:jc w:val="center"/>
              <w:rPr>
                <w:rFonts w:ascii="Verdana" w:hAnsi="Verdana"/>
                <w:sz w:val="32"/>
                <w:szCs w:val="32"/>
              </w:rPr>
            </w:pPr>
            <w:r w:rsidRPr="00E302BE">
              <w:rPr>
                <w:rFonts w:ascii="Verdana" w:hAnsi="Verdana"/>
                <w:noProof/>
                <w:sz w:val="32"/>
                <w:szCs w:val="32"/>
                <w:lang w:eastAsia="en-GB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margin">
                    <wp:posOffset>-44745</wp:posOffset>
                  </wp:positionH>
                  <wp:positionV relativeFrom="margin">
                    <wp:posOffset>-1071688</wp:posOffset>
                  </wp:positionV>
                  <wp:extent cx="3585387" cy="839972"/>
                  <wp:effectExtent l="19050" t="0" r="0" b="0"/>
                  <wp:wrapNone/>
                  <wp:docPr id="3" name="Picture 3" descr="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5387" cy="8399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7D04A1" w:rsidRPr="007D04A1">
              <w:rPr>
                <w:rFonts w:ascii="Verdana" w:hAnsi="Verdana"/>
                <w:sz w:val="32"/>
                <w:szCs w:val="32"/>
              </w:rPr>
              <w:t>Implementation Plan</w:t>
            </w:r>
          </w:p>
          <w:p w:rsidR="007D04A1" w:rsidRDefault="007D04A1">
            <w:pPr>
              <w:rPr>
                <w:rFonts w:ascii="Verdana" w:hAnsi="Verdana"/>
              </w:rPr>
            </w:pPr>
          </w:p>
        </w:tc>
      </w:tr>
      <w:tr w:rsidR="00C83397" w:rsidTr="00C83397">
        <w:tc>
          <w:tcPr>
            <w:tcW w:w="2943" w:type="dxa"/>
            <w:shd w:val="clear" w:color="auto" w:fill="F2F2F2" w:themeFill="background1" w:themeFillShade="F2"/>
          </w:tcPr>
          <w:p w:rsidR="00C83397" w:rsidRDefault="00C83397" w:rsidP="0010692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Policy name:</w:t>
            </w:r>
          </w:p>
          <w:p w:rsidR="00C83397" w:rsidRDefault="00C83397" w:rsidP="00106920">
            <w:pPr>
              <w:rPr>
                <w:rFonts w:ascii="Verdana" w:hAnsi="Verdana"/>
              </w:rPr>
            </w:pPr>
          </w:p>
        </w:tc>
        <w:tc>
          <w:tcPr>
            <w:tcW w:w="11231" w:type="dxa"/>
            <w:gridSpan w:val="3"/>
          </w:tcPr>
          <w:p w:rsidR="00C83397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 w:cs="Arial"/>
                <w:b/>
                <w:caps/>
                <w:sz w:val="24"/>
                <w:szCs w:val="24"/>
              </w:rPr>
              <w:t>PUBLIC HEALTH WALES research misconduct POLICY</w:t>
            </w:r>
          </w:p>
        </w:tc>
      </w:tr>
      <w:tr w:rsidR="00C83397" w:rsidTr="00C83397">
        <w:tc>
          <w:tcPr>
            <w:tcW w:w="2943" w:type="dxa"/>
            <w:shd w:val="clear" w:color="auto" w:fill="F2F2F2" w:themeFill="background1" w:themeFillShade="F2"/>
          </w:tcPr>
          <w:p w:rsidR="00C83397" w:rsidRDefault="00C83397" w:rsidP="0010692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Ref no:</w:t>
            </w:r>
          </w:p>
          <w:p w:rsidR="00C83397" w:rsidRDefault="00C83397" w:rsidP="00106920">
            <w:pPr>
              <w:rPr>
                <w:rFonts w:ascii="Verdana" w:hAnsi="Verdana"/>
              </w:rPr>
            </w:pPr>
          </w:p>
        </w:tc>
        <w:tc>
          <w:tcPr>
            <w:tcW w:w="11231" w:type="dxa"/>
            <w:gridSpan w:val="3"/>
          </w:tcPr>
          <w:p w:rsidR="00C83397" w:rsidRDefault="0090444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PHW 73</w:t>
            </w:r>
          </w:p>
        </w:tc>
      </w:tr>
      <w:tr w:rsidR="00C83397" w:rsidTr="00C83397">
        <w:tc>
          <w:tcPr>
            <w:tcW w:w="2943" w:type="dxa"/>
            <w:shd w:val="clear" w:color="auto" w:fill="F2F2F2" w:themeFill="background1" w:themeFillShade="F2"/>
          </w:tcPr>
          <w:p w:rsidR="00C83397" w:rsidRDefault="00C83397" w:rsidP="0010692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Subject area:</w:t>
            </w:r>
          </w:p>
          <w:p w:rsidR="00C83397" w:rsidRDefault="00C83397" w:rsidP="00106920">
            <w:pPr>
              <w:rPr>
                <w:rFonts w:ascii="Verdana" w:hAnsi="Verdana"/>
              </w:rPr>
            </w:pPr>
          </w:p>
        </w:tc>
        <w:tc>
          <w:tcPr>
            <w:tcW w:w="11231" w:type="dxa"/>
            <w:gridSpan w:val="3"/>
          </w:tcPr>
          <w:p w:rsidR="00C83397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Research</w:t>
            </w:r>
          </w:p>
        </w:tc>
      </w:tr>
      <w:tr w:rsidR="00C83397" w:rsidTr="00C83397">
        <w:tc>
          <w:tcPr>
            <w:tcW w:w="2943" w:type="dxa"/>
            <w:shd w:val="clear" w:color="auto" w:fill="F2F2F2" w:themeFill="background1" w:themeFillShade="F2"/>
          </w:tcPr>
          <w:p w:rsidR="00C83397" w:rsidRDefault="00C83397" w:rsidP="0010692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Accountable Executive Director/Director</w:t>
            </w:r>
          </w:p>
        </w:tc>
        <w:tc>
          <w:tcPr>
            <w:tcW w:w="11231" w:type="dxa"/>
            <w:gridSpan w:val="3"/>
          </w:tcPr>
          <w:p w:rsidR="00C83397" w:rsidRDefault="00994E5C">
            <w:pPr>
              <w:rPr>
                <w:rFonts w:ascii="Verdana" w:hAnsi="Verdana"/>
              </w:rPr>
            </w:pPr>
            <w:r>
              <w:rPr>
                <w:rFonts w:ascii="Verdana" w:hAnsi="Verdana"/>
                <w:sz w:val="24"/>
                <w:szCs w:val="24"/>
              </w:rPr>
              <w:t>Director of Knowledge/ T</w:t>
            </w:r>
            <w:r w:rsidR="0060514E">
              <w:rPr>
                <w:rFonts w:ascii="Verdana" w:hAnsi="Verdana"/>
                <w:sz w:val="24"/>
                <w:szCs w:val="24"/>
              </w:rPr>
              <w:t>ransition Director</w:t>
            </w:r>
          </w:p>
        </w:tc>
      </w:tr>
      <w:tr w:rsidR="00C83397" w:rsidTr="00C83397">
        <w:tc>
          <w:tcPr>
            <w:tcW w:w="2943" w:type="dxa"/>
            <w:shd w:val="clear" w:color="auto" w:fill="F2F2F2" w:themeFill="background1" w:themeFillShade="F2"/>
          </w:tcPr>
          <w:p w:rsidR="00C83397" w:rsidRDefault="00C83397" w:rsidP="00106920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Author:</w:t>
            </w:r>
          </w:p>
          <w:p w:rsidR="00C83397" w:rsidRDefault="00C83397" w:rsidP="00106920">
            <w:pPr>
              <w:rPr>
                <w:rFonts w:ascii="Verdana" w:hAnsi="Verdana"/>
              </w:rPr>
            </w:pPr>
          </w:p>
        </w:tc>
        <w:tc>
          <w:tcPr>
            <w:tcW w:w="11231" w:type="dxa"/>
            <w:gridSpan w:val="3"/>
          </w:tcPr>
          <w:p w:rsidR="00C83397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  <w:sz w:val="24"/>
              </w:rPr>
              <w:t>Mark Griffiths, Laura Evans, Alisha Davies</w:t>
            </w:r>
          </w:p>
        </w:tc>
      </w:tr>
      <w:tr w:rsidR="00C83397" w:rsidTr="00C83397">
        <w:tc>
          <w:tcPr>
            <w:tcW w:w="2943" w:type="dxa"/>
            <w:shd w:val="clear" w:color="auto" w:fill="F2F2F2" w:themeFill="background1" w:themeFillShade="F2"/>
          </w:tcPr>
          <w:p w:rsidR="00C83397" w:rsidRDefault="00C8339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Version</w:t>
            </w:r>
          </w:p>
          <w:p w:rsidR="00C83397" w:rsidRDefault="00C83397">
            <w:pPr>
              <w:rPr>
                <w:rFonts w:ascii="Verdana" w:hAnsi="Verdana"/>
              </w:rPr>
            </w:pPr>
          </w:p>
        </w:tc>
        <w:tc>
          <w:tcPr>
            <w:tcW w:w="6663" w:type="dxa"/>
          </w:tcPr>
          <w:p w:rsidR="00C83397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C83397" w:rsidRDefault="00C8339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Date:</w:t>
            </w:r>
          </w:p>
        </w:tc>
        <w:tc>
          <w:tcPr>
            <w:tcW w:w="3009" w:type="dxa"/>
          </w:tcPr>
          <w:p w:rsidR="00C83397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18.11.2019</w:t>
            </w:r>
          </w:p>
        </w:tc>
      </w:tr>
    </w:tbl>
    <w:p w:rsidR="000754A4" w:rsidRDefault="000754A4" w:rsidP="00E302BE">
      <w:pPr>
        <w:spacing w:after="0" w:line="240" w:lineRule="auto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634"/>
        <w:gridCol w:w="7161"/>
        <w:gridCol w:w="1244"/>
        <w:gridCol w:w="1127"/>
        <w:gridCol w:w="2114"/>
      </w:tblGrid>
      <w:tr w:rsidR="00B17414" w:rsidTr="00994E5C">
        <w:tc>
          <w:tcPr>
            <w:tcW w:w="13948" w:type="dxa"/>
            <w:gridSpan w:val="6"/>
            <w:shd w:val="clear" w:color="auto" w:fill="D9D9D9" w:themeFill="background1" w:themeFillShade="D9"/>
            <w:vAlign w:val="center"/>
          </w:tcPr>
          <w:p w:rsidR="00B17414" w:rsidRPr="00B17414" w:rsidRDefault="00B17414" w:rsidP="00B17414">
            <w:pPr>
              <w:rPr>
                <w:rFonts w:ascii="Verdana" w:hAnsi="Verdana"/>
                <w:b/>
                <w:sz w:val="24"/>
                <w:szCs w:val="24"/>
              </w:rPr>
            </w:pPr>
            <w:r w:rsidRPr="00B17414">
              <w:rPr>
                <w:rFonts w:ascii="Verdana" w:hAnsi="Verdana"/>
                <w:b/>
                <w:sz w:val="24"/>
                <w:szCs w:val="24"/>
              </w:rPr>
              <w:t>Implementation plan (with timescales)</w:t>
            </w:r>
          </w:p>
          <w:p w:rsidR="00B17414" w:rsidRPr="00B17414" w:rsidRDefault="00B17414" w:rsidP="00B17414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</w:tr>
      <w:tr w:rsidR="00B17414" w:rsidTr="00994E5C">
        <w:tc>
          <w:tcPr>
            <w:tcW w:w="1668" w:type="dxa"/>
            <w:shd w:val="clear" w:color="auto" w:fill="F2F2F2" w:themeFill="background1" w:themeFillShade="F2"/>
          </w:tcPr>
          <w:p w:rsidR="00B17414" w:rsidRDefault="00B17414" w:rsidP="006F3BF6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Timescale</w:t>
            </w:r>
          </w:p>
        </w:tc>
        <w:tc>
          <w:tcPr>
            <w:tcW w:w="7795" w:type="dxa"/>
            <w:gridSpan w:val="2"/>
            <w:shd w:val="clear" w:color="auto" w:fill="F2F2F2" w:themeFill="background1" w:themeFillShade="F2"/>
          </w:tcPr>
          <w:p w:rsidR="00B17414" w:rsidRDefault="00B1741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Next steps</w:t>
            </w:r>
          </w:p>
          <w:p w:rsidR="00B17414" w:rsidRDefault="00B17414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  <w:shd w:val="clear" w:color="auto" w:fill="F2F2F2" w:themeFill="background1" w:themeFillShade="F2"/>
          </w:tcPr>
          <w:p w:rsidR="00B17414" w:rsidRDefault="00B1741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Responsible officer(s)</w:t>
            </w:r>
          </w:p>
        </w:tc>
      </w:tr>
      <w:tr w:rsidR="00E302BE" w:rsidTr="00994E5C">
        <w:trPr>
          <w:trHeight w:val="103"/>
        </w:trPr>
        <w:tc>
          <w:tcPr>
            <w:tcW w:w="1668" w:type="dxa"/>
            <w:vMerge w:val="restart"/>
            <w:shd w:val="clear" w:color="auto" w:fill="F2F2F2" w:themeFill="background1" w:themeFillShade="F2"/>
          </w:tcPr>
          <w:p w:rsidR="00E302BE" w:rsidRDefault="0060514E" w:rsidP="00E302B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Quarter 3</w:t>
            </w:r>
            <w:r w:rsidR="00E302BE">
              <w:rPr>
                <w:rFonts w:ascii="Verdana" w:hAnsi="Verdana"/>
              </w:rPr>
              <w:t xml:space="preserve"> 201</w:t>
            </w:r>
            <w:r>
              <w:rPr>
                <w:rFonts w:ascii="Verdana" w:hAnsi="Verdana"/>
              </w:rPr>
              <w:t>9</w:t>
            </w:r>
            <w:r w:rsidR="00E302BE">
              <w:rPr>
                <w:rFonts w:ascii="Verdana" w:hAnsi="Verdana"/>
              </w:rPr>
              <w:t>-</w:t>
            </w:r>
            <w:r>
              <w:rPr>
                <w:rFonts w:ascii="Verdana" w:hAnsi="Verdana"/>
              </w:rPr>
              <w:t>20</w:t>
            </w:r>
          </w:p>
          <w:p w:rsidR="00E302BE" w:rsidRDefault="00E302BE" w:rsidP="00E302B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(Baseline)</w:t>
            </w:r>
          </w:p>
        </w:tc>
        <w:tc>
          <w:tcPr>
            <w:tcW w:w="7795" w:type="dxa"/>
            <w:gridSpan w:val="2"/>
          </w:tcPr>
          <w:p w:rsidR="00E302BE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30 day consultation</w:t>
            </w:r>
          </w:p>
        </w:tc>
        <w:tc>
          <w:tcPr>
            <w:tcW w:w="4485" w:type="dxa"/>
            <w:gridSpan w:val="3"/>
          </w:tcPr>
          <w:p w:rsidR="00E302BE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Alisha Davies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Collation of responses and necessary amendments made</w:t>
            </w: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Launch of new policy</w:t>
            </w: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3"/>
        </w:trPr>
        <w:tc>
          <w:tcPr>
            <w:tcW w:w="1668" w:type="dxa"/>
            <w:vMerge w:val="restart"/>
            <w:shd w:val="clear" w:color="auto" w:fill="F2F2F2" w:themeFill="background1" w:themeFillShade="F2"/>
          </w:tcPr>
          <w:p w:rsidR="00E302BE" w:rsidRDefault="0060514E" w:rsidP="00E302B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Quarter 4</w:t>
            </w:r>
          </w:p>
          <w:p w:rsidR="00E302BE" w:rsidRDefault="0060514E" w:rsidP="00F6406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2019-20 </w:t>
            </w:r>
            <w:r w:rsidR="00E302BE">
              <w:rPr>
                <w:rFonts w:ascii="Verdana" w:hAnsi="Verdana"/>
              </w:rPr>
              <w:t>(Baseline)</w:t>
            </w:r>
          </w:p>
        </w:tc>
        <w:tc>
          <w:tcPr>
            <w:tcW w:w="7795" w:type="dxa"/>
            <w:gridSpan w:val="2"/>
          </w:tcPr>
          <w:p w:rsidR="00E302BE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Monitor implementation of policy</w:t>
            </w:r>
          </w:p>
        </w:tc>
        <w:tc>
          <w:tcPr>
            <w:tcW w:w="4485" w:type="dxa"/>
            <w:gridSpan w:val="3"/>
          </w:tcPr>
          <w:p w:rsidR="00E302BE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John Lawson, Alisha Davies, Sian Bolton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60514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Record number of incidents requiring a response </w:t>
            </w:r>
            <w:r w:rsidR="00F01CFC">
              <w:rPr>
                <w:rFonts w:ascii="Verdana" w:hAnsi="Verdana"/>
              </w:rPr>
              <w:t>to an allegation of research misconduct by each quarter</w:t>
            </w:r>
          </w:p>
        </w:tc>
        <w:tc>
          <w:tcPr>
            <w:tcW w:w="4485" w:type="dxa"/>
            <w:gridSpan w:val="3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John Lawson, Mark Griffiths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Report any new cases to the R&amp;E Oversight Group and BET, KRIC as appropriate</w:t>
            </w:r>
          </w:p>
        </w:tc>
        <w:tc>
          <w:tcPr>
            <w:tcW w:w="4485" w:type="dxa"/>
            <w:gridSpan w:val="3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Sian Bolton, Alisha Davies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3"/>
        </w:trPr>
        <w:tc>
          <w:tcPr>
            <w:tcW w:w="1668" w:type="dxa"/>
            <w:vMerge w:val="restart"/>
            <w:shd w:val="clear" w:color="auto" w:fill="F2F2F2" w:themeFill="background1" w:themeFillShade="F2"/>
          </w:tcPr>
          <w:p w:rsidR="00E302BE" w:rsidRDefault="00F01CFC" w:rsidP="00E302B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Quarter 1</w:t>
            </w:r>
          </w:p>
          <w:p w:rsidR="00E302BE" w:rsidRDefault="00F01CFC" w:rsidP="00E302B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2020</w:t>
            </w:r>
            <w:r w:rsidR="00E302BE">
              <w:rPr>
                <w:rFonts w:ascii="Verdana" w:hAnsi="Verdana"/>
              </w:rPr>
              <w:t>-</w:t>
            </w:r>
            <w:r>
              <w:rPr>
                <w:rFonts w:ascii="Verdana" w:hAnsi="Verdana"/>
              </w:rPr>
              <w:t>2</w:t>
            </w:r>
            <w:r w:rsidR="00E302BE">
              <w:rPr>
                <w:rFonts w:ascii="Verdana" w:hAnsi="Verdana"/>
              </w:rPr>
              <w:t>1</w:t>
            </w:r>
          </w:p>
          <w:p w:rsidR="00E302BE" w:rsidRDefault="00E302BE" w:rsidP="00E302B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(Baseline)</w:t>
            </w:r>
          </w:p>
        </w:tc>
        <w:tc>
          <w:tcPr>
            <w:tcW w:w="7795" w:type="dxa"/>
            <w:gridSpan w:val="2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Continued monitoring and reporting</w:t>
            </w:r>
          </w:p>
        </w:tc>
        <w:tc>
          <w:tcPr>
            <w:tcW w:w="4485" w:type="dxa"/>
            <w:gridSpan w:val="3"/>
          </w:tcPr>
          <w:p w:rsidR="00E302BE" w:rsidRDefault="00F01CFC">
            <w:pPr>
              <w:rPr>
                <w:rFonts w:ascii="Verdana" w:hAnsi="Verdana"/>
              </w:rPr>
            </w:pPr>
            <w:r w:rsidRPr="00F01CFC">
              <w:rPr>
                <w:rFonts w:ascii="Verdana" w:hAnsi="Verdana"/>
              </w:rPr>
              <w:t>John Lawson, Alisha Davies, Sian Bolton</w:t>
            </w:r>
          </w:p>
        </w:tc>
      </w:tr>
      <w:tr w:rsidR="00994E5C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994E5C" w:rsidRDefault="00994E5C" w:rsidP="00994E5C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994E5C" w:rsidRDefault="00994E5C" w:rsidP="00994E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Report any new cases to the R&amp;E Oversight Group and BET, KRIC as appropriate</w:t>
            </w:r>
          </w:p>
        </w:tc>
        <w:tc>
          <w:tcPr>
            <w:tcW w:w="4485" w:type="dxa"/>
            <w:gridSpan w:val="3"/>
          </w:tcPr>
          <w:p w:rsidR="00994E5C" w:rsidRDefault="00994E5C" w:rsidP="00994E5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Sian Bolton, Alisha Davies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3"/>
        </w:trPr>
        <w:tc>
          <w:tcPr>
            <w:tcW w:w="1668" w:type="dxa"/>
            <w:vMerge w:val="restart"/>
            <w:shd w:val="clear" w:color="auto" w:fill="F2F2F2" w:themeFill="background1" w:themeFillShade="F2"/>
          </w:tcPr>
          <w:p w:rsidR="00E302BE" w:rsidRDefault="00E302BE" w:rsidP="00E302B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Quarter 4</w:t>
            </w:r>
          </w:p>
          <w:p w:rsidR="00E302BE" w:rsidRDefault="00F01CFC" w:rsidP="00E302BE">
            <w:pPr>
              <w:jc w:val="center"/>
              <w:rPr>
                <w:rFonts w:ascii="Verdana" w:hAnsi="Verdana"/>
              </w:rPr>
            </w:pPr>
            <w:r w:rsidRPr="00F01CFC">
              <w:rPr>
                <w:rFonts w:ascii="Verdana" w:hAnsi="Verdana"/>
              </w:rPr>
              <w:t xml:space="preserve">2020-21 </w:t>
            </w:r>
            <w:r w:rsidR="00E302BE">
              <w:rPr>
                <w:rFonts w:ascii="Verdana" w:hAnsi="Verdana"/>
              </w:rPr>
              <w:t>(Baseline)</w:t>
            </w:r>
          </w:p>
        </w:tc>
        <w:tc>
          <w:tcPr>
            <w:tcW w:w="7795" w:type="dxa"/>
            <w:gridSpan w:val="2"/>
          </w:tcPr>
          <w:p w:rsidR="00E302BE" w:rsidRDefault="00F01CFC">
            <w:pPr>
              <w:rPr>
                <w:rFonts w:ascii="Verdana" w:hAnsi="Verdana"/>
              </w:rPr>
            </w:pPr>
            <w:r w:rsidRPr="00F01CFC">
              <w:rPr>
                <w:rFonts w:ascii="Verdana" w:hAnsi="Verdana"/>
              </w:rPr>
              <w:t>Continued monitoring and reporting</w:t>
            </w:r>
          </w:p>
        </w:tc>
        <w:tc>
          <w:tcPr>
            <w:tcW w:w="4485" w:type="dxa"/>
            <w:gridSpan w:val="3"/>
          </w:tcPr>
          <w:p w:rsidR="00E302BE" w:rsidRDefault="00F01CFC">
            <w:pPr>
              <w:rPr>
                <w:rFonts w:ascii="Verdana" w:hAnsi="Verdana"/>
              </w:rPr>
            </w:pPr>
            <w:r w:rsidRPr="00F01CFC">
              <w:rPr>
                <w:rFonts w:ascii="Verdana" w:hAnsi="Verdana"/>
              </w:rPr>
              <w:t>John Lawson, Alisha Davies, Sian Bolton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Review policy implementation at the end of year 1</w:t>
            </w:r>
            <w:r w:rsidR="00994E5C">
              <w:rPr>
                <w:rFonts w:ascii="Verdana" w:hAnsi="Verdana"/>
              </w:rPr>
              <w:t xml:space="preserve"> with R&amp;E Oversight Group</w:t>
            </w:r>
          </w:p>
        </w:tc>
        <w:tc>
          <w:tcPr>
            <w:tcW w:w="4485" w:type="dxa"/>
            <w:gridSpan w:val="3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Mark Griffiths, Alisha Davies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Make any necessary alterations and notify Corporate Governance</w:t>
            </w:r>
            <w:r w:rsidR="00994E5C">
              <w:rPr>
                <w:rFonts w:ascii="Verdana" w:hAnsi="Verdana"/>
              </w:rPr>
              <w:t>, BET and KRIC</w:t>
            </w:r>
          </w:p>
        </w:tc>
        <w:tc>
          <w:tcPr>
            <w:tcW w:w="4485" w:type="dxa"/>
            <w:gridSpan w:val="3"/>
          </w:tcPr>
          <w:p w:rsidR="00E302BE" w:rsidRDefault="00F01C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Alisha Davies, Sian Bolton</w:t>
            </w: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E302BE" w:rsidTr="00994E5C">
        <w:trPr>
          <w:trHeight w:val="100"/>
        </w:trPr>
        <w:tc>
          <w:tcPr>
            <w:tcW w:w="1668" w:type="dxa"/>
            <w:vMerge/>
            <w:shd w:val="clear" w:color="auto" w:fill="F2F2F2" w:themeFill="background1" w:themeFillShade="F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7795" w:type="dxa"/>
            <w:gridSpan w:val="2"/>
          </w:tcPr>
          <w:p w:rsidR="00E302BE" w:rsidRDefault="00E302BE">
            <w:pPr>
              <w:rPr>
                <w:rFonts w:ascii="Verdana" w:hAnsi="Verdana"/>
              </w:rPr>
            </w:pPr>
          </w:p>
        </w:tc>
        <w:tc>
          <w:tcPr>
            <w:tcW w:w="4485" w:type="dxa"/>
            <w:gridSpan w:val="3"/>
          </w:tcPr>
          <w:p w:rsidR="00E302BE" w:rsidRDefault="00E302BE">
            <w:pPr>
              <w:rPr>
                <w:rFonts w:ascii="Verdana" w:hAnsi="Verdana"/>
              </w:rPr>
            </w:pPr>
          </w:p>
        </w:tc>
      </w:tr>
      <w:tr w:rsidR="00B17414" w:rsidTr="00994E5C">
        <w:tc>
          <w:tcPr>
            <w:tcW w:w="13948" w:type="dxa"/>
            <w:gridSpan w:val="6"/>
            <w:shd w:val="clear" w:color="auto" w:fill="D9D9D9" w:themeFill="background1" w:themeFillShade="D9"/>
          </w:tcPr>
          <w:p w:rsidR="00B17414" w:rsidRPr="00B17414" w:rsidRDefault="00B17414">
            <w:pPr>
              <w:rPr>
                <w:rFonts w:ascii="Verdana" w:hAnsi="Verdana"/>
                <w:b/>
                <w:sz w:val="24"/>
              </w:rPr>
            </w:pPr>
            <w:r w:rsidRPr="00B17414">
              <w:rPr>
                <w:rFonts w:ascii="Verdana" w:hAnsi="Verdana"/>
                <w:b/>
                <w:sz w:val="24"/>
              </w:rPr>
              <w:t>Feedback</w:t>
            </w:r>
          </w:p>
          <w:p w:rsidR="00B17414" w:rsidRDefault="00B17414">
            <w:pPr>
              <w:rPr>
                <w:rFonts w:ascii="Verdana" w:hAnsi="Verdana"/>
              </w:rPr>
            </w:pPr>
          </w:p>
        </w:tc>
      </w:tr>
      <w:tr w:rsidR="00B17414" w:rsidTr="00994E5C">
        <w:tc>
          <w:tcPr>
            <w:tcW w:w="13948" w:type="dxa"/>
            <w:gridSpan w:val="6"/>
          </w:tcPr>
          <w:p w:rsidR="00B17414" w:rsidRDefault="00B17414">
            <w:pPr>
              <w:rPr>
                <w:rFonts w:ascii="Verdana" w:hAnsi="Verdana"/>
              </w:rPr>
            </w:pPr>
          </w:p>
          <w:p w:rsidR="00B17414" w:rsidRDefault="00B17414">
            <w:pPr>
              <w:rPr>
                <w:rFonts w:ascii="Verdana" w:hAnsi="Verdana"/>
              </w:rPr>
            </w:pPr>
          </w:p>
        </w:tc>
      </w:tr>
      <w:tr w:rsidR="00B17414" w:rsidTr="00994E5C">
        <w:tc>
          <w:tcPr>
            <w:tcW w:w="13948" w:type="dxa"/>
            <w:gridSpan w:val="6"/>
            <w:shd w:val="clear" w:color="auto" w:fill="D9D9D9" w:themeFill="background1" w:themeFillShade="D9"/>
          </w:tcPr>
          <w:p w:rsidR="00B17414" w:rsidRPr="00B17414" w:rsidRDefault="00B17414">
            <w:pPr>
              <w:rPr>
                <w:rFonts w:ascii="Verdana" w:hAnsi="Verdana"/>
                <w:b/>
                <w:sz w:val="24"/>
              </w:rPr>
            </w:pPr>
            <w:r w:rsidRPr="00B17414">
              <w:rPr>
                <w:rFonts w:ascii="Verdana" w:hAnsi="Verdana"/>
                <w:b/>
                <w:sz w:val="24"/>
              </w:rPr>
              <w:t>Amendments required to policy</w:t>
            </w:r>
          </w:p>
          <w:p w:rsidR="00B17414" w:rsidRDefault="00B17414">
            <w:pPr>
              <w:rPr>
                <w:rFonts w:ascii="Verdana" w:hAnsi="Verdana"/>
              </w:rPr>
            </w:pPr>
          </w:p>
        </w:tc>
      </w:tr>
      <w:tr w:rsidR="00B17414" w:rsidTr="00994E5C">
        <w:tc>
          <w:tcPr>
            <w:tcW w:w="13948" w:type="dxa"/>
            <w:gridSpan w:val="6"/>
          </w:tcPr>
          <w:p w:rsidR="00B17414" w:rsidRDefault="00B17414">
            <w:pPr>
              <w:rPr>
                <w:rFonts w:ascii="Verdana" w:hAnsi="Verdana"/>
              </w:rPr>
            </w:pPr>
          </w:p>
          <w:p w:rsidR="00B17414" w:rsidRDefault="00B17414">
            <w:pPr>
              <w:rPr>
                <w:rFonts w:ascii="Verdana" w:hAnsi="Verdana"/>
              </w:rPr>
            </w:pPr>
          </w:p>
        </w:tc>
      </w:tr>
      <w:tr w:rsidR="00B17414" w:rsidTr="00994E5C">
        <w:tc>
          <w:tcPr>
            <w:tcW w:w="2302" w:type="dxa"/>
            <w:gridSpan w:val="2"/>
            <w:shd w:val="clear" w:color="auto" w:fill="D9D9D9" w:themeFill="background1" w:themeFillShade="D9"/>
          </w:tcPr>
          <w:p w:rsidR="00B17414" w:rsidRDefault="00C30592" w:rsidP="00C3059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Completed by:</w:t>
            </w:r>
          </w:p>
        </w:tc>
        <w:tc>
          <w:tcPr>
            <w:tcW w:w="8405" w:type="dxa"/>
            <w:gridSpan w:val="2"/>
          </w:tcPr>
          <w:p w:rsidR="00B17414" w:rsidRDefault="00C3059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Mark Griffiths</w:t>
            </w:r>
            <w:r w:rsidR="00E302BE">
              <w:rPr>
                <w:rFonts w:ascii="Verdana" w:hAnsi="Verdana"/>
              </w:rPr>
              <w:t xml:space="preserve"> </w:t>
            </w:r>
          </w:p>
        </w:tc>
        <w:tc>
          <w:tcPr>
            <w:tcW w:w="1127" w:type="dxa"/>
          </w:tcPr>
          <w:p w:rsidR="00B17414" w:rsidRDefault="00B1741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Date:</w:t>
            </w:r>
          </w:p>
        </w:tc>
        <w:tc>
          <w:tcPr>
            <w:tcW w:w="2114" w:type="dxa"/>
          </w:tcPr>
          <w:p w:rsidR="00B17414" w:rsidRDefault="00C3059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18.11.2019</w:t>
            </w:r>
          </w:p>
        </w:tc>
      </w:tr>
      <w:tr w:rsidR="00B17414" w:rsidTr="00994E5C">
        <w:tc>
          <w:tcPr>
            <w:tcW w:w="2302" w:type="dxa"/>
            <w:gridSpan w:val="2"/>
            <w:shd w:val="clear" w:color="auto" w:fill="D9D9D9" w:themeFill="background1" w:themeFillShade="D9"/>
          </w:tcPr>
          <w:p w:rsidR="00B17414" w:rsidRDefault="00B1741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Board/Committee approval</w:t>
            </w:r>
            <w:r w:rsidR="006F3BF6">
              <w:rPr>
                <w:rFonts w:ascii="Verdana" w:hAnsi="Verdana"/>
              </w:rPr>
              <w:t>:</w:t>
            </w:r>
          </w:p>
        </w:tc>
        <w:tc>
          <w:tcPr>
            <w:tcW w:w="8405" w:type="dxa"/>
            <w:gridSpan w:val="2"/>
          </w:tcPr>
          <w:p w:rsidR="00B17414" w:rsidRDefault="00B17414">
            <w:pPr>
              <w:rPr>
                <w:rFonts w:ascii="Verdana" w:hAnsi="Verdana"/>
              </w:rPr>
            </w:pPr>
          </w:p>
        </w:tc>
        <w:tc>
          <w:tcPr>
            <w:tcW w:w="1127" w:type="dxa"/>
          </w:tcPr>
          <w:p w:rsidR="00B17414" w:rsidRDefault="00B17414" w:rsidP="00BA3CD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Date:</w:t>
            </w:r>
          </w:p>
        </w:tc>
        <w:tc>
          <w:tcPr>
            <w:tcW w:w="2114" w:type="dxa"/>
          </w:tcPr>
          <w:p w:rsidR="00B17414" w:rsidRDefault="00850521" w:rsidP="00BA3CD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06.02.2020</w:t>
            </w:r>
            <w:bookmarkStart w:id="0" w:name="_GoBack"/>
            <w:bookmarkEnd w:id="0"/>
          </w:p>
        </w:tc>
      </w:tr>
    </w:tbl>
    <w:p w:rsidR="00B17414" w:rsidRPr="007D04A1" w:rsidRDefault="00B17414">
      <w:pPr>
        <w:rPr>
          <w:rFonts w:ascii="Verdana" w:hAnsi="Verdana"/>
        </w:rPr>
      </w:pPr>
    </w:p>
    <w:sectPr w:rsidR="00B17414" w:rsidRPr="007D04A1" w:rsidSect="006D62F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4A4"/>
    <w:rsid w:val="00007400"/>
    <w:rsid w:val="000754A4"/>
    <w:rsid w:val="0060514E"/>
    <w:rsid w:val="006D62FE"/>
    <w:rsid w:val="006F3BF6"/>
    <w:rsid w:val="007D04A1"/>
    <w:rsid w:val="007E6AAB"/>
    <w:rsid w:val="00850521"/>
    <w:rsid w:val="00904445"/>
    <w:rsid w:val="00994E5C"/>
    <w:rsid w:val="009D3CD1"/>
    <w:rsid w:val="00B17414"/>
    <w:rsid w:val="00BC2D7B"/>
    <w:rsid w:val="00C30592"/>
    <w:rsid w:val="00C83397"/>
    <w:rsid w:val="00E302BE"/>
    <w:rsid w:val="00F01CFC"/>
    <w:rsid w:val="00F64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AE1E1"/>
  <w15:docId w15:val="{4EE8A53C-786D-405F-A5BB-E13A894FD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74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D04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Morgan</dc:creator>
  <cp:lastModifiedBy>Reanne Reffell (Public Health Wales - No. 2 Capital Quarter)</cp:lastModifiedBy>
  <cp:revision>6</cp:revision>
  <dcterms:created xsi:type="dcterms:W3CDTF">2019-11-18T09:55:00Z</dcterms:created>
  <dcterms:modified xsi:type="dcterms:W3CDTF">2020-02-18T12:35:00Z</dcterms:modified>
</cp:coreProperties>
</file>