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B393A2" w14:textId="77777777" w:rsidR="00733287" w:rsidRPr="008079F7" w:rsidRDefault="7321083B" w:rsidP="27713507">
      <w:pPr>
        <w:jc w:val="center"/>
        <w:rPr>
          <w:b/>
          <w:bCs/>
          <w:highlight w:val="magenta"/>
        </w:rPr>
      </w:pPr>
      <w:bookmarkStart w:id="0" w:name="_GoBack"/>
      <w:bookmarkEnd w:id="0"/>
      <w:r w:rsidRPr="27713507">
        <w:rPr>
          <w:b/>
          <w:bCs/>
        </w:rPr>
        <w:t>O</w:t>
      </w:r>
      <w:r w:rsidR="405932D8" w:rsidRPr="27713507">
        <w:rPr>
          <w:b/>
          <w:bCs/>
        </w:rPr>
        <w:t>ur Budget Strategy 202</w:t>
      </w:r>
      <w:r w:rsidR="03001092" w:rsidRPr="27713507">
        <w:rPr>
          <w:b/>
          <w:bCs/>
        </w:rPr>
        <w:t>3</w:t>
      </w:r>
      <w:r w:rsidR="3B519734" w:rsidRPr="27713507">
        <w:rPr>
          <w:b/>
          <w:bCs/>
        </w:rPr>
        <w:t>/</w:t>
      </w:r>
      <w:r w:rsidR="405932D8" w:rsidRPr="27713507">
        <w:rPr>
          <w:b/>
          <w:bCs/>
        </w:rPr>
        <w:t>2</w:t>
      </w:r>
      <w:r w:rsidR="6E4380D8" w:rsidRPr="27713507">
        <w:rPr>
          <w:b/>
          <w:bCs/>
        </w:rPr>
        <w:t>4</w:t>
      </w:r>
      <w:r w:rsidR="3B519734" w:rsidRPr="27713507">
        <w:rPr>
          <w:b/>
          <w:bCs/>
        </w:rPr>
        <w:t xml:space="preserve"> – 202</w:t>
      </w:r>
      <w:r w:rsidR="4A11DD2E" w:rsidRPr="27713507">
        <w:rPr>
          <w:b/>
          <w:bCs/>
        </w:rPr>
        <w:t>5</w:t>
      </w:r>
      <w:r w:rsidR="3B519734" w:rsidRPr="27713507">
        <w:rPr>
          <w:b/>
          <w:bCs/>
        </w:rPr>
        <w:t>/2</w:t>
      </w:r>
      <w:r w:rsidR="0976B19B" w:rsidRPr="27713507">
        <w:rPr>
          <w:b/>
          <w:bCs/>
        </w:rPr>
        <w:t>6</w:t>
      </w:r>
      <w:r w:rsidRPr="27713507">
        <w:rPr>
          <w:b/>
          <w:bCs/>
        </w:rPr>
        <w:t xml:space="preserve"> </w:t>
      </w:r>
    </w:p>
    <w:p w14:paraId="1D33AECE" w14:textId="77777777" w:rsidR="00733287" w:rsidRPr="007B0ED3" w:rsidRDefault="405932D8" w:rsidP="27713507">
      <w:pPr>
        <w:pStyle w:val="ListParagraph"/>
        <w:numPr>
          <w:ilvl w:val="0"/>
          <w:numId w:val="23"/>
        </w:numPr>
        <w:spacing w:before="240"/>
        <w:ind w:left="284"/>
        <w:jc w:val="both"/>
        <w:rPr>
          <w:b/>
          <w:bCs/>
        </w:rPr>
      </w:pPr>
      <w:r w:rsidRPr="27713507">
        <w:rPr>
          <w:b/>
          <w:bCs/>
        </w:rPr>
        <w:t>Introduction</w:t>
      </w:r>
      <w:r w:rsidR="7321083B" w:rsidRPr="27713507">
        <w:rPr>
          <w:b/>
          <w:bCs/>
        </w:rPr>
        <w:t xml:space="preserve"> </w:t>
      </w:r>
    </w:p>
    <w:p w14:paraId="62C5DF8A" w14:textId="77777777" w:rsidR="00CC6751" w:rsidRDefault="405932D8" w:rsidP="005A3A4A">
      <w:pPr>
        <w:spacing w:before="240"/>
        <w:jc w:val="both"/>
      </w:pPr>
      <w:r>
        <w:t xml:space="preserve">The </w:t>
      </w:r>
      <w:r w:rsidR="1DA2BC7F">
        <w:t>IMTP</w:t>
      </w:r>
      <w:r w:rsidR="7C94197E">
        <w:t>,</w:t>
      </w:r>
      <w:r>
        <w:t xml:space="preserve"> including our financial plan </w:t>
      </w:r>
      <w:r w:rsidR="7C94197E">
        <w:t xml:space="preserve">and budget strategy, </w:t>
      </w:r>
      <w:r>
        <w:t xml:space="preserve">serves also to meet Welsh Government planning requirements for </w:t>
      </w:r>
      <w:r w:rsidR="1DA2BC7F">
        <w:t>202</w:t>
      </w:r>
      <w:r w:rsidR="6798EF56">
        <w:t>3</w:t>
      </w:r>
      <w:r w:rsidR="1DA2BC7F">
        <w:t>/2</w:t>
      </w:r>
      <w:r w:rsidR="008D2C82">
        <w:t>4</w:t>
      </w:r>
      <w:r>
        <w:t>.</w:t>
      </w:r>
    </w:p>
    <w:p w14:paraId="5C1D8EA4" w14:textId="77777777" w:rsidR="005A3A4A" w:rsidRDefault="3D26CD2F" w:rsidP="005A3A4A">
      <w:pPr>
        <w:spacing w:before="240"/>
        <w:jc w:val="both"/>
      </w:pPr>
      <w:r>
        <w:t xml:space="preserve">The figures within this strategy </w:t>
      </w:r>
      <w:r w:rsidR="1BE2744F">
        <w:t xml:space="preserve">do not </w:t>
      </w:r>
      <w:r>
        <w:t xml:space="preserve">include income </w:t>
      </w:r>
      <w:r w:rsidR="715F93D7">
        <w:t xml:space="preserve">or expenditure </w:t>
      </w:r>
      <w:r>
        <w:t>relating to The NHS</w:t>
      </w:r>
      <w:r w:rsidR="3BA5D1CB">
        <w:t xml:space="preserve"> </w:t>
      </w:r>
      <w:r w:rsidR="006E7EA5">
        <w:t>Executive</w:t>
      </w:r>
      <w:r w:rsidR="00961985">
        <w:t>,</w:t>
      </w:r>
      <w:r w:rsidR="006E7EA5">
        <w:t xml:space="preserve"> which</w:t>
      </w:r>
      <w:r>
        <w:t xml:space="preserve"> </w:t>
      </w:r>
      <w:r w:rsidR="009F1B7D">
        <w:t>is</w:t>
      </w:r>
      <w:r>
        <w:t xml:space="preserve"> hosted by the Trust</w:t>
      </w:r>
      <w:r w:rsidR="003D5F1F">
        <w:t>,</w:t>
      </w:r>
      <w:r w:rsidR="003D450D">
        <w:t xml:space="preserve"> apart from Improvement Cymru which will transition to the NHS Executive by the end of 2023/24</w:t>
      </w:r>
      <w:r>
        <w:t xml:space="preserve">. It is assumed that </w:t>
      </w:r>
      <w:r w:rsidR="00101606">
        <w:t xml:space="preserve">our hosted services </w:t>
      </w:r>
      <w:r>
        <w:t>will manage within their approved allocation</w:t>
      </w:r>
      <w:r w:rsidR="000A1C5A">
        <w:t xml:space="preserve"> and therefore t</w:t>
      </w:r>
      <w:r>
        <w:t>he principles and approaches set out in this strategy do not apply to our hosted services.</w:t>
      </w:r>
    </w:p>
    <w:p w14:paraId="74F61DCA" w14:textId="77777777" w:rsidR="00F16D6F" w:rsidRPr="00F16D6F" w:rsidRDefault="52710882" w:rsidP="0E3E5FAD">
      <w:pPr>
        <w:pStyle w:val="ListParagraph"/>
        <w:numPr>
          <w:ilvl w:val="0"/>
          <w:numId w:val="23"/>
        </w:numPr>
        <w:tabs>
          <w:tab w:val="left" w:pos="284"/>
        </w:tabs>
        <w:spacing w:before="240"/>
        <w:ind w:left="0" w:firstLine="0"/>
        <w:jc w:val="both"/>
        <w:rPr>
          <w:b/>
          <w:bCs/>
        </w:rPr>
      </w:pPr>
      <w:r w:rsidRPr="27713507">
        <w:rPr>
          <w:b/>
          <w:bCs/>
        </w:rPr>
        <w:t xml:space="preserve"> Financial Planning and Budget Setting Principles</w:t>
      </w:r>
    </w:p>
    <w:p w14:paraId="20E1C406" w14:textId="77777777" w:rsidR="00F16D6F" w:rsidRDefault="6E594944" w:rsidP="00F16D6F">
      <w:pPr>
        <w:spacing w:before="240"/>
        <w:jc w:val="both"/>
      </w:pPr>
      <w:r>
        <w:t>We are</w:t>
      </w:r>
      <w:r w:rsidR="52710882">
        <w:t xml:space="preserve"> required by Standing Orders (SOs) and Standing Financial Instructions (SFIs) to approve an Annual Budget for the financial year ahead before the year commences. In addition, </w:t>
      </w:r>
      <w:r>
        <w:t>we</w:t>
      </w:r>
      <w:r w:rsidR="52710882">
        <w:t xml:space="preserve"> ha</w:t>
      </w:r>
      <w:r>
        <w:t>ve</w:t>
      </w:r>
      <w:r w:rsidR="52710882">
        <w:t xml:space="preserve"> a statutory duty to break even over a 3-year period and therefore a balanced budget has been set for </w:t>
      </w:r>
      <w:r w:rsidR="0A4C338C">
        <w:t xml:space="preserve">each of the three years in the period </w:t>
      </w:r>
      <w:r w:rsidR="52710882">
        <w:t>202</w:t>
      </w:r>
      <w:r w:rsidR="38493B20">
        <w:t>3</w:t>
      </w:r>
      <w:r w:rsidR="52710882">
        <w:t>/2</w:t>
      </w:r>
      <w:r w:rsidR="7A33DA47">
        <w:t>4</w:t>
      </w:r>
      <w:r w:rsidR="0A4C338C">
        <w:t xml:space="preserve"> – 202</w:t>
      </w:r>
      <w:r w:rsidR="7B61ED33">
        <w:t>5</w:t>
      </w:r>
      <w:r w:rsidR="0A4C338C">
        <w:t>/2</w:t>
      </w:r>
      <w:r w:rsidR="23CD1E9E">
        <w:t>6</w:t>
      </w:r>
      <w:r w:rsidR="52710882">
        <w:t>.</w:t>
      </w:r>
    </w:p>
    <w:p w14:paraId="1029D48D" w14:textId="77777777" w:rsidR="00A1475F" w:rsidRDefault="00A1475F" w:rsidP="00F16D6F">
      <w:pPr>
        <w:spacing w:before="240"/>
        <w:jc w:val="both"/>
      </w:pPr>
      <w:r w:rsidRPr="0093081E">
        <w:t xml:space="preserve">Our </w:t>
      </w:r>
      <w:r w:rsidR="000E2317">
        <w:t>budget strategy</w:t>
      </w:r>
      <w:r w:rsidRPr="0093081E">
        <w:t xml:space="preserve"> is committed to supporting the delivery of our long term strategy by enabling sustainability, improvement and value across the organisation. </w:t>
      </w:r>
      <w:r w:rsidR="00D808CC" w:rsidRPr="0093081E">
        <w:t xml:space="preserve">Our </w:t>
      </w:r>
      <w:r w:rsidR="0093081E">
        <w:t xml:space="preserve">financial </w:t>
      </w:r>
      <w:r w:rsidR="00D808CC" w:rsidRPr="0093081E">
        <w:t xml:space="preserve">approach to this is outlined in </w:t>
      </w:r>
      <w:r w:rsidR="00960BA7" w:rsidRPr="0093081E">
        <w:t>O</w:t>
      </w:r>
      <w:r w:rsidR="00D808CC" w:rsidRPr="0093081E">
        <w:t xml:space="preserve">ur </w:t>
      </w:r>
      <w:r w:rsidR="00960BA7" w:rsidRPr="0093081E">
        <w:t>P</w:t>
      </w:r>
      <w:r w:rsidR="00D808CC" w:rsidRPr="0093081E">
        <w:t xml:space="preserve">ath to </w:t>
      </w:r>
      <w:r w:rsidR="00960BA7" w:rsidRPr="0093081E">
        <w:t>S</w:t>
      </w:r>
      <w:r w:rsidR="00D808CC" w:rsidRPr="0093081E">
        <w:t>ustainability below:</w:t>
      </w:r>
    </w:p>
    <w:p w14:paraId="2FCBEBCE" w14:textId="77777777" w:rsidR="00A1475F" w:rsidRDefault="00A1475F" w:rsidP="00F16D6F">
      <w:pPr>
        <w:spacing w:before="240"/>
        <w:jc w:val="both"/>
      </w:pPr>
      <w:r>
        <w:rPr>
          <w:noProof/>
          <w:lang w:eastAsia="en-GB"/>
        </w:rPr>
        <w:drawing>
          <wp:inline distT="0" distB="0" distL="0" distR="0" wp14:anchorId="093717ED" wp14:editId="219D99EB">
            <wp:extent cx="5731510" cy="322770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31510" cy="3227705"/>
                    </a:xfrm>
                    <a:prstGeom prst="rect">
                      <a:avLst/>
                    </a:prstGeom>
                    <a:noFill/>
                    <a:ln>
                      <a:noFill/>
                    </a:ln>
                  </pic:spPr>
                </pic:pic>
              </a:graphicData>
            </a:graphic>
          </wp:inline>
        </w:drawing>
      </w:r>
    </w:p>
    <w:p w14:paraId="3D221BB9" w14:textId="77777777" w:rsidR="00F16D6F" w:rsidRDefault="52710882" w:rsidP="00F16D6F">
      <w:pPr>
        <w:spacing w:before="240"/>
        <w:jc w:val="both"/>
      </w:pPr>
      <w:r>
        <w:t>A number of underlying key themes will need to be maintained in order to ensure that we continue to deliver against these financial duties:-</w:t>
      </w:r>
    </w:p>
    <w:p w14:paraId="608E5289" w14:textId="77777777" w:rsidR="00076FA1" w:rsidRDefault="00076FA1" w:rsidP="00076FA1">
      <w:pPr>
        <w:pStyle w:val="ListParagraph"/>
        <w:spacing w:before="240"/>
        <w:jc w:val="both"/>
      </w:pPr>
    </w:p>
    <w:p w14:paraId="4F0132CD" w14:textId="77777777" w:rsidR="006E7EA5" w:rsidRPr="00222D17" w:rsidRDefault="006E7EA5" w:rsidP="006E7EA5">
      <w:pPr>
        <w:pStyle w:val="ListParagraph"/>
        <w:numPr>
          <w:ilvl w:val="0"/>
          <w:numId w:val="25"/>
        </w:numPr>
        <w:spacing w:before="240"/>
        <w:jc w:val="both"/>
      </w:pPr>
      <w:r w:rsidRPr="00222D17">
        <w:t>Breakeven underlying position brought forward;</w:t>
      </w:r>
    </w:p>
    <w:p w14:paraId="7C06C4ED" w14:textId="77777777" w:rsidR="00F16D6F" w:rsidRPr="009B5A0E" w:rsidRDefault="52710882" w:rsidP="00F16D6F">
      <w:pPr>
        <w:numPr>
          <w:ilvl w:val="0"/>
          <w:numId w:val="25"/>
        </w:numPr>
        <w:spacing w:before="240"/>
        <w:jc w:val="both"/>
      </w:pPr>
      <w:r>
        <w:t>Budget</w:t>
      </w:r>
      <w:r w:rsidR="6E594944">
        <w:t>s will be set within our</w:t>
      </w:r>
      <w:r>
        <w:t xml:space="preserve"> total income;</w:t>
      </w:r>
    </w:p>
    <w:p w14:paraId="2ABDABDD" w14:textId="77777777" w:rsidR="00F16D6F" w:rsidRPr="009B5A0E" w:rsidRDefault="52710882" w:rsidP="00F16D6F">
      <w:pPr>
        <w:numPr>
          <w:ilvl w:val="0"/>
          <w:numId w:val="25"/>
        </w:numPr>
        <w:spacing w:before="240"/>
        <w:jc w:val="both"/>
      </w:pPr>
      <w:r>
        <w:t xml:space="preserve">There will be no automatic right to receive a budget at the same level as previous years; </w:t>
      </w:r>
    </w:p>
    <w:p w14:paraId="49770930" w14:textId="77777777" w:rsidR="00F16D6F" w:rsidRPr="009B5A0E" w:rsidRDefault="52710882" w:rsidP="00F16D6F">
      <w:pPr>
        <w:numPr>
          <w:ilvl w:val="0"/>
          <w:numId w:val="25"/>
        </w:numPr>
        <w:spacing w:before="240"/>
        <w:jc w:val="both"/>
      </w:pPr>
      <w:r>
        <w:t>Budget holders will need to demonstrate how resources are being spent and how value for money is being achieved;</w:t>
      </w:r>
    </w:p>
    <w:p w14:paraId="76A85059" w14:textId="77777777" w:rsidR="00F16D6F" w:rsidRPr="009B5A0E" w:rsidRDefault="52710882" w:rsidP="00F16D6F">
      <w:pPr>
        <w:numPr>
          <w:ilvl w:val="0"/>
          <w:numId w:val="25"/>
        </w:numPr>
        <w:spacing w:before="240"/>
        <w:jc w:val="both"/>
      </w:pPr>
      <w:r>
        <w:t>Any budgeted funds not required for their designated purpose(s) revert to the immediate control of the Chief Executive;</w:t>
      </w:r>
    </w:p>
    <w:p w14:paraId="321F6556" w14:textId="77777777" w:rsidR="00F16D6F" w:rsidRPr="009A11F2" w:rsidRDefault="0D7334F4" w:rsidP="00F16D6F">
      <w:pPr>
        <w:numPr>
          <w:ilvl w:val="0"/>
          <w:numId w:val="25"/>
        </w:numPr>
        <w:spacing w:before="240"/>
        <w:jc w:val="both"/>
      </w:pPr>
      <w:r>
        <w:t>Directorate b</w:t>
      </w:r>
      <w:r w:rsidR="52710882">
        <w:t xml:space="preserve">udgets </w:t>
      </w:r>
      <w:r w:rsidR="6E594944">
        <w:t>will</w:t>
      </w:r>
      <w:r>
        <w:t xml:space="preserve"> be required to </w:t>
      </w:r>
      <w:r w:rsidR="6E594944">
        <w:t>reflect</w:t>
      </w:r>
      <w:r w:rsidR="5E38B3AA">
        <w:t xml:space="preserve"> a minimum of</w:t>
      </w:r>
      <w:r w:rsidR="6E594944">
        <w:t xml:space="preserve"> </w:t>
      </w:r>
      <w:r w:rsidR="77081D2D">
        <w:t xml:space="preserve">1% </w:t>
      </w:r>
      <w:r>
        <w:t>efficiency</w:t>
      </w:r>
      <w:r w:rsidR="52710882">
        <w:t xml:space="preserve"> cost reduction schemes and targets </w:t>
      </w:r>
      <w:r>
        <w:t>in</w:t>
      </w:r>
      <w:r w:rsidR="52710882">
        <w:t xml:space="preserve"> 202</w:t>
      </w:r>
      <w:r w:rsidR="2300CEEA">
        <w:t>3</w:t>
      </w:r>
      <w:r w:rsidR="52710882">
        <w:t>/2</w:t>
      </w:r>
      <w:r w:rsidR="72801754">
        <w:t>4</w:t>
      </w:r>
      <w:r w:rsidR="006E7EA5">
        <w:t>;</w:t>
      </w:r>
      <w:r w:rsidR="52710882">
        <w:t xml:space="preserve"> </w:t>
      </w:r>
    </w:p>
    <w:p w14:paraId="797F6995" w14:textId="77777777" w:rsidR="00F16D6F" w:rsidRPr="0044331B" w:rsidRDefault="52710882" w:rsidP="00F16D6F">
      <w:pPr>
        <w:numPr>
          <w:ilvl w:val="0"/>
          <w:numId w:val="25"/>
        </w:numPr>
        <w:spacing w:before="240"/>
        <w:jc w:val="both"/>
      </w:pPr>
      <w:r>
        <w:t xml:space="preserve">Agreed Organisational efficiency saving schemes will result in budget amendments to reflect the savings delivered – current schemes will continue </w:t>
      </w:r>
      <w:r w:rsidR="618129DD">
        <w:t>e.g.</w:t>
      </w:r>
      <w:r>
        <w:t xml:space="preserve"> </w:t>
      </w:r>
      <w:r w:rsidR="5E00DD01">
        <w:t xml:space="preserve">VERS, </w:t>
      </w:r>
      <w:r w:rsidR="1DA2BC7F">
        <w:t xml:space="preserve">salary </w:t>
      </w:r>
      <w:r>
        <w:t>sacrifice schemes,</w:t>
      </w:r>
      <w:r w:rsidR="006E7EA5">
        <w:t xml:space="preserve"> </w:t>
      </w:r>
      <w:r>
        <w:t>procurement efficiencies;</w:t>
      </w:r>
    </w:p>
    <w:p w14:paraId="28027510" w14:textId="77777777" w:rsidR="00F16D6F" w:rsidRPr="009B5A0E" w:rsidRDefault="52710882" w:rsidP="00F16D6F">
      <w:pPr>
        <w:numPr>
          <w:ilvl w:val="0"/>
          <w:numId w:val="25"/>
        </w:numPr>
        <w:spacing w:before="240"/>
        <w:jc w:val="both"/>
      </w:pPr>
      <w:r>
        <w:t xml:space="preserve">Actual staff in post will not be permitted to exceed funded establishments; </w:t>
      </w:r>
    </w:p>
    <w:p w14:paraId="0151AB14" w14:textId="77777777" w:rsidR="00F16D6F" w:rsidRPr="009B5A0E" w:rsidRDefault="52710882" w:rsidP="00F16D6F">
      <w:pPr>
        <w:numPr>
          <w:ilvl w:val="0"/>
          <w:numId w:val="25"/>
        </w:numPr>
        <w:spacing w:before="240"/>
        <w:jc w:val="both"/>
      </w:pPr>
      <w:r>
        <w:t>Clear accountability of budget by delegated budget holders will be required and evidenced through formal sign off of budgets</w:t>
      </w:r>
      <w:r w:rsidR="62B2A1BA">
        <w:t>;</w:t>
      </w:r>
    </w:p>
    <w:p w14:paraId="351CBD96" w14:textId="77777777" w:rsidR="00F16D6F" w:rsidRDefault="52710882" w:rsidP="00F16D6F">
      <w:pPr>
        <w:numPr>
          <w:ilvl w:val="0"/>
          <w:numId w:val="25"/>
        </w:numPr>
        <w:spacing w:before="240"/>
        <w:jc w:val="both"/>
      </w:pPr>
      <w:r>
        <w:t>Any proposals requiring additional funds must include identification of the source of funding (and have appropriate finance input and sign off)</w:t>
      </w:r>
      <w:r w:rsidR="3888546A">
        <w:t xml:space="preserve"> and</w:t>
      </w:r>
    </w:p>
    <w:p w14:paraId="2AA1FA7D" w14:textId="77777777" w:rsidR="00A34B95" w:rsidRDefault="53636201" w:rsidP="00094C94">
      <w:pPr>
        <w:pStyle w:val="ListParagraph"/>
        <w:numPr>
          <w:ilvl w:val="3"/>
          <w:numId w:val="17"/>
        </w:numPr>
        <w:spacing w:before="240"/>
        <w:ind w:left="709" w:hanging="425"/>
        <w:jc w:val="both"/>
      </w:pPr>
      <w:r>
        <w:t>Q</w:t>
      </w:r>
      <w:r w:rsidR="0A4C338C">
        <w:t>uarterly reviews of directorate financial plans and performance against them</w:t>
      </w:r>
      <w:r w:rsidR="5437A68B">
        <w:t>.</w:t>
      </w:r>
      <w:r w:rsidR="0A4C338C">
        <w:t xml:space="preserve"> </w:t>
      </w:r>
      <w:r w:rsidR="5437A68B">
        <w:t>Th</w:t>
      </w:r>
      <w:r w:rsidR="16DA8FF4">
        <w:t xml:space="preserve">ese reviews </w:t>
      </w:r>
      <w:r w:rsidR="5437A68B">
        <w:t xml:space="preserve">will </w:t>
      </w:r>
      <w:r w:rsidR="16DA8FF4">
        <w:t>examine</w:t>
      </w:r>
      <w:r w:rsidR="5437A68B">
        <w:t xml:space="preserve"> pay</w:t>
      </w:r>
      <w:r w:rsidR="16DA8FF4">
        <w:t xml:space="preserve"> spending plans and vacancy slippage as well as </w:t>
      </w:r>
      <w:r w:rsidR="5437A68B">
        <w:t>non-pay</w:t>
      </w:r>
      <w:r w:rsidR="16DA8FF4">
        <w:t xml:space="preserve"> plans and procurement progress </w:t>
      </w:r>
      <w:r w:rsidR="0A4C338C">
        <w:t xml:space="preserve">in order to gain early insight </w:t>
      </w:r>
      <w:r w:rsidR="41CCB2B7">
        <w:t>of</w:t>
      </w:r>
      <w:r w:rsidR="0A4C338C">
        <w:t xml:space="preserve"> </w:t>
      </w:r>
      <w:r w:rsidR="16DA8FF4">
        <w:t>variations from plans. This approach will enable us</w:t>
      </w:r>
      <w:r w:rsidR="41CCB2B7">
        <w:t xml:space="preserve"> to prioritise reallocation and reinvestment of resources </w:t>
      </w:r>
      <w:r w:rsidR="16DA8FF4">
        <w:t xml:space="preserve">across the organisation </w:t>
      </w:r>
      <w:r w:rsidR="41CCB2B7">
        <w:t>as early as possible during the financial year.</w:t>
      </w:r>
    </w:p>
    <w:p w14:paraId="231347F8" w14:textId="77777777" w:rsidR="006E7EA5" w:rsidRDefault="006E7EA5" w:rsidP="006E7EA5">
      <w:pPr>
        <w:pStyle w:val="ListParagraph"/>
        <w:spacing w:before="240"/>
        <w:ind w:left="709"/>
        <w:jc w:val="both"/>
      </w:pPr>
    </w:p>
    <w:p w14:paraId="35BCB9EB" w14:textId="77777777" w:rsidR="00C65815" w:rsidRPr="00611283" w:rsidRDefault="00C65815" w:rsidP="27713507">
      <w:pPr>
        <w:pStyle w:val="ListParagraph"/>
        <w:spacing w:before="240"/>
        <w:ind w:left="284"/>
        <w:jc w:val="both"/>
        <w:rPr>
          <w:b/>
          <w:bCs/>
        </w:rPr>
      </w:pPr>
    </w:p>
    <w:p w14:paraId="24352CC6" w14:textId="77777777" w:rsidR="009A24C3" w:rsidRPr="00611283" w:rsidRDefault="5A551116" w:rsidP="27713507">
      <w:pPr>
        <w:pStyle w:val="ListParagraph"/>
        <w:numPr>
          <w:ilvl w:val="0"/>
          <w:numId w:val="23"/>
        </w:numPr>
        <w:spacing w:before="240"/>
        <w:ind w:left="284" w:hanging="284"/>
        <w:jc w:val="both"/>
        <w:rPr>
          <w:b/>
          <w:bCs/>
        </w:rPr>
      </w:pPr>
      <w:r w:rsidRPr="00611283">
        <w:rPr>
          <w:b/>
          <w:bCs/>
        </w:rPr>
        <w:t xml:space="preserve"> </w:t>
      </w:r>
      <w:r w:rsidR="00C031A5" w:rsidRPr="00611283">
        <w:rPr>
          <w:b/>
          <w:bCs/>
        </w:rPr>
        <w:t>Welsh Government</w:t>
      </w:r>
      <w:r w:rsidR="7C94197E" w:rsidRPr="00611283">
        <w:rPr>
          <w:b/>
          <w:bCs/>
        </w:rPr>
        <w:t xml:space="preserve"> Allocation</w:t>
      </w:r>
      <w:r w:rsidR="00C031A5" w:rsidRPr="00611283">
        <w:rPr>
          <w:b/>
          <w:bCs/>
        </w:rPr>
        <w:t>s</w:t>
      </w:r>
    </w:p>
    <w:p w14:paraId="27037329" w14:textId="77777777" w:rsidR="00C031A5" w:rsidRPr="00611283" w:rsidRDefault="00C031A5" w:rsidP="00C031A5">
      <w:pPr>
        <w:spacing w:before="240"/>
        <w:jc w:val="both"/>
        <w:rPr>
          <w:b/>
          <w:bCs/>
        </w:rPr>
      </w:pPr>
      <w:r w:rsidRPr="00611283">
        <w:rPr>
          <w:b/>
        </w:rPr>
        <w:t>Welsh Government Core Allocation</w:t>
      </w:r>
    </w:p>
    <w:p w14:paraId="4A65AD75" w14:textId="77777777" w:rsidR="009A24C3" w:rsidRDefault="3D26CD2F" w:rsidP="009A24C3">
      <w:pPr>
        <w:spacing w:before="240"/>
        <w:jc w:val="both"/>
      </w:pPr>
      <w:r>
        <w:t>P</w:t>
      </w:r>
      <w:r w:rsidR="0036741F">
        <w:t xml:space="preserve">ublic </w:t>
      </w:r>
      <w:r>
        <w:t>H</w:t>
      </w:r>
      <w:r w:rsidR="0036741F">
        <w:t xml:space="preserve">ealth </w:t>
      </w:r>
      <w:r>
        <w:t>W</w:t>
      </w:r>
      <w:r w:rsidR="0036741F">
        <w:t>ales</w:t>
      </w:r>
      <w:r>
        <w:t xml:space="preserve">’ </w:t>
      </w:r>
      <w:r w:rsidR="5A551116">
        <w:t xml:space="preserve">Welsh Government </w:t>
      </w:r>
      <w:r>
        <w:t xml:space="preserve">allocation letter </w:t>
      </w:r>
      <w:r w:rsidRPr="003C3299">
        <w:t xml:space="preserve">dated </w:t>
      </w:r>
      <w:r w:rsidR="241BE04B" w:rsidRPr="003C3299">
        <w:t>23</w:t>
      </w:r>
      <w:r w:rsidR="241BE04B" w:rsidRPr="003C3299">
        <w:rPr>
          <w:vertAlign w:val="superscript"/>
        </w:rPr>
        <w:t>rd</w:t>
      </w:r>
      <w:r w:rsidR="001508EE" w:rsidRPr="003C3299">
        <w:t xml:space="preserve"> </w:t>
      </w:r>
      <w:r w:rsidR="5CC9A61B" w:rsidRPr="003C3299">
        <w:t>January</w:t>
      </w:r>
      <w:r>
        <w:t xml:space="preserve"> </w:t>
      </w:r>
      <w:r w:rsidR="001508EE">
        <w:t>2023 confirmed</w:t>
      </w:r>
      <w:r w:rsidR="5A551116">
        <w:t xml:space="preserve"> the core allocation of £1</w:t>
      </w:r>
      <w:r w:rsidR="69AA56A0">
        <w:t>3</w:t>
      </w:r>
      <w:r w:rsidR="5370C1B1">
        <w:t>3</w:t>
      </w:r>
      <w:r w:rsidR="69AA56A0">
        <w:t>.8</w:t>
      </w:r>
      <w:r w:rsidR="6E395965">
        <w:t>99</w:t>
      </w:r>
      <w:r w:rsidR="69AA56A0">
        <w:t>m</w:t>
      </w:r>
      <w:r w:rsidR="5A551116">
        <w:t>, the additional allocations agreed for 202</w:t>
      </w:r>
      <w:r w:rsidR="35718B7B">
        <w:t>3</w:t>
      </w:r>
      <w:r w:rsidR="5A551116">
        <w:t>/2</w:t>
      </w:r>
      <w:r w:rsidR="271392F8">
        <w:t>4</w:t>
      </w:r>
      <w:r w:rsidR="5A551116">
        <w:t xml:space="preserve"> are included in </w:t>
      </w:r>
      <w:r w:rsidR="5A551116" w:rsidRPr="27713507">
        <w:rPr>
          <w:b/>
          <w:bCs/>
        </w:rPr>
        <w:t>Table 1</w:t>
      </w:r>
      <w:r w:rsidR="5A551116">
        <w:t xml:space="preserve"> below:</w:t>
      </w:r>
    </w:p>
    <w:p w14:paraId="39BC38DF" w14:textId="77777777" w:rsidR="00076FA1" w:rsidRDefault="00076FA1" w:rsidP="27713507">
      <w:pPr>
        <w:spacing w:before="240"/>
        <w:jc w:val="both"/>
        <w:rPr>
          <w:b/>
          <w:bCs/>
        </w:rPr>
      </w:pPr>
    </w:p>
    <w:p w14:paraId="04DE94EA" w14:textId="77777777" w:rsidR="00076FA1" w:rsidRDefault="00076FA1" w:rsidP="27713507">
      <w:pPr>
        <w:spacing w:before="240"/>
        <w:jc w:val="both"/>
        <w:rPr>
          <w:b/>
          <w:bCs/>
        </w:rPr>
      </w:pPr>
    </w:p>
    <w:p w14:paraId="6A037693" w14:textId="77777777" w:rsidR="00C06247" w:rsidRPr="001508EE" w:rsidRDefault="5A551116" w:rsidP="27713507">
      <w:pPr>
        <w:spacing w:before="240"/>
        <w:jc w:val="both"/>
        <w:rPr>
          <w:b/>
          <w:bCs/>
        </w:rPr>
      </w:pPr>
      <w:r w:rsidRPr="001508EE">
        <w:rPr>
          <w:b/>
          <w:bCs/>
        </w:rPr>
        <w:t>Table 1</w:t>
      </w:r>
    </w:p>
    <w:p w14:paraId="21E8CDA1" w14:textId="77777777" w:rsidR="001508EE" w:rsidRPr="008079F7" w:rsidRDefault="001508EE" w:rsidP="27713507">
      <w:pPr>
        <w:spacing w:before="240"/>
        <w:jc w:val="both"/>
        <w:rPr>
          <w:b/>
          <w:bCs/>
          <w:highlight w:val="magenta"/>
        </w:rPr>
      </w:pPr>
      <w:r w:rsidRPr="001508EE">
        <w:rPr>
          <w:noProof/>
          <w:lang w:eastAsia="en-GB"/>
        </w:rPr>
        <w:drawing>
          <wp:inline distT="0" distB="0" distL="0" distR="0" wp14:anchorId="36269667" wp14:editId="0164B295">
            <wp:extent cx="5699108" cy="326662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2051" cy="3285505"/>
                    </a:xfrm>
                    <a:prstGeom prst="rect">
                      <a:avLst/>
                    </a:prstGeom>
                    <a:noFill/>
                    <a:ln>
                      <a:noFill/>
                    </a:ln>
                  </pic:spPr>
                </pic:pic>
              </a:graphicData>
            </a:graphic>
          </wp:inline>
        </w:drawing>
      </w:r>
    </w:p>
    <w:p w14:paraId="7B25665D" w14:textId="77777777" w:rsidR="009A24C3" w:rsidRDefault="3259FA98" w:rsidP="27713507">
      <w:pPr>
        <w:spacing w:before="240"/>
        <w:jc w:val="both"/>
      </w:pPr>
      <w:r w:rsidRPr="001508EE">
        <w:t xml:space="preserve">Table 1 </w:t>
      </w:r>
      <w:r w:rsidR="001508EE" w:rsidRPr="001508EE">
        <w:t xml:space="preserve">highlights the full year impact of the Local Public Health Teams transfer.  In addition, it demonstrates that the Genomics PENGU and Online STI Testing </w:t>
      </w:r>
      <w:r w:rsidRPr="001508EE">
        <w:t>items have now been included within our core recurrent funding by Welsh Government.</w:t>
      </w:r>
    </w:p>
    <w:p w14:paraId="64D4E58F" w14:textId="77777777" w:rsidR="00070C25" w:rsidRDefault="00070C25" w:rsidP="27713507">
      <w:pPr>
        <w:spacing w:before="240"/>
        <w:jc w:val="both"/>
        <w:rPr>
          <w:b/>
        </w:rPr>
      </w:pPr>
      <w:r w:rsidRPr="00070C25">
        <w:rPr>
          <w:b/>
        </w:rPr>
        <w:t>Non-Core Funding Agreed by W</w:t>
      </w:r>
      <w:r w:rsidR="00C031A5">
        <w:rPr>
          <w:b/>
        </w:rPr>
        <w:t xml:space="preserve">elsh </w:t>
      </w:r>
      <w:r w:rsidRPr="00070C25">
        <w:rPr>
          <w:b/>
        </w:rPr>
        <w:t>G</w:t>
      </w:r>
      <w:r w:rsidR="00C031A5">
        <w:rPr>
          <w:b/>
        </w:rPr>
        <w:t>overnment</w:t>
      </w:r>
      <w:r w:rsidRPr="00070C25">
        <w:rPr>
          <w:b/>
        </w:rPr>
        <w:t xml:space="preserve"> – COVID/TTP</w:t>
      </w:r>
    </w:p>
    <w:p w14:paraId="56778ED1" w14:textId="77777777" w:rsidR="00076FA1" w:rsidRDefault="00076FA1" w:rsidP="00285134">
      <w:pPr>
        <w:jc w:val="both"/>
        <w:rPr>
          <w:szCs w:val="24"/>
        </w:rPr>
      </w:pPr>
    </w:p>
    <w:p w14:paraId="43AEC908" w14:textId="77777777" w:rsidR="00285134" w:rsidRPr="00285134" w:rsidRDefault="00285134" w:rsidP="00285134">
      <w:pPr>
        <w:jc w:val="both"/>
        <w:rPr>
          <w:szCs w:val="24"/>
        </w:rPr>
      </w:pPr>
      <w:r w:rsidRPr="00285134">
        <w:rPr>
          <w:szCs w:val="24"/>
        </w:rPr>
        <w:t xml:space="preserve">In addition to the above core allocations, there is an agreed final year of funding in relation to the ongoing costs of supporting the COVID-19 response as set out in </w:t>
      </w:r>
      <w:r w:rsidRPr="00D94E39">
        <w:rPr>
          <w:b/>
          <w:szCs w:val="24"/>
        </w:rPr>
        <w:t>Table 2</w:t>
      </w:r>
      <w:r w:rsidRPr="00285134">
        <w:rPr>
          <w:szCs w:val="24"/>
        </w:rPr>
        <w:t>.</w:t>
      </w:r>
    </w:p>
    <w:p w14:paraId="23632155" w14:textId="77777777" w:rsidR="00285134" w:rsidRPr="006F68A9" w:rsidRDefault="00285134" w:rsidP="00285134">
      <w:pPr>
        <w:jc w:val="both"/>
        <w:rPr>
          <w:szCs w:val="24"/>
          <w:highlight w:val="magenta"/>
        </w:rPr>
      </w:pPr>
    </w:p>
    <w:p w14:paraId="2D028329" w14:textId="77777777" w:rsidR="00285134" w:rsidRPr="00285134" w:rsidRDefault="00285134" w:rsidP="00285134">
      <w:pPr>
        <w:rPr>
          <w:b/>
          <w:bCs/>
        </w:rPr>
      </w:pPr>
      <w:r w:rsidRPr="00285134">
        <w:rPr>
          <w:b/>
          <w:bCs/>
        </w:rPr>
        <w:t>Table 2</w:t>
      </w:r>
    </w:p>
    <w:p w14:paraId="546E8818" w14:textId="77777777" w:rsidR="00285134" w:rsidRDefault="00285134" w:rsidP="00285134">
      <w:pPr>
        <w:rPr>
          <w:b/>
          <w:bCs/>
          <w:highlight w:val="magenta"/>
        </w:rPr>
      </w:pPr>
    </w:p>
    <w:p w14:paraId="2F67F682" w14:textId="77777777" w:rsidR="00285134" w:rsidRPr="008079F7" w:rsidRDefault="00285134" w:rsidP="00285134">
      <w:pPr>
        <w:rPr>
          <w:b/>
          <w:bCs/>
          <w:highlight w:val="magenta"/>
        </w:rPr>
      </w:pPr>
      <w:r w:rsidRPr="00285134">
        <w:rPr>
          <w:noProof/>
          <w:lang w:eastAsia="en-GB"/>
        </w:rPr>
        <w:drawing>
          <wp:inline distT="0" distB="0" distL="0" distR="0" wp14:anchorId="0F23A458" wp14:editId="65648FDF">
            <wp:extent cx="5731182" cy="2389781"/>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42285" cy="2394411"/>
                    </a:xfrm>
                    <a:prstGeom prst="rect">
                      <a:avLst/>
                    </a:prstGeom>
                    <a:noFill/>
                    <a:ln>
                      <a:noFill/>
                    </a:ln>
                  </pic:spPr>
                </pic:pic>
              </a:graphicData>
            </a:graphic>
          </wp:inline>
        </w:drawing>
      </w:r>
    </w:p>
    <w:p w14:paraId="4268A162" w14:textId="77777777" w:rsidR="00CC6B64" w:rsidRDefault="00CC6B64" w:rsidP="27713507">
      <w:pPr>
        <w:jc w:val="both"/>
        <w:rPr>
          <w:highlight w:val="magenta"/>
        </w:rPr>
      </w:pPr>
    </w:p>
    <w:p w14:paraId="4304035E" w14:textId="77777777" w:rsidR="001411B2" w:rsidRPr="006F68A9" w:rsidRDefault="001411B2" w:rsidP="001411B2">
      <w:pPr>
        <w:jc w:val="both"/>
        <w:rPr>
          <w:szCs w:val="24"/>
        </w:rPr>
      </w:pPr>
      <w:r>
        <w:rPr>
          <w:szCs w:val="24"/>
        </w:rPr>
        <w:t xml:space="preserve">Welsh Government have indicated that there is flexibility to move the allocation between activity lines in accordance with demand, but this cannot exceed the total allocated. In the context of the extremely challenging economic </w:t>
      </w:r>
      <w:r w:rsidR="0069134E">
        <w:rPr>
          <w:szCs w:val="24"/>
        </w:rPr>
        <w:t>environment,</w:t>
      </w:r>
      <w:r>
        <w:rPr>
          <w:szCs w:val="24"/>
        </w:rPr>
        <w:t xml:space="preserve"> it is important that any potential efficiencies are sought and realised where possible.</w:t>
      </w:r>
      <w:r w:rsidRPr="006F68A9">
        <w:rPr>
          <w:szCs w:val="24"/>
        </w:rPr>
        <w:t xml:space="preserve"> </w:t>
      </w:r>
    </w:p>
    <w:p w14:paraId="0C021407" w14:textId="77777777" w:rsidR="001411B2" w:rsidRDefault="001411B2" w:rsidP="00C02E5C">
      <w:pPr>
        <w:jc w:val="both"/>
        <w:rPr>
          <w:szCs w:val="24"/>
        </w:rPr>
      </w:pPr>
    </w:p>
    <w:p w14:paraId="46C71314" w14:textId="77777777" w:rsidR="00C02E5C" w:rsidRPr="00285134" w:rsidRDefault="00C02E5C" w:rsidP="00C02E5C">
      <w:pPr>
        <w:jc w:val="both"/>
        <w:rPr>
          <w:szCs w:val="24"/>
        </w:rPr>
      </w:pPr>
      <w:r>
        <w:rPr>
          <w:szCs w:val="24"/>
        </w:rPr>
        <w:t>Welsh Government have made it clear that 2023/24 is likely to be the last year in which there will be a separate COVID response budget. This means that 2023/24 must be viewed as a transition year during which arrangements are put in place for a sustainable, effective and agile model of health protection beyond April 2024</w:t>
      </w:r>
      <w:r w:rsidRPr="00285134">
        <w:rPr>
          <w:szCs w:val="24"/>
        </w:rPr>
        <w:t>.</w:t>
      </w:r>
      <w:r>
        <w:rPr>
          <w:szCs w:val="24"/>
        </w:rPr>
        <w:t xml:space="preserve"> Plans will need to be developed during 2023/24 to deliver this sustainable model.</w:t>
      </w:r>
    </w:p>
    <w:p w14:paraId="5E33CB7E" w14:textId="77777777" w:rsidR="00C02E5C" w:rsidRDefault="00C02E5C" w:rsidP="27713507">
      <w:pPr>
        <w:jc w:val="both"/>
        <w:rPr>
          <w:highlight w:val="magenta"/>
        </w:rPr>
      </w:pPr>
    </w:p>
    <w:p w14:paraId="041289D4" w14:textId="77777777" w:rsidR="00D3299B" w:rsidRDefault="00D3299B" w:rsidP="27713507">
      <w:pPr>
        <w:jc w:val="both"/>
        <w:rPr>
          <w:b/>
        </w:rPr>
      </w:pPr>
      <w:r w:rsidRPr="00D3299B">
        <w:rPr>
          <w:b/>
        </w:rPr>
        <w:t>Non-Core Funding Agreed by W</w:t>
      </w:r>
      <w:r w:rsidR="00C031A5">
        <w:rPr>
          <w:b/>
        </w:rPr>
        <w:t xml:space="preserve">elsh </w:t>
      </w:r>
      <w:r w:rsidRPr="00D3299B">
        <w:rPr>
          <w:b/>
        </w:rPr>
        <w:t>G</w:t>
      </w:r>
      <w:r w:rsidR="00C031A5">
        <w:rPr>
          <w:b/>
        </w:rPr>
        <w:t>overnment</w:t>
      </w:r>
      <w:r w:rsidRPr="00D3299B">
        <w:rPr>
          <w:b/>
        </w:rPr>
        <w:t xml:space="preserve"> – Non-COVID</w:t>
      </w:r>
    </w:p>
    <w:p w14:paraId="563E3074" w14:textId="77777777" w:rsidR="00D3299B" w:rsidRDefault="00D3299B" w:rsidP="27713507">
      <w:pPr>
        <w:jc w:val="both"/>
        <w:rPr>
          <w:b/>
        </w:rPr>
      </w:pPr>
    </w:p>
    <w:p w14:paraId="2AD5B2F3" w14:textId="77777777" w:rsidR="00D3299B" w:rsidRDefault="00D3299B" w:rsidP="27713507">
      <w:pPr>
        <w:jc w:val="both"/>
      </w:pPr>
      <w:r w:rsidRPr="00D94E39">
        <w:rPr>
          <w:b/>
        </w:rPr>
        <w:t>Table 3</w:t>
      </w:r>
      <w:r>
        <w:t xml:space="preserve"> sets </w:t>
      </w:r>
      <w:r w:rsidR="00147651">
        <w:t>out</w:t>
      </w:r>
      <w:r>
        <w:t xml:space="preserve"> the remaining </w:t>
      </w:r>
      <w:r w:rsidR="00147651">
        <w:t>n</w:t>
      </w:r>
      <w:r>
        <w:t>on-core allocations agreed by Welsh Government</w:t>
      </w:r>
    </w:p>
    <w:p w14:paraId="633EE1D4" w14:textId="77777777" w:rsidR="00D3299B" w:rsidRDefault="00D3299B" w:rsidP="27713507">
      <w:pPr>
        <w:jc w:val="both"/>
      </w:pPr>
    </w:p>
    <w:p w14:paraId="7E6A5BC7" w14:textId="77777777" w:rsidR="00D3299B" w:rsidRPr="00D3299B" w:rsidRDefault="00D3299B" w:rsidP="27713507">
      <w:pPr>
        <w:jc w:val="both"/>
        <w:rPr>
          <w:b/>
        </w:rPr>
      </w:pPr>
      <w:r w:rsidRPr="00D3299B">
        <w:rPr>
          <w:b/>
        </w:rPr>
        <w:t>Table 3</w:t>
      </w:r>
    </w:p>
    <w:p w14:paraId="514FD25C" w14:textId="77777777" w:rsidR="00D3299B" w:rsidRDefault="00D3299B" w:rsidP="27713507">
      <w:pPr>
        <w:jc w:val="both"/>
      </w:pPr>
      <w:r w:rsidRPr="00D94E39">
        <w:rPr>
          <w:noProof/>
          <w:sz w:val="28"/>
          <w:szCs w:val="28"/>
          <w:lang w:eastAsia="en-GB"/>
        </w:rPr>
        <w:drawing>
          <wp:inline distT="0" distB="0" distL="0" distR="0" wp14:anchorId="5DF0436D" wp14:editId="655793D9">
            <wp:extent cx="6134100" cy="1686998"/>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51129" cy="1691681"/>
                    </a:xfrm>
                    <a:prstGeom prst="rect">
                      <a:avLst/>
                    </a:prstGeom>
                    <a:noFill/>
                    <a:ln>
                      <a:noFill/>
                    </a:ln>
                  </pic:spPr>
                </pic:pic>
              </a:graphicData>
            </a:graphic>
          </wp:inline>
        </w:drawing>
      </w:r>
    </w:p>
    <w:p w14:paraId="7E45F101" w14:textId="77777777" w:rsidR="00D3299B" w:rsidRDefault="00D3299B" w:rsidP="27713507">
      <w:pPr>
        <w:jc w:val="both"/>
      </w:pPr>
    </w:p>
    <w:p w14:paraId="5C3BAE8B" w14:textId="77777777" w:rsidR="00D3299B" w:rsidRDefault="00D94E39" w:rsidP="27713507">
      <w:pPr>
        <w:jc w:val="both"/>
      </w:pPr>
      <w:r>
        <w:t>Public Health Wales have made recurrent staffing commitments against a number of these programmes.  This will be a financial risk once funding ceases.</w:t>
      </w:r>
      <w:r w:rsidR="004A17A6">
        <w:t xml:space="preserve"> Plans will need to be developed during 2023/24 to mitigate this risk.</w:t>
      </w:r>
    </w:p>
    <w:p w14:paraId="78A3FC02" w14:textId="77777777" w:rsidR="00D3299B" w:rsidRDefault="00D3299B" w:rsidP="27713507">
      <w:pPr>
        <w:jc w:val="both"/>
      </w:pPr>
    </w:p>
    <w:p w14:paraId="4607E00C" w14:textId="77777777" w:rsidR="00D94E39" w:rsidRPr="00D94E39" w:rsidRDefault="00DD32F7" w:rsidP="27713507">
      <w:pPr>
        <w:jc w:val="both"/>
        <w:rPr>
          <w:b/>
        </w:rPr>
      </w:pPr>
      <w:r>
        <w:rPr>
          <w:b/>
        </w:rPr>
        <w:t xml:space="preserve">Anticipated </w:t>
      </w:r>
      <w:r w:rsidR="00D94E39" w:rsidRPr="00D94E39">
        <w:rPr>
          <w:b/>
        </w:rPr>
        <w:t>W</w:t>
      </w:r>
      <w:r w:rsidR="00C031A5">
        <w:rPr>
          <w:b/>
        </w:rPr>
        <w:t xml:space="preserve">elsh </w:t>
      </w:r>
      <w:r w:rsidR="00D94E39" w:rsidRPr="00D94E39">
        <w:rPr>
          <w:b/>
        </w:rPr>
        <w:t>G</w:t>
      </w:r>
      <w:r w:rsidR="00C031A5">
        <w:rPr>
          <w:b/>
        </w:rPr>
        <w:t>overnment</w:t>
      </w:r>
      <w:r w:rsidR="00D94E39" w:rsidRPr="00D94E39">
        <w:rPr>
          <w:b/>
        </w:rPr>
        <w:t xml:space="preserve"> funding not yet confirmed</w:t>
      </w:r>
    </w:p>
    <w:p w14:paraId="372B07FF" w14:textId="77777777" w:rsidR="00D3299B" w:rsidRPr="008079F7" w:rsidRDefault="00D3299B" w:rsidP="27713507">
      <w:pPr>
        <w:jc w:val="both"/>
        <w:rPr>
          <w:highlight w:val="magenta"/>
        </w:rPr>
      </w:pPr>
    </w:p>
    <w:p w14:paraId="08DEA119" w14:textId="77777777" w:rsidR="002D7350" w:rsidRPr="00D94E39" w:rsidRDefault="00F829DB" w:rsidP="27713507">
      <w:pPr>
        <w:jc w:val="both"/>
      </w:pPr>
      <w:r>
        <w:t>T</w:t>
      </w:r>
      <w:r w:rsidR="7C94197E" w:rsidRPr="00D94E39">
        <w:t xml:space="preserve">here are a number of </w:t>
      </w:r>
      <w:r w:rsidR="00232DCF">
        <w:t xml:space="preserve">anticipated </w:t>
      </w:r>
      <w:r w:rsidR="7C94197E" w:rsidRPr="00D94E39">
        <w:t xml:space="preserve">allocations </w:t>
      </w:r>
      <w:r w:rsidR="5A551116" w:rsidRPr="00D94E39">
        <w:t>included in our financial planning assumptions</w:t>
      </w:r>
      <w:r w:rsidR="29AD212B" w:rsidRPr="00D94E39">
        <w:t xml:space="preserve">. These are summarised in </w:t>
      </w:r>
      <w:r w:rsidR="29AD212B" w:rsidRPr="00D94E39">
        <w:rPr>
          <w:b/>
          <w:bCs/>
        </w:rPr>
        <w:t xml:space="preserve">Table </w:t>
      </w:r>
      <w:r w:rsidR="00D94E39" w:rsidRPr="00D94E39">
        <w:rPr>
          <w:b/>
          <w:bCs/>
        </w:rPr>
        <w:t>4</w:t>
      </w:r>
      <w:r w:rsidR="29AD212B" w:rsidRPr="00D94E39">
        <w:t xml:space="preserve"> below.</w:t>
      </w:r>
    </w:p>
    <w:p w14:paraId="5FD6FF4B" w14:textId="77777777" w:rsidR="0047681B" w:rsidRPr="008079F7" w:rsidRDefault="0047681B" w:rsidP="27713507">
      <w:pPr>
        <w:rPr>
          <w:b/>
          <w:bCs/>
          <w:highlight w:val="magenta"/>
        </w:rPr>
      </w:pPr>
    </w:p>
    <w:p w14:paraId="560CB776" w14:textId="77777777" w:rsidR="009A24C3" w:rsidRPr="00D94E39" w:rsidRDefault="00D3299B" w:rsidP="27713507">
      <w:pPr>
        <w:rPr>
          <w:b/>
          <w:bCs/>
        </w:rPr>
      </w:pPr>
      <w:r w:rsidRPr="00D94E39">
        <w:rPr>
          <w:b/>
          <w:bCs/>
        </w:rPr>
        <w:t xml:space="preserve">Table </w:t>
      </w:r>
      <w:r w:rsidR="00D94E39" w:rsidRPr="00D94E39">
        <w:rPr>
          <w:b/>
          <w:bCs/>
        </w:rPr>
        <w:t>4</w:t>
      </w:r>
    </w:p>
    <w:tbl>
      <w:tblPr>
        <w:tblW w:w="9696" w:type="dxa"/>
        <w:tblCellMar>
          <w:left w:w="0" w:type="dxa"/>
          <w:right w:w="0" w:type="dxa"/>
        </w:tblCellMar>
        <w:tblLook w:val="0420" w:firstRow="1" w:lastRow="0" w:firstColumn="0" w:lastColumn="0" w:noHBand="0" w:noVBand="1"/>
      </w:tblPr>
      <w:tblGrid>
        <w:gridCol w:w="4459"/>
        <w:gridCol w:w="1276"/>
        <w:gridCol w:w="1277"/>
        <w:gridCol w:w="1277"/>
        <w:gridCol w:w="1407"/>
      </w:tblGrid>
      <w:tr w:rsidR="00D94E39" w:rsidRPr="00D94E39" w14:paraId="3A2138E1" w14:textId="77777777" w:rsidTr="00D94E39">
        <w:trPr>
          <w:trHeight w:val="165"/>
        </w:trPr>
        <w:tc>
          <w:tcPr>
            <w:tcW w:w="0" w:type="auto"/>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40E71431"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b/>
                <w:bCs/>
                <w:color w:val="FFFFFF" w:themeColor="light1"/>
                <w:kern w:val="24"/>
                <w:sz w:val="20"/>
                <w:szCs w:val="20"/>
                <w:lang w:eastAsia="en-GB"/>
              </w:rPr>
              <w:t>Commitments</w:t>
            </w:r>
          </w:p>
        </w:tc>
        <w:tc>
          <w:tcPr>
            <w:tcW w:w="0" w:type="auto"/>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7BFE6BF9" w14:textId="77777777" w:rsidR="00D94E39" w:rsidRPr="00D94E39" w:rsidRDefault="00D94E39" w:rsidP="00D94E39">
            <w:pPr>
              <w:jc w:val="center"/>
              <w:rPr>
                <w:rFonts w:ascii="Arial" w:eastAsia="Times New Roman" w:hAnsi="Arial" w:cs="Arial"/>
                <w:sz w:val="20"/>
                <w:szCs w:val="20"/>
                <w:lang w:eastAsia="en-GB"/>
              </w:rPr>
            </w:pPr>
            <w:r w:rsidRPr="00D94E39">
              <w:rPr>
                <w:rFonts w:ascii="Calibri" w:eastAsia="Times New Roman" w:hAnsi="Calibri" w:cs="Calibri"/>
                <w:b/>
                <w:bCs/>
                <w:color w:val="FFFFFF" w:themeColor="light1"/>
                <w:kern w:val="24"/>
                <w:sz w:val="20"/>
                <w:szCs w:val="20"/>
                <w:lang w:eastAsia="en-GB"/>
              </w:rPr>
              <w:t>2023/24 £m</w:t>
            </w:r>
          </w:p>
        </w:tc>
        <w:tc>
          <w:tcPr>
            <w:tcW w:w="0" w:type="auto"/>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6A8116EE" w14:textId="77777777" w:rsidR="00D94E39" w:rsidRPr="00D94E39" w:rsidRDefault="00D94E39" w:rsidP="00D94E39">
            <w:pPr>
              <w:jc w:val="center"/>
              <w:rPr>
                <w:rFonts w:ascii="Arial" w:eastAsia="Times New Roman" w:hAnsi="Arial" w:cs="Arial"/>
                <w:sz w:val="20"/>
                <w:szCs w:val="20"/>
                <w:lang w:eastAsia="en-GB"/>
              </w:rPr>
            </w:pPr>
            <w:r w:rsidRPr="00D94E39">
              <w:rPr>
                <w:rFonts w:ascii="Calibri" w:eastAsia="Times New Roman" w:hAnsi="Calibri" w:cs="Calibri"/>
                <w:b/>
                <w:bCs/>
                <w:color w:val="FFFFFF" w:themeColor="light1"/>
                <w:kern w:val="24"/>
                <w:sz w:val="20"/>
                <w:szCs w:val="20"/>
                <w:lang w:eastAsia="en-GB"/>
              </w:rPr>
              <w:t>2024/25 £m</w:t>
            </w:r>
          </w:p>
        </w:tc>
        <w:tc>
          <w:tcPr>
            <w:tcW w:w="0" w:type="auto"/>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7559A2D1" w14:textId="77777777" w:rsidR="00D94E39" w:rsidRPr="00D94E39" w:rsidRDefault="00D94E39" w:rsidP="00D94E39">
            <w:pPr>
              <w:jc w:val="center"/>
              <w:rPr>
                <w:rFonts w:ascii="Arial" w:eastAsia="Times New Roman" w:hAnsi="Arial" w:cs="Arial"/>
                <w:sz w:val="20"/>
                <w:szCs w:val="20"/>
                <w:lang w:eastAsia="en-GB"/>
              </w:rPr>
            </w:pPr>
            <w:r w:rsidRPr="00D94E39">
              <w:rPr>
                <w:rFonts w:ascii="Calibri" w:eastAsia="Times New Roman" w:hAnsi="Calibri" w:cs="Calibri"/>
                <w:b/>
                <w:bCs/>
                <w:color w:val="FFFFFF" w:themeColor="light1"/>
                <w:kern w:val="24"/>
                <w:sz w:val="20"/>
                <w:szCs w:val="20"/>
                <w:lang w:eastAsia="en-GB"/>
              </w:rPr>
              <w:t>2025/26 £m</w:t>
            </w:r>
          </w:p>
        </w:tc>
        <w:tc>
          <w:tcPr>
            <w:tcW w:w="0" w:type="auto"/>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0AC81D85" w14:textId="77777777" w:rsidR="00D94E39" w:rsidRPr="00D94E39" w:rsidRDefault="00D94E39" w:rsidP="00D94E39">
            <w:pPr>
              <w:jc w:val="center"/>
              <w:rPr>
                <w:rFonts w:ascii="Arial" w:eastAsia="Times New Roman" w:hAnsi="Arial" w:cs="Arial"/>
                <w:sz w:val="20"/>
                <w:szCs w:val="20"/>
                <w:lang w:eastAsia="en-GB"/>
              </w:rPr>
            </w:pPr>
            <w:r w:rsidRPr="00D94E39">
              <w:rPr>
                <w:rFonts w:ascii="Calibri" w:eastAsia="Times New Roman" w:hAnsi="Calibri" w:cs="Calibri"/>
                <w:b/>
                <w:bCs/>
                <w:color w:val="FFFFFF" w:themeColor="light1"/>
                <w:kern w:val="24"/>
                <w:sz w:val="20"/>
                <w:szCs w:val="20"/>
                <w:lang w:eastAsia="en-GB"/>
              </w:rPr>
              <w:t>Recurrent £m</w:t>
            </w:r>
          </w:p>
        </w:tc>
      </w:tr>
      <w:tr w:rsidR="00D94E39" w:rsidRPr="00D94E39" w14:paraId="2E89431C" w14:textId="77777777" w:rsidTr="00D94E39">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78FE71B"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b/>
                <w:bCs/>
                <w:color w:val="324F82"/>
                <w:kern w:val="24"/>
                <w:sz w:val="20"/>
                <w:szCs w:val="20"/>
                <w:u w:val="single"/>
                <w:lang w:eastAsia="en-GB"/>
              </w:rPr>
              <w:t>Expected Core Allocations Not Confirmed</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6A1C8B4" w14:textId="77777777" w:rsidR="00D94E39" w:rsidRPr="00D94E39" w:rsidRDefault="00D94E39" w:rsidP="00D94E39">
            <w:pPr>
              <w:rPr>
                <w:rFonts w:ascii="Arial" w:eastAsia="Times New Roman" w:hAnsi="Arial" w:cs="Arial"/>
                <w:sz w:val="20"/>
                <w:szCs w:val="20"/>
                <w:lang w:eastAsia="en-GB"/>
              </w:rPr>
            </w:pP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79D8FB0" w14:textId="77777777" w:rsidR="00D94E39" w:rsidRPr="00D94E39" w:rsidRDefault="00D94E39" w:rsidP="00D94E39">
            <w:pPr>
              <w:rPr>
                <w:rFonts w:ascii="Times New Roman" w:eastAsia="Times New Roman" w:hAnsi="Times New Roman" w:cs="Times New Roman"/>
                <w:sz w:val="20"/>
                <w:szCs w:val="20"/>
                <w:lang w:eastAsia="en-GB"/>
              </w:rPr>
            </w:pP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29E14CD" w14:textId="77777777" w:rsidR="00D94E39" w:rsidRPr="00D94E39" w:rsidRDefault="00D94E39" w:rsidP="00D94E39">
            <w:pPr>
              <w:rPr>
                <w:rFonts w:ascii="Times New Roman" w:eastAsia="Times New Roman" w:hAnsi="Times New Roman" w:cs="Times New Roman"/>
                <w:sz w:val="20"/>
                <w:szCs w:val="20"/>
                <w:lang w:eastAsia="en-GB"/>
              </w:rPr>
            </w:pP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590C959" w14:textId="77777777" w:rsidR="00D94E39" w:rsidRPr="00D94E39" w:rsidRDefault="00D94E39" w:rsidP="00D94E39">
            <w:pPr>
              <w:rPr>
                <w:rFonts w:ascii="Times New Roman" w:eastAsia="Times New Roman" w:hAnsi="Times New Roman" w:cs="Times New Roman"/>
                <w:sz w:val="20"/>
                <w:szCs w:val="20"/>
                <w:lang w:eastAsia="en-GB"/>
              </w:rPr>
            </w:pPr>
          </w:p>
        </w:tc>
      </w:tr>
      <w:tr w:rsidR="00E60B52" w:rsidRPr="00D94E39" w14:paraId="4F5C9645" w14:textId="77777777">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2E0529A" w14:textId="77777777" w:rsidR="00E60B52" w:rsidRPr="00D94E39" w:rsidRDefault="00E60B52">
            <w:pPr>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Bowel Screening Optimisation</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2CDB815" w14:textId="77777777" w:rsidR="00E60B52" w:rsidRPr="00D94E39" w:rsidRDefault="00E60B52">
            <w:pPr>
              <w:jc w:val="right"/>
              <w:rPr>
                <w:rFonts w:ascii="Arial" w:eastAsia="Times New Roman" w:hAnsi="Arial" w:cs="Arial"/>
                <w:sz w:val="20"/>
                <w:szCs w:val="20"/>
                <w:lang w:eastAsia="en-GB"/>
              </w:rPr>
            </w:pPr>
            <w:r>
              <w:rPr>
                <w:rFonts w:ascii="Calibri" w:eastAsia="Times New Roman" w:hAnsi="Calibri" w:cs="Calibri"/>
                <w:color w:val="324F82"/>
                <w:kern w:val="24"/>
                <w:sz w:val="20"/>
                <w:szCs w:val="20"/>
                <w:lang w:eastAsia="en-GB"/>
              </w:rPr>
              <w:t>3.363</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391BEB2D" w14:textId="77777777" w:rsidR="00E60B52" w:rsidRPr="00D94E39" w:rsidRDefault="00E60B52">
            <w:pPr>
              <w:jc w:val="right"/>
              <w:rPr>
                <w:rFonts w:ascii="Arial" w:eastAsia="Times New Roman" w:hAnsi="Arial" w:cs="Arial"/>
                <w:sz w:val="20"/>
                <w:szCs w:val="20"/>
                <w:lang w:eastAsia="en-GB"/>
              </w:rPr>
            </w:pPr>
            <w:r>
              <w:rPr>
                <w:rFonts w:ascii="Calibri" w:eastAsia="Times New Roman" w:hAnsi="Calibri" w:cs="Calibri"/>
                <w:color w:val="324F82"/>
                <w:kern w:val="24"/>
                <w:sz w:val="20"/>
                <w:szCs w:val="20"/>
                <w:lang w:eastAsia="en-GB"/>
              </w:rPr>
              <w:t>6.192</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F19E640" w14:textId="77777777" w:rsidR="00E60B52" w:rsidRPr="00D94E39" w:rsidRDefault="00E60B52">
            <w:pPr>
              <w:jc w:val="right"/>
              <w:rPr>
                <w:rFonts w:ascii="Arial" w:eastAsia="Times New Roman" w:hAnsi="Arial" w:cs="Arial"/>
                <w:sz w:val="20"/>
                <w:szCs w:val="20"/>
                <w:lang w:eastAsia="en-GB"/>
              </w:rPr>
            </w:pPr>
            <w:r>
              <w:rPr>
                <w:rFonts w:ascii="Calibri" w:eastAsia="Times New Roman" w:hAnsi="Calibri" w:cs="Calibri"/>
                <w:color w:val="324F82"/>
                <w:kern w:val="24"/>
                <w:sz w:val="20"/>
                <w:szCs w:val="20"/>
                <w:lang w:eastAsia="en-GB"/>
              </w:rPr>
              <w:t>6.192</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FA31B57" w14:textId="77777777" w:rsidR="00E60B52" w:rsidRPr="00D94E39" w:rsidRDefault="00E60B52">
            <w:pPr>
              <w:jc w:val="right"/>
              <w:rPr>
                <w:rFonts w:ascii="Arial" w:eastAsia="Times New Roman" w:hAnsi="Arial" w:cs="Arial"/>
                <w:sz w:val="20"/>
                <w:szCs w:val="20"/>
                <w:lang w:eastAsia="en-GB"/>
              </w:rPr>
            </w:pPr>
            <w:r>
              <w:rPr>
                <w:rFonts w:ascii="Calibri" w:eastAsia="Times New Roman" w:hAnsi="Calibri" w:cs="Calibri"/>
                <w:color w:val="324F82"/>
                <w:kern w:val="24"/>
                <w:sz w:val="20"/>
                <w:szCs w:val="20"/>
                <w:lang w:eastAsia="en-GB"/>
              </w:rPr>
              <w:t>6.192</w:t>
            </w:r>
          </w:p>
        </w:tc>
      </w:tr>
      <w:tr w:rsidR="00D94E39" w:rsidRPr="00D94E39" w14:paraId="039CDB4E" w14:textId="77777777" w:rsidTr="00D94E39">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DFDC1B7"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Lung Cancer Screening Business case</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AFD4B7D"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1.067</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245FB96"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1.067</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1D18907"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1.067</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E829BB9"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1.067</w:t>
            </w:r>
          </w:p>
        </w:tc>
      </w:tr>
      <w:tr w:rsidR="00D94E39" w:rsidRPr="00D94E39" w14:paraId="38BF4D84" w14:textId="77777777" w:rsidTr="00D94E39">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339603AC"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New-born Infant Physical Examination Cymru (NIPEC)</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D17AA23"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0.921</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2FE6D396"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0.921</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54FF749"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0.921</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27CE8489"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0.921</w:t>
            </w:r>
          </w:p>
        </w:tc>
      </w:tr>
      <w:tr w:rsidR="00D94E39" w:rsidRPr="00D94E39" w14:paraId="095C13CD" w14:textId="77777777" w:rsidTr="00D94E39">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E0DA150"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b/>
                <w:bCs/>
                <w:color w:val="324F82"/>
                <w:kern w:val="24"/>
                <w:sz w:val="20"/>
                <w:szCs w:val="20"/>
                <w:u w:val="single"/>
                <w:lang w:eastAsia="en-GB"/>
              </w:rPr>
              <w:t>Expected Non-Core Allocations Not Confirmed</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0BF2442C" w14:textId="77777777" w:rsidR="00D94E39" w:rsidRPr="00D94E39" w:rsidRDefault="00D94E39" w:rsidP="00D94E39">
            <w:pPr>
              <w:rPr>
                <w:rFonts w:ascii="Arial" w:eastAsia="Times New Roman" w:hAnsi="Arial" w:cs="Arial"/>
                <w:sz w:val="20"/>
                <w:szCs w:val="20"/>
                <w:lang w:eastAsia="en-GB"/>
              </w:rPr>
            </w:pP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82DF1BF" w14:textId="77777777" w:rsidR="00D94E39" w:rsidRPr="00D94E39" w:rsidRDefault="00D94E39" w:rsidP="00D94E39">
            <w:pPr>
              <w:rPr>
                <w:rFonts w:ascii="Times New Roman" w:eastAsia="Times New Roman" w:hAnsi="Times New Roman" w:cs="Times New Roman"/>
                <w:sz w:val="20"/>
                <w:szCs w:val="20"/>
                <w:lang w:eastAsia="en-GB"/>
              </w:rPr>
            </w:pP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5A01B35" w14:textId="77777777" w:rsidR="00D94E39" w:rsidRPr="00D94E39" w:rsidRDefault="00D94E39" w:rsidP="00D94E39">
            <w:pPr>
              <w:rPr>
                <w:rFonts w:ascii="Times New Roman" w:eastAsia="Times New Roman" w:hAnsi="Times New Roman" w:cs="Times New Roman"/>
                <w:sz w:val="20"/>
                <w:szCs w:val="20"/>
                <w:lang w:eastAsia="en-GB"/>
              </w:rPr>
            </w:pP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A408C88" w14:textId="77777777" w:rsidR="00D94E39" w:rsidRPr="00D94E39" w:rsidRDefault="00D94E39" w:rsidP="00D94E39">
            <w:pPr>
              <w:rPr>
                <w:rFonts w:ascii="Times New Roman" w:eastAsia="Times New Roman" w:hAnsi="Times New Roman" w:cs="Times New Roman"/>
                <w:sz w:val="20"/>
                <w:szCs w:val="20"/>
                <w:lang w:eastAsia="en-GB"/>
              </w:rPr>
            </w:pPr>
          </w:p>
        </w:tc>
      </w:tr>
      <w:tr w:rsidR="00D94E39" w:rsidRPr="00D94E39" w14:paraId="6F44A9F1" w14:textId="77777777" w:rsidTr="00D94E39">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2C706382"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CAMHS – in reach support for schools</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EA6495E"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0.65</w:t>
            </w:r>
            <w:r w:rsidR="00EB2CC2">
              <w:rPr>
                <w:rFonts w:ascii="Calibri" w:eastAsia="Times New Roman" w:hAnsi="Calibri" w:cs="Calibri"/>
                <w:color w:val="324F82"/>
                <w:kern w:val="24"/>
                <w:sz w:val="20"/>
                <w:szCs w:val="20"/>
                <w:lang w:eastAsia="en-GB"/>
              </w:rPr>
              <w:t>0</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C597E80"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0.654</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056EF50"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2277872"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w:t>
            </w:r>
          </w:p>
        </w:tc>
      </w:tr>
      <w:tr w:rsidR="00D94E39" w:rsidRPr="00D94E39" w14:paraId="7A22F249" w14:textId="77777777" w:rsidTr="00D94E39">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8387E8F"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Healthy Working Wales</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A5BFF1A"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0.741</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6566967"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0.741</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C166FE8"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0.741</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3CFE8CE"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0.741</w:t>
            </w:r>
          </w:p>
        </w:tc>
      </w:tr>
      <w:tr w:rsidR="00D94E39" w:rsidRPr="00D94E39" w14:paraId="7D5D3A38" w14:textId="77777777" w:rsidTr="00D94E39">
        <w:trPr>
          <w:trHeight w:val="113"/>
        </w:trPr>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29B5D75A"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Screening Recovery</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01362D9"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0.979</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2C3FFCA"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0.934</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438C3DE"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w:t>
            </w:r>
          </w:p>
        </w:tc>
        <w:tc>
          <w:tcPr>
            <w:tcW w:w="0" w:type="auto"/>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0BF1389" w14:textId="77777777" w:rsidR="00D94E39" w:rsidRPr="00D94E39" w:rsidRDefault="00D94E39" w:rsidP="00D94E39">
            <w:pPr>
              <w:jc w:val="right"/>
              <w:rPr>
                <w:rFonts w:ascii="Arial" w:eastAsia="Times New Roman" w:hAnsi="Arial" w:cs="Arial"/>
                <w:sz w:val="20"/>
                <w:szCs w:val="20"/>
                <w:lang w:eastAsia="en-GB"/>
              </w:rPr>
            </w:pPr>
            <w:r w:rsidRPr="00D94E39">
              <w:rPr>
                <w:rFonts w:ascii="Calibri" w:eastAsia="Times New Roman" w:hAnsi="Calibri" w:cs="Calibri"/>
                <w:color w:val="324F82"/>
                <w:kern w:val="24"/>
                <w:sz w:val="20"/>
                <w:szCs w:val="20"/>
                <w:lang w:eastAsia="en-GB"/>
              </w:rPr>
              <w:t>-</w:t>
            </w:r>
          </w:p>
        </w:tc>
      </w:tr>
      <w:tr w:rsidR="00D94E39" w:rsidRPr="00D94E39" w14:paraId="7EF7C0C3" w14:textId="77777777" w:rsidTr="00D94E39">
        <w:trPr>
          <w:trHeight w:val="24"/>
        </w:trPr>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C8F732C" w14:textId="77777777" w:rsidR="00D94E39" w:rsidRPr="00D94E39" w:rsidRDefault="00D94E39" w:rsidP="00D94E39">
            <w:pPr>
              <w:rPr>
                <w:rFonts w:ascii="Arial" w:eastAsia="Times New Roman" w:hAnsi="Arial" w:cs="Arial"/>
                <w:sz w:val="20"/>
                <w:szCs w:val="20"/>
                <w:lang w:eastAsia="en-GB"/>
              </w:rPr>
            </w:pPr>
            <w:r w:rsidRPr="00D94E39">
              <w:rPr>
                <w:rFonts w:ascii="Calibri" w:eastAsia="Times New Roman" w:hAnsi="Calibri" w:cs="Calibri"/>
                <w:b/>
                <w:bCs/>
                <w:color w:val="324F82"/>
                <w:kern w:val="24"/>
                <w:sz w:val="20"/>
                <w:szCs w:val="20"/>
                <w:lang w:eastAsia="en-GB"/>
              </w:rPr>
              <w:t>Total</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6425081" w14:textId="77777777" w:rsidR="00D94E39" w:rsidRPr="004A4C93" w:rsidRDefault="00D94E39" w:rsidP="00D94E39">
            <w:pPr>
              <w:jc w:val="right"/>
              <w:rPr>
                <w:rFonts w:ascii="Arial" w:eastAsia="Times New Roman" w:hAnsi="Arial" w:cs="Arial"/>
                <w:sz w:val="20"/>
                <w:szCs w:val="20"/>
                <w:lang w:eastAsia="en-GB"/>
              </w:rPr>
            </w:pPr>
            <w:r w:rsidRPr="004A4C93">
              <w:rPr>
                <w:rFonts w:ascii="Calibri" w:eastAsia="Times New Roman" w:hAnsi="Calibri" w:cs="Calibri"/>
                <w:b/>
                <w:bCs/>
                <w:color w:val="324F82"/>
                <w:kern w:val="24"/>
                <w:sz w:val="20"/>
                <w:szCs w:val="20"/>
                <w:lang w:eastAsia="en-GB"/>
              </w:rPr>
              <w:t>7.</w:t>
            </w:r>
            <w:r w:rsidR="0000459C" w:rsidRPr="004A4C93">
              <w:rPr>
                <w:rFonts w:ascii="Calibri" w:eastAsia="Times New Roman" w:hAnsi="Calibri" w:cs="Calibri"/>
                <w:b/>
                <w:bCs/>
                <w:color w:val="324F82"/>
                <w:kern w:val="24"/>
                <w:sz w:val="20"/>
                <w:szCs w:val="20"/>
                <w:lang w:eastAsia="en-GB"/>
              </w:rPr>
              <w:t>721</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9171F88" w14:textId="77777777" w:rsidR="00D94E39" w:rsidRPr="004A4C93" w:rsidRDefault="0000459C" w:rsidP="00D94E39">
            <w:pPr>
              <w:jc w:val="right"/>
              <w:rPr>
                <w:rFonts w:ascii="Arial" w:eastAsia="Times New Roman" w:hAnsi="Arial" w:cs="Arial"/>
                <w:sz w:val="20"/>
                <w:szCs w:val="20"/>
                <w:lang w:eastAsia="en-GB"/>
              </w:rPr>
            </w:pPr>
            <w:r w:rsidRPr="004A4C93">
              <w:rPr>
                <w:rFonts w:ascii="Calibri" w:eastAsia="Times New Roman" w:hAnsi="Calibri" w:cs="Calibri"/>
                <w:b/>
                <w:bCs/>
                <w:color w:val="324F82"/>
                <w:kern w:val="24"/>
                <w:sz w:val="20"/>
                <w:szCs w:val="20"/>
                <w:lang w:eastAsia="en-GB"/>
              </w:rPr>
              <w:t>10.509</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72186DC" w14:textId="77777777" w:rsidR="00D94E39" w:rsidRPr="004A4C93" w:rsidRDefault="003B3AFD" w:rsidP="00D94E39">
            <w:pPr>
              <w:jc w:val="right"/>
              <w:rPr>
                <w:rFonts w:ascii="Arial" w:eastAsia="Times New Roman" w:hAnsi="Arial" w:cs="Arial"/>
                <w:sz w:val="20"/>
                <w:szCs w:val="20"/>
                <w:lang w:eastAsia="en-GB"/>
              </w:rPr>
            </w:pPr>
            <w:r w:rsidRPr="004A4C93">
              <w:rPr>
                <w:rFonts w:ascii="Calibri" w:eastAsia="Times New Roman" w:hAnsi="Calibri" w:cs="Calibri"/>
                <w:b/>
                <w:bCs/>
                <w:color w:val="324F82"/>
                <w:kern w:val="24"/>
                <w:sz w:val="20"/>
                <w:szCs w:val="20"/>
                <w:lang w:eastAsia="en-GB"/>
              </w:rPr>
              <w:t>8.921</w:t>
            </w:r>
          </w:p>
        </w:tc>
        <w:tc>
          <w:tcPr>
            <w:tcW w:w="0" w:type="auto"/>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0C3F99B1" w14:textId="77777777" w:rsidR="00D94E39" w:rsidRPr="004A4C93" w:rsidRDefault="004A4C93" w:rsidP="00D94E39">
            <w:pPr>
              <w:jc w:val="right"/>
              <w:rPr>
                <w:rFonts w:ascii="Arial" w:eastAsia="Times New Roman" w:hAnsi="Arial" w:cs="Arial"/>
                <w:sz w:val="20"/>
                <w:szCs w:val="20"/>
                <w:lang w:eastAsia="en-GB"/>
              </w:rPr>
            </w:pPr>
            <w:r w:rsidRPr="004A4C93">
              <w:rPr>
                <w:rFonts w:ascii="Calibri" w:eastAsia="Times New Roman" w:hAnsi="Calibri" w:cs="Calibri"/>
                <w:b/>
                <w:bCs/>
                <w:color w:val="324F82"/>
                <w:kern w:val="24"/>
                <w:sz w:val="20"/>
                <w:szCs w:val="20"/>
                <w:lang w:eastAsia="en-GB"/>
              </w:rPr>
              <w:t>8.921</w:t>
            </w:r>
          </w:p>
        </w:tc>
      </w:tr>
    </w:tbl>
    <w:p w14:paraId="01AAF227" w14:textId="77777777" w:rsidR="009A24C3" w:rsidRDefault="009A24C3" w:rsidP="27713507">
      <w:pPr>
        <w:rPr>
          <w:rFonts w:asciiTheme="minorHAnsi" w:hAnsiTheme="minorHAnsi"/>
          <w:sz w:val="28"/>
          <w:szCs w:val="28"/>
          <w:highlight w:val="magenta"/>
        </w:rPr>
      </w:pPr>
    </w:p>
    <w:p w14:paraId="161878A5" w14:textId="77777777" w:rsidR="00A62745" w:rsidRDefault="00C13415" w:rsidP="00C13415">
      <w:pPr>
        <w:pStyle w:val="ListParagraph"/>
        <w:numPr>
          <w:ilvl w:val="0"/>
          <w:numId w:val="17"/>
        </w:numPr>
        <w:jc w:val="both"/>
        <w:rPr>
          <w:szCs w:val="24"/>
        </w:rPr>
      </w:pPr>
      <w:r>
        <w:rPr>
          <w:szCs w:val="24"/>
        </w:rPr>
        <w:t>Lung Cancer Screening and New-born Infant Physical Examination Cymru business cases are currently under consideration by Welsh Government</w:t>
      </w:r>
      <w:r w:rsidR="006D5819" w:rsidRPr="00C13415">
        <w:rPr>
          <w:szCs w:val="24"/>
        </w:rPr>
        <w:t>.</w:t>
      </w:r>
      <w:r>
        <w:rPr>
          <w:szCs w:val="24"/>
        </w:rPr>
        <w:t xml:space="preserve"> No cost commitments will be made against these developments until a decision on funding is received.</w:t>
      </w:r>
    </w:p>
    <w:p w14:paraId="43D90771" w14:textId="77777777" w:rsidR="00C13415" w:rsidRDefault="00C13415" w:rsidP="00C13415">
      <w:pPr>
        <w:pStyle w:val="ListParagraph"/>
        <w:numPr>
          <w:ilvl w:val="0"/>
          <w:numId w:val="17"/>
        </w:numPr>
        <w:jc w:val="both"/>
        <w:rPr>
          <w:szCs w:val="24"/>
        </w:rPr>
      </w:pPr>
      <w:r>
        <w:rPr>
          <w:szCs w:val="24"/>
        </w:rPr>
        <w:t>Bowel Screening Optimisation and Screening recovery funding decisions are in the final stages of sign off.</w:t>
      </w:r>
    </w:p>
    <w:p w14:paraId="77FF5F0D" w14:textId="77777777" w:rsidR="00C13415" w:rsidRPr="00C13415" w:rsidRDefault="00C13415" w:rsidP="00C13415">
      <w:pPr>
        <w:pStyle w:val="ListParagraph"/>
        <w:numPr>
          <w:ilvl w:val="0"/>
          <w:numId w:val="17"/>
        </w:numPr>
        <w:jc w:val="both"/>
        <w:rPr>
          <w:szCs w:val="24"/>
        </w:rPr>
      </w:pPr>
      <w:r>
        <w:rPr>
          <w:szCs w:val="24"/>
        </w:rPr>
        <w:t>CAMHS in-reach and Healthy Working Wales are invoice funded services and we will continue to invoice Welsh Government as we have in previous years.</w:t>
      </w:r>
    </w:p>
    <w:p w14:paraId="1AEE703C" w14:textId="77777777" w:rsidR="007067F5" w:rsidRPr="008079F7" w:rsidRDefault="007067F5" w:rsidP="27713507">
      <w:pPr>
        <w:rPr>
          <w:rFonts w:asciiTheme="minorHAnsi" w:hAnsiTheme="minorHAnsi"/>
          <w:sz w:val="28"/>
          <w:szCs w:val="28"/>
          <w:highlight w:val="magenta"/>
        </w:rPr>
      </w:pPr>
    </w:p>
    <w:p w14:paraId="485460AC" w14:textId="77777777" w:rsidR="00656705" w:rsidRDefault="00656705" w:rsidP="00656705">
      <w:pPr>
        <w:pStyle w:val="ListParagraph"/>
        <w:ind w:left="284"/>
        <w:rPr>
          <w:b/>
          <w:bCs/>
          <w:szCs w:val="24"/>
        </w:rPr>
      </w:pPr>
    </w:p>
    <w:p w14:paraId="680D8D22" w14:textId="77777777" w:rsidR="00601558" w:rsidRDefault="00601558" w:rsidP="27713507">
      <w:pPr>
        <w:pStyle w:val="ListParagraph"/>
        <w:numPr>
          <w:ilvl w:val="0"/>
          <w:numId w:val="23"/>
        </w:numPr>
        <w:ind w:left="284" w:hanging="284"/>
        <w:rPr>
          <w:b/>
          <w:bCs/>
          <w:szCs w:val="24"/>
        </w:rPr>
      </w:pPr>
      <w:r>
        <w:rPr>
          <w:b/>
          <w:bCs/>
          <w:szCs w:val="24"/>
        </w:rPr>
        <w:t xml:space="preserve"> 2023/24 Cost Pressures</w:t>
      </w:r>
      <w:r w:rsidR="00E92C5D">
        <w:rPr>
          <w:b/>
          <w:bCs/>
          <w:szCs w:val="24"/>
        </w:rPr>
        <w:t xml:space="preserve"> and </w:t>
      </w:r>
      <w:r w:rsidR="00252B85">
        <w:rPr>
          <w:b/>
          <w:bCs/>
          <w:szCs w:val="24"/>
        </w:rPr>
        <w:t>Inflation</w:t>
      </w:r>
    </w:p>
    <w:p w14:paraId="6AEC4BB5" w14:textId="77777777" w:rsidR="00601558" w:rsidRDefault="00601558" w:rsidP="00601558"/>
    <w:p w14:paraId="06215059" w14:textId="77777777" w:rsidR="007067F5" w:rsidRPr="00601558" w:rsidRDefault="00A01D97" w:rsidP="00601558">
      <w:pPr>
        <w:rPr>
          <w:b/>
          <w:bCs/>
          <w:szCs w:val="24"/>
        </w:rPr>
      </w:pPr>
      <w:r w:rsidRPr="00601558">
        <w:rPr>
          <w:b/>
          <w:bCs/>
          <w:szCs w:val="24"/>
        </w:rPr>
        <w:t>2023/24 Inflationary Impacts</w:t>
      </w:r>
    </w:p>
    <w:p w14:paraId="471427E5" w14:textId="77777777" w:rsidR="00C65815" w:rsidRPr="00601558" w:rsidRDefault="00C65815" w:rsidP="27713507">
      <w:pPr>
        <w:rPr>
          <w:rFonts w:asciiTheme="minorHAnsi" w:hAnsiTheme="minorHAnsi"/>
          <w:sz w:val="28"/>
          <w:szCs w:val="28"/>
        </w:rPr>
      </w:pPr>
    </w:p>
    <w:p w14:paraId="6B4B538E" w14:textId="14092A54" w:rsidR="00F8780E" w:rsidRDefault="0080530D" w:rsidP="00F8780E">
      <w:pPr>
        <w:pStyle w:val="ListParagraph"/>
        <w:ind w:left="0"/>
        <w:jc w:val="both"/>
        <w:rPr>
          <w:rFonts w:eastAsia="Times New Roman"/>
        </w:rPr>
      </w:pPr>
      <w:r w:rsidRPr="00601558">
        <w:rPr>
          <w:szCs w:val="24"/>
        </w:rPr>
        <w:t xml:space="preserve">We have received 1.5% Welsh Government Inflationary uplift within our core allocation, which equates to £1.921m.  This alongside additional income expected from non-Welsh Government sources (mainly </w:t>
      </w:r>
      <w:r w:rsidR="00601558">
        <w:rPr>
          <w:szCs w:val="24"/>
        </w:rPr>
        <w:t xml:space="preserve">due to </w:t>
      </w:r>
      <w:r w:rsidRPr="00601558">
        <w:rPr>
          <w:szCs w:val="24"/>
        </w:rPr>
        <w:t>inflationary uplifts linked to SLAs and LTAs) totalling £3</w:t>
      </w:r>
      <w:r w:rsidR="00F1170F">
        <w:rPr>
          <w:szCs w:val="24"/>
        </w:rPr>
        <w:t>51</w:t>
      </w:r>
      <w:r w:rsidRPr="00601558">
        <w:rPr>
          <w:szCs w:val="24"/>
        </w:rPr>
        <w:t>k</w:t>
      </w:r>
      <w:r w:rsidR="00601558">
        <w:rPr>
          <w:szCs w:val="24"/>
        </w:rPr>
        <w:t>,</w:t>
      </w:r>
      <w:r w:rsidRPr="00601558">
        <w:rPr>
          <w:szCs w:val="24"/>
        </w:rPr>
        <w:t xml:space="preserve"> provides an overall inflationary funding figure </w:t>
      </w:r>
      <w:r w:rsidR="00A01D97" w:rsidRPr="00601558">
        <w:rPr>
          <w:szCs w:val="24"/>
        </w:rPr>
        <w:t xml:space="preserve">for 2023/24 </w:t>
      </w:r>
      <w:r w:rsidRPr="00601558">
        <w:rPr>
          <w:szCs w:val="24"/>
        </w:rPr>
        <w:t>of £2.27</w:t>
      </w:r>
      <w:r w:rsidR="00F1170F">
        <w:rPr>
          <w:szCs w:val="24"/>
        </w:rPr>
        <w:t>2</w:t>
      </w:r>
      <w:r w:rsidRPr="00601558">
        <w:rPr>
          <w:szCs w:val="24"/>
        </w:rPr>
        <w:t>m.</w:t>
      </w:r>
      <w:r w:rsidR="00F8780E">
        <w:rPr>
          <w:szCs w:val="24"/>
        </w:rPr>
        <w:t xml:space="preserve"> </w:t>
      </w:r>
    </w:p>
    <w:p w14:paraId="43D166D9" w14:textId="77777777" w:rsidR="0080530D" w:rsidRPr="00601558" w:rsidRDefault="0080530D" w:rsidP="00450304">
      <w:pPr>
        <w:jc w:val="both"/>
        <w:rPr>
          <w:szCs w:val="24"/>
        </w:rPr>
      </w:pPr>
    </w:p>
    <w:p w14:paraId="53635AD6" w14:textId="77777777" w:rsidR="00172DE7" w:rsidRPr="00A01D97" w:rsidRDefault="00172DE7" w:rsidP="27713507">
      <w:pPr>
        <w:pStyle w:val="ListParagraph"/>
        <w:jc w:val="both"/>
        <w:rPr>
          <w:rFonts w:eastAsia="Times New Roman"/>
          <w:highlight w:val="yellow"/>
        </w:rPr>
      </w:pPr>
    </w:p>
    <w:p w14:paraId="25A0B2F0" w14:textId="77777777" w:rsidR="00FE5DB7" w:rsidRPr="00601558" w:rsidRDefault="22092321" w:rsidP="0080530D">
      <w:pPr>
        <w:pStyle w:val="ListParagraph"/>
        <w:ind w:left="0"/>
        <w:jc w:val="both"/>
        <w:rPr>
          <w:rFonts w:eastAsia="Times New Roman"/>
        </w:rPr>
      </w:pPr>
      <w:r w:rsidRPr="00601558">
        <w:rPr>
          <w:rFonts w:eastAsia="Times New Roman"/>
          <w:b/>
        </w:rPr>
        <w:t>T</w:t>
      </w:r>
      <w:r w:rsidR="00A01D97" w:rsidRPr="00601558">
        <w:rPr>
          <w:rFonts w:eastAsia="Times New Roman"/>
          <w:b/>
        </w:rPr>
        <w:t xml:space="preserve">able </w:t>
      </w:r>
      <w:r w:rsidR="00656705">
        <w:rPr>
          <w:rFonts w:eastAsia="Times New Roman"/>
          <w:b/>
        </w:rPr>
        <w:t>5</w:t>
      </w:r>
      <w:r w:rsidR="00A01D97" w:rsidRPr="00601558">
        <w:rPr>
          <w:rFonts w:eastAsia="Times New Roman"/>
        </w:rPr>
        <w:t xml:space="preserve"> illustrates what items this inflationary funding is planned to cover</w:t>
      </w:r>
      <w:r w:rsidRPr="00601558">
        <w:rPr>
          <w:rFonts w:eastAsia="Times New Roman"/>
        </w:rPr>
        <w:t>:</w:t>
      </w:r>
    </w:p>
    <w:p w14:paraId="20FD69F2" w14:textId="77777777" w:rsidR="00FE5DB7" w:rsidRPr="00601558" w:rsidRDefault="00FE5DB7" w:rsidP="27713507">
      <w:pPr>
        <w:jc w:val="both"/>
        <w:rPr>
          <w:rFonts w:eastAsia="Times New Roman"/>
          <w:b/>
          <w:bCs/>
        </w:rPr>
      </w:pPr>
    </w:p>
    <w:p w14:paraId="34D62AB4" w14:textId="77777777" w:rsidR="00FE5DB7" w:rsidRPr="00601558" w:rsidRDefault="22092321" w:rsidP="27713507">
      <w:pPr>
        <w:jc w:val="both"/>
        <w:rPr>
          <w:rFonts w:eastAsia="Times New Roman"/>
          <w:b/>
          <w:bCs/>
        </w:rPr>
      </w:pPr>
      <w:r w:rsidRPr="00601558">
        <w:rPr>
          <w:rFonts w:eastAsia="Times New Roman"/>
          <w:b/>
          <w:bCs/>
        </w:rPr>
        <w:t>T</w:t>
      </w:r>
      <w:r w:rsidR="3EC079CA" w:rsidRPr="00601558">
        <w:rPr>
          <w:rFonts w:eastAsia="Times New Roman"/>
          <w:b/>
          <w:bCs/>
        </w:rPr>
        <w:t>able</w:t>
      </w:r>
      <w:r w:rsidR="0080530D" w:rsidRPr="00601558">
        <w:rPr>
          <w:rFonts w:eastAsia="Times New Roman"/>
          <w:b/>
          <w:bCs/>
        </w:rPr>
        <w:t xml:space="preserve"> </w:t>
      </w:r>
      <w:r w:rsidR="00656705">
        <w:rPr>
          <w:rFonts w:eastAsia="Times New Roman"/>
          <w:b/>
          <w:bCs/>
        </w:rPr>
        <w:t>5</w:t>
      </w:r>
    </w:p>
    <w:tbl>
      <w:tblPr>
        <w:tblW w:w="5251" w:type="pct"/>
        <w:tblCellMar>
          <w:left w:w="0" w:type="dxa"/>
          <w:right w:w="0" w:type="dxa"/>
        </w:tblCellMar>
        <w:tblLook w:val="0420" w:firstRow="1" w:lastRow="0" w:firstColumn="0" w:lastColumn="0" w:noHBand="0" w:noVBand="1"/>
      </w:tblPr>
      <w:tblGrid>
        <w:gridCol w:w="4594"/>
        <w:gridCol w:w="1176"/>
        <w:gridCol w:w="1177"/>
        <w:gridCol w:w="1177"/>
        <w:gridCol w:w="1334"/>
      </w:tblGrid>
      <w:tr w:rsidR="00A01D97" w:rsidRPr="00A01D97" w14:paraId="103C6B97" w14:textId="77777777" w:rsidTr="00A01D97">
        <w:trPr>
          <w:trHeight w:val="275"/>
        </w:trPr>
        <w:tc>
          <w:tcPr>
            <w:tcW w:w="2429"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1731014D" w14:textId="77777777" w:rsidR="00A01D97" w:rsidRPr="00A01D97" w:rsidRDefault="00A01D97" w:rsidP="00A01D97">
            <w:pPr>
              <w:rPr>
                <w:rFonts w:ascii="Arial" w:eastAsia="Times New Roman" w:hAnsi="Arial" w:cs="Arial"/>
                <w:szCs w:val="24"/>
                <w:lang w:eastAsia="en-GB"/>
              </w:rPr>
            </w:pPr>
            <w:r w:rsidRPr="00A01D97">
              <w:rPr>
                <w:rFonts w:ascii="Calibri" w:eastAsia="Times New Roman" w:hAnsi="Calibri" w:cs="Calibri"/>
                <w:b/>
                <w:bCs/>
                <w:color w:val="FFFFFF" w:themeColor="light1"/>
                <w:kern w:val="24"/>
                <w:szCs w:val="24"/>
                <w:lang w:eastAsia="en-GB"/>
              </w:rPr>
              <w:t>Commitments</w:t>
            </w:r>
          </w:p>
        </w:tc>
        <w:tc>
          <w:tcPr>
            <w:tcW w:w="622"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4E0BAC81" w14:textId="77777777" w:rsidR="00A01D97" w:rsidRPr="00A01D97" w:rsidRDefault="00A01D97" w:rsidP="00A01D97">
            <w:pPr>
              <w:jc w:val="center"/>
              <w:rPr>
                <w:rFonts w:ascii="Arial" w:eastAsia="Times New Roman" w:hAnsi="Arial" w:cs="Arial"/>
                <w:szCs w:val="24"/>
                <w:lang w:eastAsia="en-GB"/>
              </w:rPr>
            </w:pPr>
            <w:r w:rsidRPr="00A01D97">
              <w:rPr>
                <w:rFonts w:ascii="Calibri" w:eastAsia="Times New Roman" w:hAnsi="Calibri" w:cs="Calibri"/>
                <w:b/>
                <w:bCs/>
                <w:color w:val="FFFFFF" w:themeColor="light1"/>
                <w:kern w:val="24"/>
                <w:szCs w:val="24"/>
                <w:lang w:eastAsia="en-GB"/>
              </w:rPr>
              <w:t>2023/24 £m</w:t>
            </w:r>
          </w:p>
        </w:tc>
        <w:tc>
          <w:tcPr>
            <w:tcW w:w="622"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30E5C048" w14:textId="77777777" w:rsidR="00A01D97" w:rsidRPr="00A01D97" w:rsidRDefault="00A01D97" w:rsidP="00A01D97">
            <w:pPr>
              <w:jc w:val="center"/>
              <w:rPr>
                <w:rFonts w:ascii="Arial" w:eastAsia="Times New Roman" w:hAnsi="Arial" w:cs="Arial"/>
                <w:szCs w:val="24"/>
                <w:lang w:eastAsia="en-GB"/>
              </w:rPr>
            </w:pPr>
            <w:r w:rsidRPr="00A01D97">
              <w:rPr>
                <w:rFonts w:ascii="Calibri" w:eastAsia="Times New Roman" w:hAnsi="Calibri" w:cs="Calibri"/>
                <w:b/>
                <w:bCs/>
                <w:color w:val="FFFFFF" w:themeColor="light1"/>
                <w:kern w:val="24"/>
                <w:szCs w:val="24"/>
                <w:lang w:eastAsia="en-GB"/>
              </w:rPr>
              <w:t>2024/25 £m</w:t>
            </w:r>
          </w:p>
        </w:tc>
        <w:tc>
          <w:tcPr>
            <w:tcW w:w="622"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790E67D0" w14:textId="77777777" w:rsidR="00A01D97" w:rsidRPr="00A01D97" w:rsidRDefault="00A01D97" w:rsidP="00A01D97">
            <w:pPr>
              <w:jc w:val="center"/>
              <w:rPr>
                <w:rFonts w:ascii="Arial" w:eastAsia="Times New Roman" w:hAnsi="Arial" w:cs="Arial"/>
                <w:szCs w:val="24"/>
                <w:lang w:eastAsia="en-GB"/>
              </w:rPr>
            </w:pPr>
            <w:r w:rsidRPr="00A01D97">
              <w:rPr>
                <w:rFonts w:ascii="Calibri" w:eastAsia="Times New Roman" w:hAnsi="Calibri" w:cs="Calibri"/>
                <w:b/>
                <w:bCs/>
                <w:color w:val="FFFFFF" w:themeColor="light1"/>
                <w:kern w:val="24"/>
                <w:szCs w:val="24"/>
                <w:lang w:eastAsia="en-GB"/>
              </w:rPr>
              <w:t>2025/26 £m</w:t>
            </w:r>
          </w:p>
        </w:tc>
        <w:tc>
          <w:tcPr>
            <w:tcW w:w="705"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38B198B7" w14:textId="77777777" w:rsidR="00A01D97" w:rsidRPr="00A01D97" w:rsidRDefault="00A01D97" w:rsidP="00A01D97">
            <w:pPr>
              <w:jc w:val="center"/>
              <w:rPr>
                <w:rFonts w:ascii="Arial" w:eastAsia="Times New Roman" w:hAnsi="Arial" w:cs="Arial"/>
                <w:szCs w:val="24"/>
                <w:lang w:eastAsia="en-GB"/>
              </w:rPr>
            </w:pPr>
            <w:r w:rsidRPr="00A01D97">
              <w:rPr>
                <w:rFonts w:ascii="Calibri" w:eastAsia="Times New Roman" w:hAnsi="Calibri" w:cs="Calibri"/>
                <w:b/>
                <w:bCs/>
                <w:color w:val="FFFFFF" w:themeColor="light1"/>
                <w:kern w:val="24"/>
                <w:szCs w:val="24"/>
                <w:lang w:eastAsia="en-GB"/>
              </w:rPr>
              <w:t>Recurrent £m</w:t>
            </w:r>
          </w:p>
        </w:tc>
      </w:tr>
      <w:tr w:rsidR="00A01D97" w:rsidRPr="00A01D97" w14:paraId="3200A7D8"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8F841CA" w14:textId="77777777" w:rsidR="00A01D97" w:rsidRPr="00A01D97" w:rsidRDefault="00A01D97" w:rsidP="00A01D97">
            <w:pPr>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Energy Price Increases</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700DC97"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0.037</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71B7096"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 xml:space="preserve"> 0.048 </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2BAFB43"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 xml:space="preserve">0.029 </w:t>
            </w:r>
          </w:p>
        </w:tc>
        <w:tc>
          <w:tcPr>
            <w:tcW w:w="705"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A463233"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0.029</w:t>
            </w:r>
          </w:p>
        </w:tc>
      </w:tr>
      <w:tr w:rsidR="00A01D97" w:rsidRPr="00A01D97" w14:paraId="19F49859"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E33D0B9" w14:textId="77777777" w:rsidR="00A01D97" w:rsidRPr="00A01D97" w:rsidRDefault="00A01D97" w:rsidP="00A01D97">
            <w:pPr>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Microsoft Contract Increase</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04DB3F73"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0.139</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A1DC404"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0.279</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2F5B1DC"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0.361</w:t>
            </w:r>
          </w:p>
        </w:tc>
        <w:tc>
          <w:tcPr>
            <w:tcW w:w="705"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6B507AE"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0.361</w:t>
            </w:r>
          </w:p>
        </w:tc>
      </w:tr>
      <w:tr w:rsidR="00A01D97" w:rsidRPr="00A01D97" w14:paraId="59BA59E6"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78544CE" w14:textId="77777777" w:rsidR="00A01D97" w:rsidRPr="00A01D97" w:rsidRDefault="00A01D97" w:rsidP="00A01D97">
            <w:pPr>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Welsh Risk Pool</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EAD6EB3"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0.015</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E7C9707"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0.034</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CBAC4C2"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0.073</w:t>
            </w:r>
          </w:p>
        </w:tc>
        <w:tc>
          <w:tcPr>
            <w:tcW w:w="705"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41AF874"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0.073</w:t>
            </w:r>
          </w:p>
        </w:tc>
      </w:tr>
      <w:tr w:rsidR="00A01D97" w:rsidRPr="00A01D97" w14:paraId="6255E1D9"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D17ABA3" w14:textId="77777777" w:rsidR="00A01D97" w:rsidRPr="00A01D97" w:rsidRDefault="00A01D97" w:rsidP="00A01D97">
            <w:pPr>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LINC &amp; RISP (estimate project costs)</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020794F" w14:textId="7834D278"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w:t>
            </w:r>
            <w:r w:rsidR="00F1170F">
              <w:rPr>
                <w:rFonts w:ascii="Calibri" w:eastAsia="Times New Roman" w:hAnsi="Calibri" w:cs="Calibri"/>
                <w:color w:val="324F82"/>
                <w:kern w:val="24"/>
                <w:szCs w:val="24"/>
                <w:lang w:eastAsia="en-GB"/>
              </w:rPr>
              <w:t>38</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28DAB786"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0.068</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9BF51D7"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0.058</w:t>
            </w:r>
          </w:p>
        </w:tc>
        <w:tc>
          <w:tcPr>
            <w:tcW w:w="705"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BB38DDA"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0.058</w:t>
            </w:r>
          </w:p>
        </w:tc>
      </w:tr>
      <w:tr w:rsidR="00A01D97" w:rsidRPr="00A01D97" w14:paraId="706BF3DC"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3C63334" w14:textId="77777777" w:rsidR="00A01D97" w:rsidRPr="00A01D97" w:rsidRDefault="00A01D97" w:rsidP="00A01D97">
            <w:pPr>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NWSSP IMTP</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5A6FE8D"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0.114</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2802496"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0.107</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90885A0"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0.086</w:t>
            </w:r>
          </w:p>
        </w:tc>
        <w:tc>
          <w:tcPr>
            <w:tcW w:w="705"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06FB43FD" w14:textId="77777777"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0.086</w:t>
            </w:r>
          </w:p>
        </w:tc>
      </w:tr>
      <w:tr w:rsidR="00A01D97" w:rsidRPr="00A01D97" w14:paraId="64B93C67"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8772C8A" w14:textId="77777777" w:rsidR="00A01D97" w:rsidRPr="00A01D97" w:rsidRDefault="00A01D97" w:rsidP="00A01D97">
            <w:pPr>
              <w:rPr>
                <w:rFonts w:ascii="Arial" w:eastAsia="Times New Roman" w:hAnsi="Arial" w:cs="Arial"/>
                <w:szCs w:val="24"/>
                <w:lang w:eastAsia="en-GB"/>
              </w:rPr>
            </w:pPr>
            <w:r w:rsidRPr="00601558">
              <w:rPr>
                <w:rFonts w:ascii="Calibri" w:eastAsia="Times New Roman" w:hAnsi="Calibri" w:cs="Calibri"/>
                <w:color w:val="324F82"/>
                <w:kern w:val="24"/>
                <w:szCs w:val="24"/>
                <w:lang w:eastAsia="en-GB"/>
              </w:rPr>
              <w:t>Other P</w:t>
            </w:r>
            <w:r w:rsidR="0036741F">
              <w:rPr>
                <w:rFonts w:ascii="Calibri" w:eastAsia="Times New Roman" w:hAnsi="Calibri" w:cs="Calibri"/>
                <w:color w:val="324F82"/>
                <w:kern w:val="24"/>
                <w:szCs w:val="24"/>
                <w:lang w:eastAsia="en-GB"/>
              </w:rPr>
              <w:t xml:space="preserve">ublic </w:t>
            </w:r>
            <w:r w:rsidRPr="00601558">
              <w:rPr>
                <w:rFonts w:ascii="Calibri" w:eastAsia="Times New Roman" w:hAnsi="Calibri" w:cs="Calibri"/>
                <w:color w:val="324F82"/>
                <w:kern w:val="24"/>
                <w:szCs w:val="24"/>
                <w:lang w:eastAsia="en-GB"/>
              </w:rPr>
              <w:t>H</w:t>
            </w:r>
            <w:r w:rsidR="0036741F">
              <w:rPr>
                <w:rFonts w:ascii="Calibri" w:eastAsia="Times New Roman" w:hAnsi="Calibri" w:cs="Calibri"/>
                <w:color w:val="324F82"/>
                <w:kern w:val="24"/>
                <w:szCs w:val="24"/>
                <w:lang w:eastAsia="en-GB"/>
              </w:rPr>
              <w:t xml:space="preserve">ealth </w:t>
            </w:r>
            <w:r w:rsidRPr="00601558">
              <w:rPr>
                <w:rFonts w:ascii="Calibri" w:eastAsia="Times New Roman" w:hAnsi="Calibri" w:cs="Calibri"/>
                <w:color w:val="324F82"/>
                <w:kern w:val="24"/>
                <w:szCs w:val="24"/>
                <w:lang w:eastAsia="en-GB"/>
              </w:rPr>
              <w:t>W</w:t>
            </w:r>
            <w:r w:rsidR="0036741F">
              <w:rPr>
                <w:rFonts w:ascii="Calibri" w:eastAsia="Times New Roman" w:hAnsi="Calibri" w:cs="Calibri"/>
                <w:color w:val="324F82"/>
                <w:kern w:val="24"/>
                <w:szCs w:val="24"/>
                <w:lang w:eastAsia="en-GB"/>
              </w:rPr>
              <w:t>ales</w:t>
            </w:r>
            <w:r w:rsidRPr="00601558">
              <w:rPr>
                <w:rFonts w:ascii="Calibri" w:eastAsia="Times New Roman" w:hAnsi="Calibri" w:cs="Calibri"/>
                <w:color w:val="324F82"/>
                <w:kern w:val="24"/>
                <w:szCs w:val="24"/>
                <w:lang w:eastAsia="en-GB"/>
              </w:rPr>
              <w:t xml:space="preserve"> Inflation </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0EF4A073" w14:textId="5599237F"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2.29</w:t>
            </w:r>
            <w:r w:rsidR="00C8600E">
              <w:rPr>
                <w:rFonts w:ascii="Calibri" w:eastAsia="Times New Roman" w:hAnsi="Calibri" w:cs="Calibri"/>
                <w:color w:val="324F82"/>
                <w:kern w:val="24"/>
                <w:szCs w:val="24"/>
                <w:lang w:eastAsia="en-GB"/>
              </w:rPr>
              <w:t>9</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9BC080F" w14:textId="131DD68A"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2.29</w:t>
            </w:r>
            <w:r w:rsidR="00C8600E">
              <w:rPr>
                <w:rFonts w:ascii="Calibri" w:eastAsia="Times New Roman" w:hAnsi="Calibri" w:cs="Calibri"/>
                <w:color w:val="324F82"/>
                <w:kern w:val="24"/>
                <w:szCs w:val="24"/>
                <w:lang w:eastAsia="en-GB"/>
              </w:rPr>
              <w:t>9</w:t>
            </w:r>
          </w:p>
        </w:tc>
        <w:tc>
          <w:tcPr>
            <w:tcW w:w="62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D8E0EB4" w14:textId="1C7787F8"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2.29</w:t>
            </w:r>
            <w:r w:rsidR="00C8600E">
              <w:rPr>
                <w:rFonts w:ascii="Calibri" w:eastAsia="Times New Roman" w:hAnsi="Calibri" w:cs="Calibri"/>
                <w:color w:val="324F82"/>
                <w:kern w:val="24"/>
                <w:szCs w:val="24"/>
                <w:lang w:eastAsia="en-GB"/>
              </w:rPr>
              <w:t>9</w:t>
            </w:r>
          </w:p>
        </w:tc>
        <w:tc>
          <w:tcPr>
            <w:tcW w:w="705"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DD6CE67" w14:textId="37385C31" w:rsidR="00A01D97" w:rsidRPr="00A01D97" w:rsidRDefault="00A01D97" w:rsidP="00A01D97">
            <w:pPr>
              <w:jc w:val="right"/>
              <w:rPr>
                <w:rFonts w:ascii="Arial" w:eastAsia="Times New Roman" w:hAnsi="Arial" w:cs="Arial"/>
                <w:szCs w:val="24"/>
                <w:lang w:eastAsia="en-GB"/>
              </w:rPr>
            </w:pPr>
            <w:r w:rsidRPr="00A01D97">
              <w:rPr>
                <w:rFonts w:ascii="Calibri" w:eastAsia="Times New Roman" w:hAnsi="Calibri" w:cs="Calibri"/>
                <w:color w:val="324F82"/>
                <w:kern w:val="24"/>
                <w:szCs w:val="24"/>
                <w:lang w:eastAsia="en-GB"/>
              </w:rPr>
              <w:t>2.29</w:t>
            </w:r>
            <w:r w:rsidR="00C8600E">
              <w:rPr>
                <w:rFonts w:ascii="Calibri" w:eastAsia="Times New Roman" w:hAnsi="Calibri" w:cs="Calibri"/>
                <w:color w:val="324F82"/>
                <w:kern w:val="24"/>
                <w:szCs w:val="24"/>
                <w:lang w:eastAsia="en-GB"/>
              </w:rPr>
              <w:t>9</w:t>
            </w:r>
          </w:p>
        </w:tc>
      </w:tr>
      <w:tr w:rsidR="00F1170F" w:rsidRPr="00A01D97" w14:paraId="471EB1C6"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14F2658" w14:textId="77777777" w:rsidR="00F1170F" w:rsidRPr="00A01D97" w:rsidRDefault="00F1170F" w:rsidP="00F1170F">
            <w:pPr>
              <w:rPr>
                <w:rFonts w:ascii="Arial" w:eastAsia="Times New Roman" w:hAnsi="Arial" w:cs="Arial"/>
                <w:szCs w:val="24"/>
                <w:lang w:eastAsia="en-GB"/>
              </w:rPr>
            </w:pPr>
            <w:r w:rsidRPr="00A01D97">
              <w:rPr>
                <w:rFonts w:ascii="Calibri" w:eastAsia="Times New Roman" w:hAnsi="Calibri" w:cs="Calibri"/>
                <w:b/>
                <w:bCs/>
                <w:color w:val="324F82"/>
                <w:kern w:val="24"/>
                <w:szCs w:val="24"/>
                <w:lang w:eastAsia="en-GB"/>
              </w:rPr>
              <w:t>Total Commitments</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47EB92A" w14:textId="1B1B2A17" w:rsidR="00F1170F" w:rsidRPr="00A01D97" w:rsidRDefault="00F1170F" w:rsidP="00F1170F">
            <w:pPr>
              <w:jc w:val="right"/>
              <w:rPr>
                <w:rFonts w:ascii="Arial" w:eastAsia="Times New Roman" w:hAnsi="Arial" w:cs="Arial"/>
                <w:szCs w:val="24"/>
                <w:lang w:eastAsia="en-GB"/>
              </w:rPr>
            </w:pPr>
            <w:r w:rsidRPr="00A01D97">
              <w:rPr>
                <w:rFonts w:ascii="Calibri" w:eastAsia="Times New Roman" w:hAnsi="Calibri" w:cs="Calibri"/>
                <w:b/>
                <w:bCs/>
                <w:color w:val="324F82"/>
                <w:kern w:val="24"/>
                <w:szCs w:val="24"/>
                <w:lang w:eastAsia="en-GB"/>
              </w:rPr>
              <w:t>2.6</w:t>
            </w:r>
            <w:r w:rsidR="00C8600E">
              <w:rPr>
                <w:rFonts w:ascii="Calibri" w:eastAsia="Times New Roman" w:hAnsi="Calibri" w:cs="Calibri"/>
                <w:b/>
                <w:bCs/>
                <w:color w:val="324F82"/>
                <w:kern w:val="24"/>
                <w:szCs w:val="24"/>
                <w:lang w:eastAsia="en-GB"/>
              </w:rPr>
              <w:t>42</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C9246C4" w14:textId="1E98142A" w:rsidR="00F1170F" w:rsidRPr="00A01D97" w:rsidRDefault="00F1170F" w:rsidP="00F1170F">
            <w:pPr>
              <w:jc w:val="right"/>
              <w:rPr>
                <w:rFonts w:ascii="Arial" w:eastAsia="Times New Roman" w:hAnsi="Arial" w:cs="Arial"/>
                <w:szCs w:val="24"/>
                <w:lang w:eastAsia="en-GB"/>
              </w:rPr>
            </w:pPr>
            <w:r w:rsidRPr="00A01D97">
              <w:rPr>
                <w:rFonts w:ascii="Calibri" w:eastAsia="Times New Roman" w:hAnsi="Calibri" w:cs="Calibri"/>
                <w:b/>
                <w:bCs/>
                <w:color w:val="324F82"/>
                <w:kern w:val="24"/>
                <w:szCs w:val="24"/>
                <w:lang w:eastAsia="en-GB"/>
              </w:rPr>
              <w:t>2.8</w:t>
            </w:r>
            <w:r w:rsidR="00C8600E">
              <w:rPr>
                <w:rFonts w:ascii="Calibri" w:eastAsia="Times New Roman" w:hAnsi="Calibri" w:cs="Calibri"/>
                <w:b/>
                <w:bCs/>
                <w:color w:val="324F82"/>
                <w:kern w:val="24"/>
                <w:szCs w:val="24"/>
                <w:lang w:eastAsia="en-GB"/>
              </w:rPr>
              <w:t>35</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2B1A41F" w14:textId="6278ED8A" w:rsidR="00F1170F" w:rsidRPr="00A01D97" w:rsidRDefault="00F1170F" w:rsidP="00F1170F">
            <w:pPr>
              <w:jc w:val="right"/>
              <w:rPr>
                <w:rFonts w:ascii="Arial" w:eastAsia="Times New Roman" w:hAnsi="Arial" w:cs="Arial"/>
                <w:szCs w:val="24"/>
                <w:lang w:eastAsia="en-GB"/>
              </w:rPr>
            </w:pPr>
            <w:r w:rsidRPr="00A01D97">
              <w:rPr>
                <w:rFonts w:ascii="Calibri" w:eastAsia="Times New Roman" w:hAnsi="Calibri" w:cs="Calibri"/>
                <w:b/>
                <w:bCs/>
                <w:color w:val="324F82"/>
                <w:kern w:val="24"/>
                <w:szCs w:val="24"/>
                <w:lang w:eastAsia="en-GB"/>
              </w:rPr>
              <w:t>2.</w:t>
            </w:r>
            <w:r w:rsidR="00C8600E">
              <w:rPr>
                <w:rFonts w:ascii="Calibri" w:eastAsia="Times New Roman" w:hAnsi="Calibri" w:cs="Calibri"/>
                <w:b/>
                <w:bCs/>
                <w:color w:val="324F82"/>
                <w:kern w:val="24"/>
                <w:szCs w:val="24"/>
                <w:lang w:eastAsia="en-GB"/>
              </w:rPr>
              <w:t>906</w:t>
            </w:r>
          </w:p>
        </w:tc>
        <w:tc>
          <w:tcPr>
            <w:tcW w:w="705"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3F207B7" w14:textId="2C6E2EAD" w:rsidR="00F1170F" w:rsidRPr="00A01D97" w:rsidRDefault="00F1170F" w:rsidP="00F1170F">
            <w:pPr>
              <w:jc w:val="right"/>
              <w:rPr>
                <w:rFonts w:ascii="Arial" w:eastAsia="Times New Roman" w:hAnsi="Arial" w:cs="Arial"/>
                <w:szCs w:val="24"/>
                <w:lang w:eastAsia="en-GB"/>
              </w:rPr>
            </w:pPr>
            <w:r w:rsidRPr="00A01D97">
              <w:rPr>
                <w:rFonts w:ascii="Calibri" w:eastAsia="Times New Roman" w:hAnsi="Calibri" w:cs="Calibri"/>
                <w:b/>
                <w:bCs/>
                <w:color w:val="324F82"/>
                <w:kern w:val="24"/>
                <w:szCs w:val="24"/>
                <w:lang w:eastAsia="en-GB"/>
              </w:rPr>
              <w:t>2.</w:t>
            </w:r>
            <w:r w:rsidR="00C8600E">
              <w:rPr>
                <w:rFonts w:ascii="Calibri" w:eastAsia="Times New Roman" w:hAnsi="Calibri" w:cs="Calibri"/>
                <w:b/>
                <w:bCs/>
                <w:color w:val="324F82"/>
                <w:kern w:val="24"/>
                <w:szCs w:val="24"/>
                <w:lang w:eastAsia="en-GB"/>
              </w:rPr>
              <w:t>906</w:t>
            </w:r>
          </w:p>
        </w:tc>
      </w:tr>
      <w:tr w:rsidR="006F43EE" w:rsidRPr="00A01D97" w14:paraId="5662183A"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7F96DEE7" w14:textId="77777777" w:rsidR="006F43EE" w:rsidRPr="00A01D97" w:rsidRDefault="006F43EE" w:rsidP="00A01D97">
            <w:pPr>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Total Inflationary Funding Available</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59F24C49" w14:textId="1E39E8F6" w:rsidR="006F43EE" w:rsidRPr="00A01D97" w:rsidRDefault="004A2B11" w:rsidP="00A01D97">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2.27</w:t>
            </w:r>
            <w:r w:rsidR="00F1170F">
              <w:rPr>
                <w:rFonts w:ascii="Calibri" w:eastAsia="Times New Roman" w:hAnsi="Calibri" w:cs="Calibri"/>
                <w:b/>
                <w:bCs/>
                <w:color w:val="324F82"/>
                <w:kern w:val="24"/>
                <w:szCs w:val="24"/>
                <w:lang w:eastAsia="en-GB"/>
              </w:rPr>
              <w:t>2</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3F657CD6" w14:textId="6CF43521" w:rsidR="006F43EE" w:rsidRPr="00A01D97" w:rsidRDefault="004A2B11" w:rsidP="00A01D97">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2.27</w:t>
            </w:r>
            <w:r w:rsidR="00F1170F">
              <w:rPr>
                <w:rFonts w:ascii="Calibri" w:eastAsia="Times New Roman" w:hAnsi="Calibri" w:cs="Calibri"/>
                <w:b/>
                <w:bCs/>
                <w:color w:val="324F82"/>
                <w:kern w:val="24"/>
                <w:szCs w:val="24"/>
                <w:lang w:eastAsia="en-GB"/>
              </w:rPr>
              <w:t>2</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3373024C" w14:textId="77C6459F" w:rsidR="006F43EE" w:rsidRPr="00A01D97" w:rsidRDefault="004A2B11" w:rsidP="00A01D97">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2.27</w:t>
            </w:r>
            <w:r w:rsidR="00F1170F">
              <w:rPr>
                <w:rFonts w:ascii="Calibri" w:eastAsia="Times New Roman" w:hAnsi="Calibri" w:cs="Calibri"/>
                <w:b/>
                <w:bCs/>
                <w:color w:val="324F82"/>
                <w:kern w:val="24"/>
                <w:szCs w:val="24"/>
                <w:lang w:eastAsia="en-GB"/>
              </w:rPr>
              <w:t>2</w:t>
            </w:r>
          </w:p>
        </w:tc>
        <w:tc>
          <w:tcPr>
            <w:tcW w:w="705"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5E2BEE4E" w14:textId="5650A02A" w:rsidR="006F43EE" w:rsidRPr="00A01D97" w:rsidRDefault="004A2B11" w:rsidP="00A01D97">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2.27</w:t>
            </w:r>
            <w:r w:rsidR="00F1170F">
              <w:rPr>
                <w:rFonts w:ascii="Calibri" w:eastAsia="Times New Roman" w:hAnsi="Calibri" w:cs="Calibri"/>
                <w:b/>
                <w:bCs/>
                <w:color w:val="324F82"/>
                <w:kern w:val="24"/>
                <w:szCs w:val="24"/>
                <w:lang w:eastAsia="en-GB"/>
              </w:rPr>
              <w:t>2</w:t>
            </w:r>
          </w:p>
        </w:tc>
      </w:tr>
      <w:tr w:rsidR="00F1170F" w:rsidRPr="00A01D97" w14:paraId="03EF8E3A" w14:textId="77777777" w:rsidTr="00A01D97">
        <w:trPr>
          <w:trHeight w:val="188"/>
        </w:trPr>
        <w:tc>
          <w:tcPr>
            <w:tcW w:w="242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0C484682" w14:textId="77777777" w:rsidR="00F1170F" w:rsidRPr="00A01D97" w:rsidRDefault="00F1170F" w:rsidP="00F1170F">
            <w:pPr>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Shortfall Against Funding</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4BC5B01C" w14:textId="6266B8CE" w:rsidR="00F1170F" w:rsidRPr="00A01D97" w:rsidRDefault="00F1170F" w:rsidP="00F1170F">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0.3</w:t>
            </w:r>
            <w:r w:rsidR="00C8600E">
              <w:rPr>
                <w:rFonts w:ascii="Calibri" w:eastAsia="Times New Roman" w:hAnsi="Calibri" w:cs="Calibri"/>
                <w:b/>
                <w:bCs/>
                <w:color w:val="324F82"/>
                <w:kern w:val="24"/>
                <w:szCs w:val="24"/>
                <w:lang w:eastAsia="en-GB"/>
              </w:rPr>
              <w:t>70</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7A01F590" w14:textId="3FDD49B1" w:rsidR="00F1170F" w:rsidRPr="00A01D97" w:rsidRDefault="00F1170F" w:rsidP="00F1170F">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0.5</w:t>
            </w:r>
            <w:r w:rsidR="00C8600E">
              <w:rPr>
                <w:rFonts w:ascii="Calibri" w:eastAsia="Times New Roman" w:hAnsi="Calibri" w:cs="Calibri"/>
                <w:b/>
                <w:bCs/>
                <w:color w:val="324F82"/>
                <w:kern w:val="24"/>
                <w:szCs w:val="24"/>
                <w:lang w:eastAsia="en-GB"/>
              </w:rPr>
              <w:t>63</w:t>
            </w:r>
          </w:p>
        </w:tc>
        <w:tc>
          <w:tcPr>
            <w:tcW w:w="62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38369BE2" w14:textId="1B02AA4D" w:rsidR="00F1170F" w:rsidRPr="00A01D97" w:rsidRDefault="00F1170F" w:rsidP="00F1170F">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0.6</w:t>
            </w:r>
            <w:r w:rsidR="00C8600E">
              <w:rPr>
                <w:rFonts w:ascii="Calibri" w:eastAsia="Times New Roman" w:hAnsi="Calibri" w:cs="Calibri"/>
                <w:b/>
                <w:bCs/>
                <w:color w:val="324F82"/>
                <w:kern w:val="24"/>
                <w:szCs w:val="24"/>
                <w:lang w:eastAsia="en-GB"/>
              </w:rPr>
              <w:t>34</w:t>
            </w:r>
          </w:p>
        </w:tc>
        <w:tc>
          <w:tcPr>
            <w:tcW w:w="705"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tcPr>
          <w:p w14:paraId="22070FA2" w14:textId="7EC784BB" w:rsidR="00F1170F" w:rsidRPr="00A01D97" w:rsidRDefault="00F1170F" w:rsidP="00F1170F">
            <w:pPr>
              <w:jc w:val="right"/>
              <w:rPr>
                <w:rFonts w:ascii="Calibri" w:eastAsia="Times New Roman" w:hAnsi="Calibri" w:cs="Calibri"/>
                <w:b/>
                <w:bCs/>
                <w:color w:val="324F82"/>
                <w:kern w:val="24"/>
                <w:szCs w:val="24"/>
                <w:lang w:eastAsia="en-GB"/>
              </w:rPr>
            </w:pPr>
            <w:r>
              <w:rPr>
                <w:rFonts w:ascii="Calibri" w:eastAsia="Times New Roman" w:hAnsi="Calibri" w:cs="Calibri"/>
                <w:b/>
                <w:bCs/>
                <w:color w:val="324F82"/>
                <w:kern w:val="24"/>
                <w:szCs w:val="24"/>
                <w:lang w:eastAsia="en-GB"/>
              </w:rPr>
              <w:t>0.6</w:t>
            </w:r>
            <w:r w:rsidR="00C8600E">
              <w:rPr>
                <w:rFonts w:ascii="Calibri" w:eastAsia="Times New Roman" w:hAnsi="Calibri" w:cs="Calibri"/>
                <w:b/>
                <w:bCs/>
                <w:color w:val="324F82"/>
                <w:kern w:val="24"/>
                <w:szCs w:val="24"/>
                <w:lang w:eastAsia="en-GB"/>
              </w:rPr>
              <w:t>34</w:t>
            </w:r>
          </w:p>
        </w:tc>
      </w:tr>
    </w:tbl>
    <w:p w14:paraId="182FE86B" w14:textId="77777777" w:rsidR="00A01D97" w:rsidRDefault="00A01D97" w:rsidP="27713507">
      <w:pPr>
        <w:jc w:val="both"/>
        <w:rPr>
          <w:rFonts w:eastAsia="Times New Roman"/>
          <w:b/>
          <w:bCs/>
        </w:rPr>
      </w:pPr>
    </w:p>
    <w:p w14:paraId="00F3FDD5" w14:textId="6E572E3A" w:rsidR="000063FA" w:rsidRPr="00C8573F" w:rsidRDefault="000063FA" w:rsidP="00C8573F">
      <w:pPr>
        <w:pStyle w:val="ListParagraph"/>
        <w:ind w:left="0"/>
        <w:jc w:val="both"/>
        <w:rPr>
          <w:rFonts w:eastAsia="Times New Roman"/>
        </w:rPr>
      </w:pPr>
      <w:r>
        <w:rPr>
          <w:szCs w:val="24"/>
        </w:rPr>
        <w:t xml:space="preserve">This </w:t>
      </w:r>
      <w:r w:rsidR="006F4A35">
        <w:rPr>
          <w:szCs w:val="24"/>
        </w:rPr>
        <w:t>results in</w:t>
      </w:r>
      <w:r w:rsidRPr="00601558">
        <w:rPr>
          <w:rFonts w:eastAsia="Times New Roman"/>
        </w:rPr>
        <w:t xml:space="preserve"> a shortfall of £3</w:t>
      </w:r>
      <w:r w:rsidR="00C8600E">
        <w:rPr>
          <w:rFonts w:eastAsia="Times New Roman"/>
        </w:rPr>
        <w:t>70</w:t>
      </w:r>
      <w:r w:rsidRPr="00601558">
        <w:rPr>
          <w:rFonts w:eastAsia="Times New Roman"/>
        </w:rPr>
        <w:t>k in 2023/24 against inflationary funding.</w:t>
      </w:r>
    </w:p>
    <w:p w14:paraId="2B5D8742" w14:textId="77777777" w:rsidR="00FC0F3C" w:rsidRDefault="00FC0F3C" w:rsidP="00A01D97">
      <w:pPr>
        <w:pStyle w:val="ListParagraph"/>
        <w:ind w:left="0"/>
        <w:jc w:val="both"/>
        <w:rPr>
          <w:rFonts w:eastAsia="Times New Roman"/>
        </w:rPr>
      </w:pPr>
    </w:p>
    <w:p w14:paraId="3E1AAF44" w14:textId="77777777" w:rsidR="00764FF2" w:rsidRDefault="00B60839" w:rsidP="00A01D97">
      <w:pPr>
        <w:pStyle w:val="ListParagraph"/>
        <w:ind w:left="0"/>
        <w:jc w:val="both"/>
        <w:rPr>
          <w:rFonts w:eastAsia="Times New Roman"/>
        </w:rPr>
      </w:pPr>
      <w:r>
        <w:rPr>
          <w:rFonts w:eastAsia="Times New Roman"/>
        </w:rPr>
        <w:t xml:space="preserve">All Wales Directors of Finance agreed that all organisations will use the same consumer price index </w:t>
      </w:r>
      <w:r w:rsidR="00445CE0">
        <w:rPr>
          <w:rFonts w:eastAsia="Times New Roman"/>
        </w:rPr>
        <w:t>inflationary rate in 2023/24 financial plans</w:t>
      </w:r>
      <w:r w:rsidR="00764FF2">
        <w:rPr>
          <w:rFonts w:eastAsia="Times New Roman"/>
        </w:rPr>
        <w:t xml:space="preserve"> for expenditure items </w:t>
      </w:r>
      <w:r w:rsidR="002A77FF">
        <w:rPr>
          <w:rFonts w:eastAsia="Times New Roman"/>
        </w:rPr>
        <w:t>that are not calculated by specific and targeted financial modelling.</w:t>
      </w:r>
    </w:p>
    <w:p w14:paraId="20C2A334" w14:textId="77777777" w:rsidR="00954501" w:rsidRDefault="00954501" w:rsidP="00A01D97">
      <w:pPr>
        <w:pStyle w:val="ListParagraph"/>
        <w:ind w:left="0"/>
        <w:jc w:val="both"/>
        <w:rPr>
          <w:rFonts w:eastAsia="Times New Roman"/>
        </w:rPr>
      </w:pPr>
    </w:p>
    <w:p w14:paraId="65FBB570" w14:textId="77777777" w:rsidR="005E3EE3" w:rsidRDefault="005E3EE3" w:rsidP="00A01D97">
      <w:pPr>
        <w:pStyle w:val="ListParagraph"/>
        <w:ind w:left="0"/>
        <w:jc w:val="both"/>
        <w:rPr>
          <w:rFonts w:eastAsia="Times New Roman"/>
        </w:rPr>
      </w:pPr>
      <w:r>
        <w:rPr>
          <w:rFonts w:eastAsia="Times New Roman"/>
        </w:rPr>
        <w:t xml:space="preserve">Following the modelling described above </w:t>
      </w:r>
      <w:r w:rsidR="00581587">
        <w:rPr>
          <w:rFonts w:eastAsia="Times New Roman"/>
          <w:b/>
          <w:bCs/>
        </w:rPr>
        <w:t>T</w:t>
      </w:r>
      <w:r w:rsidR="00A70FFD" w:rsidRPr="00581587">
        <w:rPr>
          <w:rFonts w:eastAsia="Times New Roman"/>
          <w:b/>
          <w:bCs/>
        </w:rPr>
        <w:t xml:space="preserve">able </w:t>
      </w:r>
      <w:r w:rsidR="00656705">
        <w:rPr>
          <w:rFonts w:eastAsia="Times New Roman"/>
          <w:b/>
          <w:bCs/>
        </w:rPr>
        <w:t>6</w:t>
      </w:r>
      <w:r w:rsidR="00A70FFD">
        <w:rPr>
          <w:rFonts w:eastAsia="Times New Roman"/>
        </w:rPr>
        <w:t xml:space="preserve"> demonstrates the inflationary uplifts </w:t>
      </w:r>
      <w:r w:rsidR="00581587">
        <w:rPr>
          <w:rFonts w:eastAsia="Times New Roman"/>
        </w:rPr>
        <w:t>anticipated for Public Health Wales:</w:t>
      </w:r>
    </w:p>
    <w:p w14:paraId="046C88B2" w14:textId="77777777" w:rsidR="00581587" w:rsidRDefault="00581587" w:rsidP="00A01D97">
      <w:pPr>
        <w:pStyle w:val="ListParagraph"/>
        <w:ind w:left="0"/>
        <w:jc w:val="both"/>
        <w:rPr>
          <w:rFonts w:eastAsia="Times New Roman"/>
        </w:rPr>
      </w:pPr>
    </w:p>
    <w:p w14:paraId="52C4C391" w14:textId="77777777" w:rsidR="00581587" w:rsidRDefault="00581587" w:rsidP="00A01D97">
      <w:pPr>
        <w:pStyle w:val="ListParagraph"/>
        <w:ind w:left="0"/>
        <w:jc w:val="both"/>
        <w:rPr>
          <w:rFonts w:eastAsia="Times New Roman"/>
          <w:b/>
          <w:bCs/>
        </w:rPr>
      </w:pPr>
      <w:r w:rsidRPr="00581587">
        <w:rPr>
          <w:rFonts w:eastAsia="Times New Roman"/>
          <w:b/>
          <w:bCs/>
        </w:rPr>
        <w:t xml:space="preserve">Table </w:t>
      </w:r>
      <w:r w:rsidR="00656705">
        <w:rPr>
          <w:rFonts w:eastAsia="Times New Roman"/>
          <w:b/>
          <w:bCs/>
        </w:rPr>
        <w:t>6</w:t>
      </w:r>
    </w:p>
    <w:p w14:paraId="618F86A3" w14:textId="77777777" w:rsidR="00581587" w:rsidRDefault="00581587" w:rsidP="00A01D97">
      <w:pPr>
        <w:pStyle w:val="ListParagraph"/>
        <w:ind w:left="0"/>
        <w:jc w:val="both"/>
        <w:rPr>
          <w:rFonts w:eastAsia="Times New Roman"/>
          <w:b/>
          <w:bCs/>
        </w:rPr>
      </w:pPr>
    </w:p>
    <w:tbl>
      <w:tblPr>
        <w:tblW w:w="9540" w:type="dxa"/>
        <w:tblCellMar>
          <w:left w:w="0" w:type="dxa"/>
          <w:right w:w="0" w:type="dxa"/>
        </w:tblCellMar>
        <w:tblLook w:val="0420" w:firstRow="1" w:lastRow="0" w:firstColumn="0" w:lastColumn="0" w:noHBand="0" w:noVBand="1"/>
      </w:tblPr>
      <w:tblGrid>
        <w:gridCol w:w="5267"/>
        <w:gridCol w:w="2119"/>
        <w:gridCol w:w="2154"/>
      </w:tblGrid>
      <w:tr w:rsidR="003E2FDB" w:rsidRPr="003E2FDB" w14:paraId="6C9DBD0A" w14:textId="77777777" w:rsidTr="003E2FDB">
        <w:trPr>
          <w:trHeight w:val="411"/>
        </w:trPr>
        <w:tc>
          <w:tcPr>
            <w:tcW w:w="5267" w:type="dxa"/>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5A2D09CF" w14:textId="77777777" w:rsidR="003E2FDB" w:rsidRPr="003E2FDB" w:rsidRDefault="003E2FDB" w:rsidP="003E2FDB">
            <w:pPr>
              <w:pStyle w:val="ListParagraph"/>
              <w:jc w:val="both"/>
              <w:rPr>
                <w:rFonts w:eastAsia="Times New Roman"/>
                <w:b/>
                <w:bCs/>
                <w:sz w:val="20"/>
                <w:szCs w:val="20"/>
              </w:rPr>
            </w:pPr>
            <w:r w:rsidRPr="003E2FDB">
              <w:rPr>
                <w:rFonts w:eastAsia="Times New Roman"/>
                <w:b/>
                <w:bCs/>
                <w:sz w:val="20"/>
                <w:szCs w:val="20"/>
              </w:rPr>
              <w:t>Commitments</w:t>
            </w:r>
          </w:p>
        </w:tc>
        <w:tc>
          <w:tcPr>
            <w:tcW w:w="2119" w:type="dxa"/>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0CDE27F0" w14:textId="77777777" w:rsidR="003E2FDB" w:rsidRPr="003E2FDB" w:rsidRDefault="003E2FDB" w:rsidP="003E2FDB">
            <w:pPr>
              <w:pStyle w:val="ListParagraph"/>
              <w:jc w:val="both"/>
              <w:rPr>
                <w:rFonts w:eastAsia="Times New Roman"/>
                <w:b/>
                <w:bCs/>
                <w:sz w:val="20"/>
                <w:szCs w:val="20"/>
              </w:rPr>
            </w:pPr>
            <w:r w:rsidRPr="003E2FDB">
              <w:rPr>
                <w:rFonts w:eastAsia="Times New Roman"/>
                <w:b/>
                <w:bCs/>
                <w:sz w:val="20"/>
                <w:szCs w:val="20"/>
              </w:rPr>
              <w:t>%</w:t>
            </w:r>
          </w:p>
        </w:tc>
        <w:tc>
          <w:tcPr>
            <w:tcW w:w="2154" w:type="dxa"/>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41AEDE94" w14:textId="77777777" w:rsidR="003E2FDB" w:rsidRPr="003E2FDB" w:rsidRDefault="003E2FDB" w:rsidP="003E2FDB">
            <w:pPr>
              <w:pStyle w:val="ListParagraph"/>
              <w:jc w:val="both"/>
              <w:rPr>
                <w:rFonts w:eastAsia="Times New Roman"/>
                <w:b/>
                <w:bCs/>
                <w:sz w:val="20"/>
                <w:szCs w:val="20"/>
              </w:rPr>
            </w:pPr>
            <w:r w:rsidRPr="003E2FDB">
              <w:rPr>
                <w:rFonts w:eastAsia="Times New Roman"/>
                <w:b/>
                <w:bCs/>
                <w:sz w:val="20"/>
                <w:szCs w:val="20"/>
              </w:rPr>
              <w:t>Inflation £</w:t>
            </w:r>
          </w:p>
        </w:tc>
      </w:tr>
      <w:tr w:rsidR="003E2FDB" w:rsidRPr="003E2FDB" w14:paraId="1C389521"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A6A0A56"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Lab Consumables</w:t>
            </w:r>
          </w:p>
        </w:tc>
        <w:tc>
          <w:tcPr>
            <w:tcW w:w="2119"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11B800D" w14:textId="00AF6B1B"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8%</w:t>
            </w:r>
          </w:p>
        </w:tc>
        <w:tc>
          <w:tcPr>
            <w:tcW w:w="2154"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70C4179"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0.858</w:t>
            </w:r>
          </w:p>
        </w:tc>
      </w:tr>
      <w:tr w:rsidR="003E2FDB" w:rsidRPr="003E2FDB" w14:paraId="4AB9E82A"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1BDC21E"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SLAs &amp; Grants (Includes NERS)</w:t>
            </w:r>
          </w:p>
        </w:tc>
        <w:tc>
          <w:tcPr>
            <w:tcW w:w="2119"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27CCDC68"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1.5%</w:t>
            </w:r>
          </w:p>
        </w:tc>
        <w:tc>
          <w:tcPr>
            <w:tcW w:w="2154"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9303DA5" w14:textId="239C9148"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0.4</w:t>
            </w:r>
            <w:r w:rsidR="00C8600E">
              <w:rPr>
                <w:rFonts w:eastAsia="Times New Roman"/>
                <w:color w:val="1F497D" w:themeColor="text2"/>
                <w:sz w:val="20"/>
                <w:szCs w:val="20"/>
              </w:rPr>
              <w:t>14</w:t>
            </w:r>
          </w:p>
        </w:tc>
      </w:tr>
      <w:tr w:rsidR="003E2FDB" w:rsidRPr="003E2FDB" w14:paraId="1E4BA109"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90C6B99"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Rents, Rate, Utilities (</w:t>
            </w:r>
            <w:proofErr w:type="spellStart"/>
            <w:r w:rsidRPr="003E2FDB">
              <w:rPr>
                <w:rFonts w:eastAsia="Times New Roman"/>
                <w:color w:val="1F497D" w:themeColor="text2"/>
                <w:sz w:val="20"/>
                <w:szCs w:val="20"/>
              </w:rPr>
              <w:t>excl</w:t>
            </w:r>
            <w:proofErr w:type="spellEnd"/>
            <w:r w:rsidRPr="003E2FDB">
              <w:rPr>
                <w:rFonts w:eastAsia="Times New Roman"/>
                <w:color w:val="1F497D" w:themeColor="text2"/>
                <w:sz w:val="20"/>
                <w:szCs w:val="20"/>
              </w:rPr>
              <w:t xml:space="preserve"> energy)</w:t>
            </w:r>
          </w:p>
        </w:tc>
        <w:tc>
          <w:tcPr>
            <w:tcW w:w="2119"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C88AC57"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Bespoke</w:t>
            </w:r>
          </w:p>
        </w:tc>
        <w:tc>
          <w:tcPr>
            <w:tcW w:w="2154"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24864B1"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0.077</w:t>
            </w:r>
          </w:p>
        </w:tc>
      </w:tr>
      <w:tr w:rsidR="003E2FDB" w:rsidRPr="003E2FDB" w14:paraId="2DE654FF"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66D9BBA"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Audit Fees</w:t>
            </w:r>
          </w:p>
        </w:tc>
        <w:tc>
          <w:tcPr>
            <w:tcW w:w="2119"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5FC1705"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20%</w:t>
            </w:r>
          </w:p>
        </w:tc>
        <w:tc>
          <w:tcPr>
            <w:tcW w:w="2154"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30BFC98"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0.033</w:t>
            </w:r>
          </w:p>
        </w:tc>
      </w:tr>
      <w:tr w:rsidR="003E2FDB" w:rsidRPr="003E2FDB" w14:paraId="13A6485D"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8578530"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Screening CDS Contract</w:t>
            </w:r>
          </w:p>
        </w:tc>
        <w:tc>
          <w:tcPr>
            <w:tcW w:w="2119"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09D7860"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27%</w:t>
            </w:r>
          </w:p>
        </w:tc>
        <w:tc>
          <w:tcPr>
            <w:tcW w:w="2154"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41FD11E"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0.332</w:t>
            </w:r>
          </w:p>
        </w:tc>
      </w:tr>
      <w:tr w:rsidR="003E2FDB" w:rsidRPr="003E2FDB" w14:paraId="473FBAEA"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D32D0CE"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Agency Staff Inflation</w:t>
            </w:r>
          </w:p>
        </w:tc>
        <w:tc>
          <w:tcPr>
            <w:tcW w:w="2119"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1815171"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5%</w:t>
            </w:r>
          </w:p>
        </w:tc>
        <w:tc>
          <w:tcPr>
            <w:tcW w:w="2154"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91E3763"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0.165</w:t>
            </w:r>
          </w:p>
        </w:tc>
      </w:tr>
      <w:tr w:rsidR="003E2FDB" w:rsidRPr="003E2FDB" w14:paraId="0ADC8337"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2F276B3"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Other non-pay</w:t>
            </w:r>
          </w:p>
        </w:tc>
        <w:tc>
          <w:tcPr>
            <w:tcW w:w="2119"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AC0AD1B" w14:textId="77777777"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4.9%</w:t>
            </w:r>
          </w:p>
        </w:tc>
        <w:tc>
          <w:tcPr>
            <w:tcW w:w="2154" w:type="dxa"/>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CBDDD38" w14:textId="271F9341" w:rsidR="003E2FDB" w:rsidRPr="003E2FDB" w:rsidRDefault="003E2FDB" w:rsidP="003E2FDB">
            <w:pPr>
              <w:pStyle w:val="ListParagraph"/>
              <w:jc w:val="both"/>
              <w:rPr>
                <w:rFonts w:eastAsia="Times New Roman"/>
                <w:color w:val="1F497D" w:themeColor="text2"/>
                <w:sz w:val="20"/>
                <w:szCs w:val="20"/>
              </w:rPr>
            </w:pPr>
            <w:r w:rsidRPr="003E2FDB">
              <w:rPr>
                <w:rFonts w:eastAsia="Times New Roman"/>
                <w:color w:val="1F497D" w:themeColor="text2"/>
                <w:sz w:val="20"/>
                <w:szCs w:val="20"/>
              </w:rPr>
              <w:t>0.4</w:t>
            </w:r>
            <w:r w:rsidR="00C8600E">
              <w:rPr>
                <w:rFonts w:eastAsia="Times New Roman"/>
                <w:color w:val="1F497D" w:themeColor="text2"/>
                <w:sz w:val="20"/>
                <w:szCs w:val="20"/>
              </w:rPr>
              <w:t>19</w:t>
            </w:r>
          </w:p>
        </w:tc>
      </w:tr>
      <w:tr w:rsidR="003E2FDB" w:rsidRPr="003E2FDB" w14:paraId="3ED5FE83" w14:textId="77777777" w:rsidTr="003E2FDB">
        <w:trPr>
          <w:trHeight w:val="281"/>
        </w:trPr>
        <w:tc>
          <w:tcPr>
            <w:tcW w:w="5267"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8A28E9A" w14:textId="77777777" w:rsidR="003E2FDB" w:rsidRPr="003E2FDB" w:rsidRDefault="003E2FDB" w:rsidP="003E2FDB">
            <w:pPr>
              <w:pStyle w:val="ListParagraph"/>
              <w:jc w:val="both"/>
              <w:rPr>
                <w:rFonts w:eastAsia="Times New Roman"/>
                <w:b/>
                <w:color w:val="1F497D" w:themeColor="text2"/>
                <w:sz w:val="20"/>
                <w:szCs w:val="20"/>
              </w:rPr>
            </w:pPr>
            <w:r w:rsidRPr="003E2FDB">
              <w:rPr>
                <w:rFonts w:eastAsia="Times New Roman"/>
                <w:b/>
                <w:color w:val="1F497D" w:themeColor="text2"/>
                <w:sz w:val="20"/>
                <w:szCs w:val="20"/>
              </w:rPr>
              <w:t>Total Commitments</w:t>
            </w:r>
          </w:p>
        </w:tc>
        <w:tc>
          <w:tcPr>
            <w:tcW w:w="2119"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F457793" w14:textId="77777777" w:rsidR="003E2FDB" w:rsidRPr="003E2FDB" w:rsidRDefault="003E2FDB" w:rsidP="003E2FDB">
            <w:pPr>
              <w:pStyle w:val="ListParagraph"/>
              <w:jc w:val="both"/>
              <w:rPr>
                <w:rFonts w:eastAsia="Times New Roman"/>
                <w:b/>
                <w:color w:val="1F497D" w:themeColor="text2"/>
                <w:sz w:val="20"/>
                <w:szCs w:val="20"/>
              </w:rPr>
            </w:pPr>
            <w:r w:rsidRPr="003E2FDB">
              <w:rPr>
                <w:rFonts w:eastAsia="Times New Roman"/>
                <w:b/>
                <w:color w:val="1F497D" w:themeColor="text2"/>
                <w:sz w:val="20"/>
                <w:szCs w:val="20"/>
              </w:rPr>
              <w:t>3.84%</w:t>
            </w:r>
          </w:p>
        </w:tc>
        <w:tc>
          <w:tcPr>
            <w:tcW w:w="2154" w:type="dxa"/>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708FCC5" w14:textId="7CCFEAB2" w:rsidR="003E2FDB" w:rsidRPr="003E2FDB" w:rsidRDefault="003E2FDB" w:rsidP="003E2FDB">
            <w:pPr>
              <w:pStyle w:val="ListParagraph"/>
              <w:jc w:val="both"/>
              <w:rPr>
                <w:rFonts w:eastAsia="Times New Roman"/>
                <w:b/>
                <w:color w:val="1F497D" w:themeColor="text2"/>
                <w:sz w:val="20"/>
                <w:szCs w:val="20"/>
              </w:rPr>
            </w:pPr>
            <w:r w:rsidRPr="003E2FDB">
              <w:rPr>
                <w:rFonts w:eastAsia="Times New Roman"/>
                <w:b/>
                <w:color w:val="1F497D" w:themeColor="text2"/>
                <w:sz w:val="20"/>
                <w:szCs w:val="20"/>
              </w:rPr>
              <w:t>2.29</w:t>
            </w:r>
            <w:r w:rsidR="00C8600E">
              <w:rPr>
                <w:rFonts w:eastAsia="Times New Roman"/>
                <w:b/>
                <w:color w:val="1F497D" w:themeColor="text2"/>
                <w:sz w:val="20"/>
                <w:szCs w:val="20"/>
              </w:rPr>
              <w:t>9</w:t>
            </w:r>
          </w:p>
        </w:tc>
      </w:tr>
    </w:tbl>
    <w:p w14:paraId="3291C57A" w14:textId="77777777" w:rsidR="00581587" w:rsidRPr="00581587" w:rsidRDefault="00581587" w:rsidP="00A01D97">
      <w:pPr>
        <w:pStyle w:val="ListParagraph"/>
        <w:ind w:left="0"/>
        <w:jc w:val="both"/>
        <w:rPr>
          <w:rFonts w:eastAsia="Times New Roman"/>
          <w:b/>
          <w:bCs/>
        </w:rPr>
      </w:pPr>
    </w:p>
    <w:p w14:paraId="1D51A3A7" w14:textId="77777777" w:rsidR="00954501" w:rsidRDefault="00E8649D" w:rsidP="00A01D97">
      <w:pPr>
        <w:pStyle w:val="ListParagraph"/>
        <w:ind w:left="0"/>
        <w:jc w:val="both"/>
        <w:rPr>
          <w:rFonts w:eastAsia="Times New Roman"/>
        </w:rPr>
      </w:pPr>
      <w:r w:rsidRPr="00DE136C">
        <w:rPr>
          <w:rFonts w:eastAsia="Times New Roman"/>
        </w:rPr>
        <w:t xml:space="preserve">Funding for inflationary pressures will be </w:t>
      </w:r>
      <w:r w:rsidR="00DE136C" w:rsidRPr="00DE136C">
        <w:rPr>
          <w:rFonts w:eastAsia="Times New Roman"/>
        </w:rPr>
        <w:t>made available on evidence of the additional increased costs within the Directorates.  This will be monitored closely throughout 2023/24</w:t>
      </w:r>
    </w:p>
    <w:p w14:paraId="5FFFF856" w14:textId="77777777" w:rsidR="00601558" w:rsidRDefault="00601558" w:rsidP="00A01D97">
      <w:pPr>
        <w:pStyle w:val="ListParagraph"/>
        <w:ind w:left="0"/>
        <w:jc w:val="both"/>
        <w:rPr>
          <w:rFonts w:eastAsia="Times New Roman"/>
        </w:rPr>
      </w:pPr>
    </w:p>
    <w:p w14:paraId="79E6DDB2" w14:textId="77777777" w:rsidR="00601558" w:rsidRDefault="00601558" w:rsidP="00A01D97">
      <w:pPr>
        <w:pStyle w:val="ListParagraph"/>
        <w:ind w:left="0"/>
        <w:jc w:val="both"/>
        <w:rPr>
          <w:rFonts w:eastAsia="Times New Roman"/>
          <w:b/>
        </w:rPr>
      </w:pPr>
      <w:r w:rsidRPr="00601558">
        <w:rPr>
          <w:rFonts w:eastAsia="Times New Roman"/>
          <w:b/>
        </w:rPr>
        <w:t>Unavoidable Cost Pressures</w:t>
      </w:r>
    </w:p>
    <w:p w14:paraId="28D3E96E" w14:textId="77777777" w:rsidR="00601558" w:rsidRDefault="00601558" w:rsidP="00A01D97">
      <w:pPr>
        <w:pStyle w:val="ListParagraph"/>
        <w:ind w:left="0"/>
        <w:jc w:val="both"/>
        <w:rPr>
          <w:rFonts w:eastAsia="Times New Roman"/>
          <w:b/>
        </w:rPr>
      </w:pPr>
    </w:p>
    <w:p w14:paraId="64AEECDD" w14:textId="77777777" w:rsidR="00601558" w:rsidRDefault="00601558" w:rsidP="00A01D97">
      <w:pPr>
        <w:pStyle w:val="ListParagraph"/>
        <w:ind w:left="0"/>
        <w:jc w:val="both"/>
        <w:rPr>
          <w:rFonts w:eastAsia="Times New Roman"/>
          <w:b/>
        </w:rPr>
      </w:pPr>
      <w:r>
        <w:rPr>
          <w:rFonts w:eastAsia="Times New Roman"/>
        </w:rPr>
        <w:t xml:space="preserve">A number of unavoidable cost pressures have been identified and are set out in </w:t>
      </w:r>
      <w:r w:rsidRPr="00601558">
        <w:rPr>
          <w:rFonts w:eastAsia="Times New Roman"/>
          <w:b/>
        </w:rPr>
        <w:t>Tab</w:t>
      </w:r>
      <w:r w:rsidR="009318D8">
        <w:rPr>
          <w:rFonts w:eastAsia="Times New Roman"/>
          <w:b/>
        </w:rPr>
        <w:t xml:space="preserve">le </w:t>
      </w:r>
      <w:r w:rsidR="00656705">
        <w:rPr>
          <w:rFonts w:eastAsia="Times New Roman"/>
          <w:b/>
        </w:rPr>
        <w:t>7</w:t>
      </w:r>
    </w:p>
    <w:p w14:paraId="25C1B433" w14:textId="77777777" w:rsidR="00601558" w:rsidRDefault="00601558" w:rsidP="00A01D97">
      <w:pPr>
        <w:pStyle w:val="ListParagraph"/>
        <w:ind w:left="0"/>
        <w:jc w:val="both"/>
        <w:rPr>
          <w:rFonts w:eastAsia="Times New Roman"/>
          <w:b/>
        </w:rPr>
      </w:pPr>
    </w:p>
    <w:p w14:paraId="132AE12C" w14:textId="77777777" w:rsidR="00076FA1" w:rsidRDefault="00076FA1" w:rsidP="00A01D97">
      <w:pPr>
        <w:pStyle w:val="ListParagraph"/>
        <w:ind w:left="0"/>
        <w:jc w:val="both"/>
        <w:rPr>
          <w:rFonts w:eastAsia="Times New Roman"/>
          <w:b/>
        </w:rPr>
      </w:pPr>
    </w:p>
    <w:p w14:paraId="6F0D03E3" w14:textId="77777777" w:rsidR="00076FA1" w:rsidRDefault="00076FA1" w:rsidP="00A01D97">
      <w:pPr>
        <w:pStyle w:val="ListParagraph"/>
        <w:ind w:left="0"/>
        <w:jc w:val="both"/>
        <w:rPr>
          <w:rFonts w:eastAsia="Times New Roman"/>
          <w:b/>
        </w:rPr>
      </w:pPr>
    </w:p>
    <w:p w14:paraId="615B106D" w14:textId="77777777" w:rsidR="00076FA1" w:rsidRDefault="00076FA1" w:rsidP="00A01D97">
      <w:pPr>
        <w:pStyle w:val="ListParagraph"/>
        <w:ind w:left="0"/>
        <w:jc w:val="both"/>
        <w:rPr>
          <w:rFonts w:eastAsia="Times New Roman"/>
          <w:b/>
        </w:rPr>
      </w:pPr>
    </w:p>
    <w:p w14:paraId="7D921443" w14:textId="77777777" w:rsidR="00076FA1" w:rsidRDefault="00076FA1" w:rsidP="00A01D97">
      <w:pPr>
        <w:pStyle w:val="ListParagraph"/>
        <w:ind w:left="0"/>
        <w:jc w:val="both"/>
        <w:rPr>
          <w:rFonts w:eastAsia="Times New Roman"/>
          <w:b/>
        </w:rPr>
      </w:pPr>
    </w:p>
    <w:p w14:paraId="68205968" w14:textId="77777777" w:rsidR="00601558" w:rsidRDefault="009318D8" w:rsidP="00A01D97">
      <w:pPr>
        <w:pStyle w:val="ListParagraph"/>
        <w:ind w:left="0"/>
        <w:jc w:val="both"/>
        <w:rPr>
          <w:rFonts w:eastAsia="Times New Roman"/>
          <w:b/>
        </w:rPr>
      </w:pPr>
      <w:r>
        <w:rPr>
          <w:rFonts w:eastAsia="Times New Roman"/>
          <w:b/>
        </w:rPr>
        <w:t xml:space="preserve">Table </w:t>
      </w:r>
      <w:r w:rsidR="00656705">
        <w:rPr>
          <w:rFonts w:eastAsia="Times New Roman"/>
          <w:b/>
        </w:rPr>
        <w:t>7</w:t>
      </w:r>
    </w:p>
    <w:tbl>
      <w:tblPr>
        <w:tblW w:w="5211" w:type="pct"/>
        <w:tblCellMar>
          <w:left w:w="0" w:type="dxa"/>
          <w:right w:w="0" w:type="dxa"/>
        </w:tblCellMar>
        <w:tblLook w:val="0420" w:firstRow="1" w:lastRow="0" w:firstColumn="0" w:lastColumn="0" w:noHBand="0" w:noVBand="1"/>
      </w:tblPr>
      <w:tblGrid>
        <w:gridCol w:w="2124"/>
        <w:gridCol w:w="1365"/>
        <w:gridCol w:w="1425"/>
        <w:gridCol w:w="1425"/>
        <w:gridCol w:w="1425"/>
        <w:gridCol w:w="1622"/>
      </w:tblGrid>
      <w:tr w:rsidR="009318D8" w:rsidRPr="009318D8" w14:paraId="69348CA9"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3C12C96B"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b/>
                <w:bCs/>
                <w:color w:val="FFFFFF" w:themeColor="light1"/>
                <w:kern w:val="24"/>
                <w:sz w:val="22"/>
                <w:lang w:eastAsia="en-GB"/>
              </w:rPr>
              <w:t>Scheme</w:t>
            </w:r>
          </w:p>
        </w:tc>
        <w:tc>
          <w:tcPr>
            <w:tcW w:w="727"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37C5D128"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b/>
                <w:bCs/>
                <w:color w:val="FFFFFF" w:themeColor="light1"/>
                <w:kern w:val="24"/>
                <w:sz w:val="22"/>
                <w:lang w:eastAsia="en-GB"/>
              </w:rPr>
              <w:t>Area</w:t>
            </w:r>
          </w:p>
        </w:tc>
        <w:tc>
          <w:tcPr>
            <w:tcW w:w="759"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3AF5C9B7" w14:textId="77777777" w:rsidR="009318D8" w:rsidRPr="009318D8" w:rsidRDefault="009318D8" w:rsidP="009318D8">
            <w:pPr>
              <w:jc w:val="center"/>
              <w:rPr>
                <w:rFonts w:ascii="Arial" w:eastAsia="Times New Roman" w:hAnsi="Arial" w:cs="Arial"/>
                <w:sz w:val="22"/>
                <w:lang w:eastAsia="en-GB"/>
              </w:rPr>
            </w:pPr>
            <w:r w:rsidRPr="009318D8">
              <w:rPr>
                <w:rFonts w:ascii="Calibri" w:eastAsia="Times New Roman" w:hAnsi="Calibri" w:cs="Calibri"/>
                <w:b/>
                <w:bCs/>
                <w:color w:val="FFFFFF" w:themeColor="light1"/>
                <w:kern w:val="24"/>
                <w:sz w:val="22"/>
                <w:lang w:eastAsia="en-GB"/>
              </w:rPr>
              <w:t>2023/24 £m</w:t>
            </w:r>
          </w:p>
        </w:tc>
        <w:tc>
          <w:tcPr>
            <w:tcW w:w="759"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024857B0" w14:textId="77777777" w:rsidR="009318D8" w:rsidRPr="009318D8" w:rsidRDefault="009318D8" w:rsidP="009318D8">
            <w:pPr>
              <w:jc w:val="center"/>
              <w:rPr>
                <w:rFonts w:ascii="Arial" w:eastAsia="Times New Roman" w:hAnsi="Arial" w:cs="Arial"/>
                <w:sz w:val="22"/>
                <w:lang w:eastAsia="en-GB"/>
              </w:rPr>
            </w:pPr>
            <w:r w:rsidRPr="009318D8">
              <w:rPr>
                <w:rFonts w:ascii="Calibri" w:eastAsia="Times New Roman" w:hAnsi="Calibri" w:cs="Calibri"/>
                <w:b/>
                <w:bCs/>
                <w:color w:val="FFFFFF" w:themeColor="light1"/>
                <w:kern w:val="24"/>
                <w:sz w:val="22"/>
                <w:lang w:eastAsia="en-GB"/>
              </w:rPr>
              <w:t>2024/25 £m</w:t>
            </w:r>
          </w:p>
        </w:tc>
        <w:tc>
          <w:tcPr>
            <w:tcW w:w="759"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2C58A520" w14:textId="77777777" w:rsidR="009318D8" w:rsidRPr="009318D8" w:rsidRDefault="009318D8" w:rsidP="009318D8">
            <w:pPr>
              <w:jc w:val="center"/>
              <w:rPr>
                <w:rFonts w:ascii="Arial" w:eastAsia="Times New Roman" w:hAnsi="Arial" w:cs="Arial"/>
                <w:sz w:val="22"/>
                <w:lang w:eastAsia="en-GB"/>
              </w:rPr>
            </w:pPr>
            <w:r w:rsidRPr="009318D8">
              <w:rPr>
                <w:rFonts w:ascii="Calibri" w:eastAsia="Times New Roman" w:hAnsi="Calibri" w:cs="Calibri"/>
                <w:b/>
                <w:bCs/>
                <w:color w:val="FFFFFF" w:themeColor="light1"/>
                <w:kern w:val="24"/>
                <w:sz w:val="22"/>
                <w:lang w:eastAsia="en-GB"/>
              </w:rPr>
              <w:t>2025/26 £m</w:t>
            </w:r>
          </w:p>
        </w:tc>
        <w:tc>
          <w:tcPr>
            <w:tcW w:w="864" w:type="pct"/>
            <w:tcBorders>
              <w:top w:val="single" w:sz="8" w:space="0" w:color="000000"/>
              <w:left w:val="single" w:sz="8" w:space="0" w:color="000000"/>
              <w:bottom w:val="single" w:sz="8" w:space="0" w:color="000000"/>
              <w:right w:val="single" w:sz="8" w:space="0" w:color="000000"/>
            </w:tcBorders>
            <w:shd w:val="clear" w:color="auto" w:fill="5B9BD5"/>
            <w:tcMar>
              <w:top w:w="72" w:type="dxa"/>
              <w:left w:w="144" w:type="dxa"/>
              <w:bottom w:w="72" w:type="dxa"/>
              <w:right w:w="144" w:type="dxa"/>
            </w:tcMar>
            <w:hideMark/>
          </w:tcPr>
          <w:p w14:paraId="5FC37A37" w14:textId="77777777" w:rsidR="009318D8" w:rsidRPr="009318D8" w:rsidRDefault="009318D8" w:rsidP="009318D8">
            <w:pPr>
              <w:jc w:val="center"/>
              <w:rPr>
                <w:rFonts w:ascii="Arial" w:eastAsia="Times New Roman" w:hAnsi="Arial" w:cs="Arial"/>
                <w:sz w:val="22"/>
                <w:lang w:eastAsia="en-GB"/>
              </w:rPr>
            </w:pPr>
            <w:r w:rsidRPr="009318D8">
              <w:rPr>
                <w:rFonts w:ascii="Calibri" w:eastAsia="Times New Roman" w:hAnsi="Calibri" w:cs="Calibri"/>
                <w:b/>
                <w:bCs/>
                <w:color w:val="FFFFFF" w:themeColor="light1"/>
                <w:kern w:val="24"/>
                <w:sz w:val="22"/>
                <w:lang w:eastAsia="en-GB"/>
              </w:rPr>
              <w:t>Recurrent £m</w:t>
            </w:r>
          </w:p>
        </w:tc>
      </w:tr>
      <w:tr w:rsidR="009318D8" w:rsidRPr="009318D8" w14:paraId="0DAA1315"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00512D4"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Public Inquiry</w:t>
            </w:r>
          </w:p>
        </w:tc>
        <w:tc>
          <w:tcPr>
            <w:tcW w:w="727"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DB003E9"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General</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4930AFC"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0.379</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81963CC"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0.303</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01168BCA"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0.234</w:t>
            </w:r>
          </w:p>
        </w:tc>
        <w:tc>
          <w:tcPr>
            <w:tcW w:w="864"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8FD6F77"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w:t>
            </w:r>
          </w:p>
        </w:tc>
      </w:tr>
      <w:tr w:rsidR="009318D8" w:rsidRPr="009318D8" w14:paraId="78D3140F"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0AACC51"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Dilapidations recurrent impact</w:t>
            </w:r>
          </w:p>
        </w:tc>
        <w:tc>
          <w:tcPr>
            <w:tcW w:w="727"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36D2867"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General</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DB3BD40"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0.036</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0370252F"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0.036</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004F22E4"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0.036</w:t>
            </w:r>
          </w:p>
        </w:tc>
        <w:tc>
          <w:tcPr>
            <w:tcW w:w="864"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6FA3BBF"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0.036</w:t>
            </w:r>
          </w:p>
        </w:tc>
      </w:tr>
      <w:tr w:rsidR="009318D8" w:rsidRPr="009318D8" w14:paraId="5EAFA8BD"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4B56D79"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SPR Training Costs</w:t>
            </w:r>
          </w:p>
        </w:tc>
        <w:tc>
          <w:tcPr>
            <w:tcW w:w="727"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F3595B2"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HPSS</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5BCA63A"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0.040</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141F3BC"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1A304605"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w:t>
            </w:r>
          </w:p>
        </w:tc>
        <w:tc>
          <w:tcPr>
            <w:tcW w:w="864"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8FAF5AC"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w:t>
            </w:r>
          </w:p>
        </w:tc>
      </w:tr>
      <w:tr w:rsidR="009318D8" w:rsidRPr="009318D8" w14:paraId="4FFD35CE"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3E95206"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 xml:space="preserve">IT </w:t>
            </w:r>
            <w:proofErr w:type="spellStart"/>
            <w:r w:rsidRPr="009318D8">
              <w:rPr>
                <w:rFonts w:ascii="Calibri" w:eastAsia="Times New Roman" w:hAnsi="Calibri" w:cs="Calibri"/>
                <w:color w:val="324F82"/>
                <w:kern w:val="24"/>
                <w:sz w:val="22"/>
                <w:lang w:eastAsia="en-GB"/>
              </w:rPr>
              <w:t>Zscaler</w:t>
            </w:r>
            <w:proofErr w:type="spellEnd"/>
            <w:r w:rsidRPr="009318D8">
              <w:rPr>
                <w:rFonts w:ascii="Calibri" w:eastAsia="Times New Roman" w:hAnsi="Calibri" w:cs="Calibri"/>
                <w:color w:val="324F82"/>
                <w:kern w:val="24"/>
                <w:sz w:val="22"/>
                <w:lang w:eastAsia="en-GB"/>
              </w:rPr>
              <w:t xml:space="preserve"> procurement</w:t>
            </w:r>
          </w:p>
        </w:tc>
        <w:tc>
          <w:tcPr>
            <w:tcW w:w="727"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8FC7137"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Central Systems</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07903E4D"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0.024</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43B2B211" w14:textId="77777777" w:rsidR="009318D8" w:rsidRPr="009318D8" w:rsidRDefault="009318D8" w:rsidP="009318D8">
            <w:pPr>
              <w:jc w:val="right"/>
              <w:rPr>
                <w:rFonts w:ascii="Arial" w:eastAsia="Times New Roman" w:hAnsi="Arial" w:cs="Arial"/>
                <w:sz w:val="22"/>
                <w:lang w:eastAsia="en-GB"/>
              </w:rPr>
            </w:pPr>
            <w:r w:rsidRPr="009318D8">
              <w:rPr>
                <w:rFonts w:ascii="Calibri" w:eastAsiaTheme="minorEastAsia" w:hAnsi="Calibri"/>
                <w:color w:val="324F82"/>
                <w:kern w:val="24"/>
                <w:sz w:val="22"/>
                <w:lang w:eastAsia="en-GB"/>
              </w:rPr>
              <w:t>0.024</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39660274" w14:textId="77777777" w:rsidR="009318D8" w:rsidRPr="009318D8" w:rsidRDefault="009318D8" w:rsidP="009318D8">
            <w:pPr>
              <w:jc w:val="right"/>
              <w:rPr>
                <w:rFonts w:ascii="Arial" w:eastAsia="Times New Roman" w:hAnsi="Arial" w:cs="Arial"/>
                <w:sz w:val="22"/>
                <w:lang w:eastAsia="en-GB"/>
              </w:rPr>
            </w:pPr>
            <w:r w:rsidRPr="009318D8">
              <w:rPr>
                <w:rFonts w:ascii="Calibri" w:eastAsiaTheme="minorEastAsia" w:hAnsi="Calibri"/>
                <w:color w:val="324F82"/>
                <w:kern w:val="24"/>
                <w:sz w:val="22"/>
                <w:lang w:eastAsia="en-GB"/>
              </w:rPr>
              <w:t>0.024</w:t>
            </w:r>
          </w:p>
        </w:tc>
        <w:tc>
          <w:tcPr>
            <w:tcW w:w="864"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978F289" w14:textId="77777777" w:rsidR="009318D8" w:rsidRPr="009318D8" w:rsidRDefault="009318D8" w:rsidP="009318D8">
            <w:pPr>
              <w:jc w:val="right"/>
              <w:rPr>
                <w:rFonts w:ascii="Arial" w:eastAsia="Times New Roman" w:hAnsi="Arial" w:cs="Arial"/>
                <w:sz w:val="22"/>
                <w:lang w:eastAsia="en-GB"/>
              </w:rPr>
            </w:pPr>
            <w:r w:rsidRPr="009318D8">
              <w:rPr>
                <w:rFonts w:ascii="Calibri" w:eastAsiaTheme="minorEastAsia" w:hAnsi="Calibri"/>
                <w:color w:val="324F82"/>
                <w:kern w:val="24"/>
                <w:sz w:val="22"/>
                <w:lang w:eastAsia="en-GB"/>
              </w:rPr>
              <w:t>0.024</w:t>
            </w:r>
          </w:p>
        </w:tc>
      </w:tr>
      <w:tr w:rsidR="009318D8" w:rsidRPr="009318D8" w14:paraId="0B3AF495"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005F6FA"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NERS/Healthy Schools Shortfall on Recurrent Budget</w:t>
            </w:r>
          </w:p>
        </w:tc>
        <w:tc>
          <w:tcPr>
            <w:tcW w:w="727"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FE0B82D"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H&amp;WB</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B066AA5"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0.110</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035FCAE"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0.110</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22B76A8"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0.110</w:t>
            </w:r>
          </w:p>
        </w:tc>
        <w:tc>
          <w:tcPr>
            <w:tcW w:w="864"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7873BD88"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0.110</w:t>
            </w:r>
          </w:p>
        </w:tc>
      </w:tr>
      <w:tr w:rsidR="009318D8" w:rsidRPr="009318D8" w14:paraId="0F2258F8"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FC5BA70"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NERS/Healthy Schools Backdated Inflation</w:t>
            </w:r>
          </w:p>
        </w:tc>
        <w:tc>
          <w:tcPr>
            <w:tcW w:w="727"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0F8E5161"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H&amp;WB</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1D49EEC"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0.159</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34E1B5C7"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0.159</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207584D"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0.159</w:t>
            </w:r>
          </w:p>
        </w:tc>
        <w:tc>
          <w:tcPr>
            <w:tcW w:w="864"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ED366F9"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0.159</w:t>
            </w:r>
          </w:p>
        </w:tc>
      </w:tr>
      <w:tr w:rsidR="009318D8" w:rsidRPr="009318D8" w14:paraId="4AE58244"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3BBD4F9" w14:textId="77777777" w:rsidR="009318D8" w:rsidRPr="009318D8" w:rsidRDefault="009318D8" w:rsidP="009318D8">
            <w:pPr>
              <w:rPr>
                <w:rFonts w:ascii="Arial" w:eastAsia="Times New Roman" w:hAnsi="Arial" w:cs="Arial"/>
                <w:sz w:val="22"/>
                <w:lang w:eastAsia="en-GB"/>
              </w:rPr>
            </w:pPr>
            <w:proofErr w:type="spellStart"/>
            <w:r w:rsidRPr="009318D8">
              <w:rPr>
                <w:rFonts w:ascii="Calibri" w:eastAsia="Times New Roman" w:hAnsi="Calibri" w:cs="Calibri"/>
                <w:color w:val="324F82"/>
                <w:kern w:val="24"/>
                <w:sz w:val="22"/>
                <w:lang w:eastAsia="en-GB"/>
              </w:rPr>
              <w:t>Civica</w:t>
            </w:r>
            <w:proofErr w:type="spellEnd"/>
            <w:r w:rsidRPr="009318D8">
              <w:rPr>
                <w:rFonts w:ascii="Calibri" w:eastAsia="Times New Roman" w:hAnsi="Calibri" w:cs="Calibri"/>
                <w:color w:val="324F82"/>
                <w:kern w:val="24"/>
                <w:sz w:val="22"/>
                <w:lang w:eastAsia="en-GB"/>
              </w:rPr>
              <w:t xml:space="preserve"> Central Costs</w:t>
            </w:r>
          </w:p>
        </w:tc>
        <w:tc>
          <w:tcPr>
            <w:tcW w:w="727"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47E614BF"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Central Systems</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0B6B761"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0.020</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5CA5F5D4"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0.020</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5D4ADF0"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0.020</w:t>
            </w:r>
          </w:p>
        </w:tc>
        <w:tc>
          <w:tcPr>
            <w:tcW w:w="864"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2B21CDEB"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0.020</w:t>
            </w:r>
          </w:p>
        </w:tc>
      </w:tr>
      <w:tr w:rsidR="009318D8" w:rsidRPr="009318D8" w14:paraId="00ED9411"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61C358FF"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Rota Management System</w:t>
            </w:r>
          </w:p>
        </w:tc>
        <w:tc>
          <w:tcPr>
            <w:tcW w:w="727"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1E3A16DD"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color w:val="324F82"/>
                <w:kern w:val="24"/>
                <w:sz w:val="22"/>
                <w:lang w:eastAsia="en-GB"/>
              </w:rPr>
              <w:t>Central Systems</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358BE92A"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0.024</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37CB1AB"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0.024</w:t>
            </w:r>
          </w:p>
        </w:tc>
        <w:tc>
          <w:tcPr>
            <w:tcW w:w="759"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71B8DCE9"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0.024</w:t>
            </w:r>
          </w:p>
        </w:tc>
        <w:tc>
          <w:tcPr>
            <w:tcW w:w="864" w:type="pct"/>
            <w:tcBorders>
              <w:top w:val="single" w:sz="8" w:space="0" w:color="000000"/>
              <w:left w:val="single" w:sz="8" w:space="0" w:color="000000"/>
              <w:bottom w:val="single" w:sz="8" w:space="0" w:color="000000"/>
              <w:right w:val="single" w:sz="8" w:space="0" w:color="000000"/>
            </w:tcBorders>
            <w:shd w:val="clear" w:color="auto" w:fill="EAEFF7"/>
            <w:tcMar>
              <w:top w:w="72" w:type="dxa"/>
              <w:left w:w="144" w:type="dxa"/>
              <w:bottom w:w="72" w:type="dxa"/>
              <w:right w:w="144" w:type="dxa"/>
            </w:tcMar>
            <w:hideMark/>
          </w:tcPr>
          <w:p w14:paraId="5BFFD725"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color w:val="324F82"/>
                <w:kern w:val="24"/>
                <w:sz w:val="22"/>
                <w:lang w:eastAsia="en-GB"/>
              </w:rPr>
              <w:t>0.024</w:t>
            </w:r>
          </w:p>
        </w:tc>
      </w:tr>
      <w:tr w:rsidR="009318D8" w:rsidRPr="009318D8" w14:paraId="03F73A0E" w14:textId="77777777" w:rsidTr="009318D8">
        <w:trPr>
          <w:trHeight w:val="319"/>
        </w:trPr>
        <w:tc>
          <w:tcPr>
            <w:tcW w:w="1132"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555F9B0" w14:textId="77777777" w:rsidR="009318D8" w:rsidRPr="009318D8" w:rsidRDefault="009318D8" w:rsidP="009318D8">
            <w:pPr>
              <w:rPr>
                <w:rFonts w:ascii="Arial" w:eastAsia="Times New Roman" w:hAnsi="Arial" w:cs="Arial"/>
                <w:sz w:val="22"/>
                <w:lang w:eastAsia="en-GB"/>
              </w:rPr>
            </w:pPr>
            <w:r w:rsidRPr="009318D8">
              <w:rPr>
                <w:rFonts w:ascii="Calibri" w:eastAsia="Times New Roman" w:hAnsi="Calibri" w:cs="Calibri"/>
                <w:b/>
                <w:bCs/>
                <w:color w:val="324F82"/>
                <w:kern w:val="24"/>
                <w:sz w:val="22"/>
                <w:lang w:eastAsia="en-GB"/>
              </w:rPr>
              <w:t>Total</w:t>
            </w:r>
          </w:p>
        </w:tc>
        <w:tc>
          <w:tcPr>
            <w:tcW w:w="727"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E58A08B" w14:textId="77777777" w:rsidR="009318D8" w:rsidRPr="009318D8" w:rsidRDefault="009318D8" w:rsidP="009318D8">
            <w:pPr>
              <w:rPr>
                <w:rFonts w:ascii="Arial" w:eastAsia="Times New Roman" w:hAnsi="Arial" w:cs="Arial"/>
                <w:sz w:val="22"/>
                <w:lang w:eastAsia="en-GB"/>
              </w:rPr>
            </w:pP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913BE09"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b/>
                <w:bCs/>
                <w:color w:val="324F82"/>
                <w:kern w:val="24"/>
                <w:sz w:val="22"/>
                <w:lang w:eastAsia="en-GB"/>
              </w:rPr>
              <w:t>0.795</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56E5702"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b/>
                <w:bCs/>
                <w:color w:val="324F82"/>
                <w:kern w:val="24"/>
                <w:sz w:val="22"/>
                <w:lang w:eastAsia="en-GB"/>
              </w:rPr>
              <w:t>0.679</w:t>
            </w:r>
          </w:p>
        </w:tc>
        <w:tc>
          <w:tcPr>
            <w:tcW w:w="759"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650CA53E"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b/>
                <w:bCs/>
                <w:color w:val="324F82"/>
                <w:kern w:val="24"/>
                <w:sz w:val="22"/>
                <w:lang w:eastAsia="en-GB"/>
              </w:rPr>
              <w:t>0.610</w:t>
            </w:r>
          </w:p>
        </w:tc>
        <w:tc>
          <w:tcPr>
            <w:tcW w:w="864" w:type="pct"/>
            <w:tcBorders>
              <w:top w:val="single" w:sz="8" w:space="0" w:color="000000"/>
              <w:left w:val="single" w:sz="8" w:space="0" w:color="000000"/>
              <w:bottom w:val="single" w:sz="8" w:space="0" w:color="000000"/>
              <w:right w:val="single" w:sz="8" w:space="0" w:color="000000"/>
            </w:tcBorders>
            <w:shd w:val="clear" w:color="auto" w:fill="D2DEEF"/>
            <w:tcMar>
              <w:top w:w="72" w:type="dxa"/>
              <w:left w:w="144" w:type="dxa"/>
              <w:bottom w:w="72" w:type="dxa"/>
              <w:right w:w="144" w:type="dxa"/>
            </w:tcMar>
            <w:hideMark/>
          </w:tcPr>
          <w:p w14:paraId="312C1A3C" w14:textId="77777777" w:rsidR="009318D8" w:rsidRPr="009318D8" w:rsidRDefault="009318D8" w:rsidP="009318D8">
            <w:pPr>
              <w:jc w:val="right"/>
              <w:rPr>
                <w:rFonts w:ascii="Arial" w:eastAsia="Times New Roman" w:hAnsi="Arial" w:cs="Arial"/>
                <w:sz w:val="22"/>
                <w:lang w:eastAsia="en-GB"/>
              </w:rPr>
            </w:pPr>
            <w:r w:rsidRPr="009318D8">
              <w:rPr>
                <w:rFonts w:ascii="Calibri" w:eastAsia="Times New Roman" w:hAnsi="Calibri" w:cs="Calibri"/>
                <w:b/>
                <w:bCs/>
                <w:color w:val="324F82"/>
                <w:kern w:val="24"/>
                <w:sz w:val="22"/>
                <w:lang w:eastAsia="en-GB"/>
              </w:rPr>
              <w:t>0.376</w:t>
            </w:r>
          </w:p>
        </w:tc>
      </w:tr>
    </w:tbl>
    <w:p w14:paraId="3E7ADEC9" w14:textId="77777777" w:rsidR="009318D8" w:rsidRPr="009318D8" w:rsidRDefault="009318D8" w:rsidP="00A01D97">
      <w:pPr>
        <w:pStyle w:val="ListParagraph"/>
        <w:ind w:left="0"/>
        <w:jc w:val="both"/>
        <w:rPr>
          <w:rFonts w:eastAsia="Times New Roman"/>
          <w:b/>
          <w:sz w:val="22"/>
        </w:rPr>
      </w:pPr>
    </w:p>
    <w:p w14:paraId="0AC1AB9A" w14:textId="4FF2F365" w:rsidR="007B1A5D" w:rsidRPr="009318D8" w:rsidRDefault="009318D8" w:rsidP="009318D8">
      <w:pPr>
        <w:pStyle w:val="ListParagraph"/>
        <w:ind w:left="0"/>
        <w:jc w:val="both"/>
        <w:rPr>
          <w:rFonts w:eastAsia="Times New Roman"/>
        </w:rPr>
      </w:pPr>
      <w:r w:rsidRPr="009318D8">
        <w:rPr>
          <w:rFonts w:eastAsia="Times New Roman"/>
        </w:rPr>
        <w:t>The shortfall of £3</w:t>
      </w:r>
      <w:r w:rsidR="00C8600E">
        <w:rPr>
          <w:rFonts w:eastAsia="Times New Roman"/>
        </w:rPr>
        <w:t>70</w:t>
      </w:r>
      <w:r w:rsidRPr="009318D8">
        <w:rPr>
          <w:rFonts w:eastAsia="Times New Roman"/>
        </w:rPr>
        <w:t xml:space="preserve">k against inflationary funding </w:t>
      </w:r>
      <w:r>
        <w:rPr>
          <w:rFonts w:eastAsia="Times New Roman"/>
        </w:rPr>
        <w:t xml:space="preserve">stated in </w:t>
      </w:r>
      <w:r w:rsidRPr="004C7888">
        <w:rPr>
          <w:rFonts w:eastAsia="Times New Roman"/>
          <w:b/>
          <w:bCs/>
        </w:rPr>
        <w:t xml:space="preserve">Table </w:t>
      </w:r>
      <w:r w:rsidR="00656705">
        <w:rPr>
          <w:rFonts w:eastAsia="Times New Roman"/>
          <w:b/>
          <w:bCs/>
        </w:rPr>
        <w:t>5</w:t>
      </w:r>
      <w:r>
        <w:rPr>
          <w:rFonts w:eastAsia="Times New Roman"/>
        </w:rPr>
        <w:t xml:space="preserve"> </w:t>
      </w:r>
      <w:r w:rsidRPr="009318D8">
        <w:rPr>
          <w:rFonts w:eastAsia="Times New Roman"/>
        </w:rPr>
        <w:t>and the £795k of unavoidable cost pressures</w:t>
      </w:r>
      <w:r>
        <w:rPr>
          <w:rFonts w:eastAsia="Times New Roman"/>
        </w:rPr>
        <w:t xml:space="preserve"> listed in </w:t>
      </w:r>
      <w:r w:rsidRPr="004C7888">
        <w:rPr>
          <w:rFonts w:eastAsia="Times New Roman"/>
          <w:b/>
          <w:bCs/>
        </w:rPr>
        <w:t xml:space="preserve">Table </w:t>
      </w:r>
      <w:r w:rsidR="00656705">
        <w:rPr>
          <w:rFonts w:eastAsia="Times New Roman"/>
          <w:b/>
          <w:bCs/>
        </w:rPr>
        <w:t>7</w:t>
      </w:r>
      <w:r w:rsidRPr="009318D8">
        <w:rPr>
          <w:rFonts w:eastAsia="Times New Roman"/>
        </w:rPr>
        <w:t xml:space="preserve"> will be met from </w:t>
      </w:r>
      <w:r>
        <w:rPr>
          <w:rFonts w:eastAsia="Times New Roman"/>
        </w:rPr>
        <w:t>Public Health Wales efficiency savings in 2023/24.</w:t>
      </w:r>
    </w:p>
    <w:p w14:paraId="42E0D99C" w14:textId="77777777" w:rsidR="00172DE7" w:rsidRPr="008079F7" w:rsidRDefault="00172DE7" w:rsidP="27713507">
      <w:pPr>
        <w:pStyle w:val="ListParagraph"/>
        <w:jc w:val="both"/>
        <w:rPr>
          <w:rFonts w:eastAsia="Times New Roman"/>
          <w:highlight w:val="magenta"/>
        </w:rPr>
      </w:pPr>
    </w:p>
    <w:p w14:paraId="47090505" w14:textId="77777777" w:rsidR="009318D8" w:rsidRDefault="009318D8" w:rsidP="009318D8">
      <w:pPr>
        <w:rPr>
          <w:rFonts w:eastAsia="Times New Roman"/>
          <w:b/>
          <w:bCs/>
          <w:sz w:val="28"/>
          <w:szCs w:val="28"/>
          <w:u w:val="single"/>
        </w:rPr>
      </w:pPr>
    </w:p>
    <w:p w14:paraId="4012785E" w14:textId="77777777" w:rsidR="00C65815" w:rsidRPr="00E8649D" w:rsidRDefault="7D37755E" w:rsidP="39630C7F">
      <w:pPr>
        <w:pStyle w:val="ListParagraph"/>
        <w:numPr>
          <w:ilvl w:val="0"/>
          <w:numId w:val="23"/>
        </w:numPr>
        <w:jc w:val="both"/>
        <w:rPr>
          <w:rFonts w:eastAsia="Times New Roman"/>
          <w:b/>
          <w:bCs/>
        </w:rPr>
      </w:pPr>
      <w:r w:rsidRPr="3E0C4DFB">
        <w:rPr>
          <w:rFonts w:eastAsia="Times New Roman"/>
          <w:b/>
          <w:bCs/>
        </w:rPr>
        <w:t xml:space="preserve">Efficiency </w:t>
      </w:r>
      <w:r w:rsidR="009318D8" w:rsidRPr="3E0C4DFB">
        <w:rPr>
          <w:rFonts w:eastAsia="Times New Roman"/>
          <w:b/>
          <w:bCs/>
        </w:rPr>
        <w:t>Savings</w:t>
      </w:r>
      <w:r w:rsidR="00AA5EA7" w:rsidRPr="3E0C4DFB">
        <w:rPr>
          <w:rFonts w:eastAsia="Times New Roman"/>
          <w:b/>
          <w:bCs/>
        </w:rPr>
        <w:t xml:space="preserve"> </w:t>
      </w:r>
      <w:r w:rsidR="108A96C0" w:rsidRPr="3E0C4DFB">
        <w:rPr>
          <w:rFonts w:eastAsia="Times New Roman"/>
          <w:b/>
          <w:bCs/>
        </w:rPr>
        <w:t xml:space="preserve">and </w:t>
      </w:r>
      <w:r w:rsidR="6F671806" w:rsidRPr="3E0C4DFB">
        <w:rPr>
          <w:rFonts w:eastAsia="Times New Roman"/>
          <w:b/>
          <w:bCs/>
        </w:rPr>
        <w:t>Utilisation of Savings</w:t>
      </w:r>
    </w:p>
    <w:p w14:paraId="1FA0890A" w14:textId="77777777" w:rsidR="009318D8" w:rsidRPr="00A12A56" w:rsidRDefault="009318D8" w:rsidP="009318D8">
      <w:pPr>
        <w:rPr>
          <w:rFonts w:eastAsia="Times New Roman"/>
          <w:b/>
          <w:bCs/>
          <w:szCs w:val="24"/>
          <w:u w:val="single"/>
        </w:rPr>
      </w:pPr>
    </w:p>
    <w:p w14:paraId="6CB604C5" w14:textId="77777777" w:rsidR="00A12A56" w:rsidRDefault="00A12A56" w:rsidP="00A12A56">
      <w:pPr>
        <w:rPr>
          <w:rFonts w:eastAsia="Times New Roman"/>
          <w:b/>
          <w:bCs/>
          <w:szCs w:val="24"/>
        </w:rPr>
      </w:pPr>
      <w:r w:rsidRPr="00A12A56">
        <w:rPr>
          <w:rFonts w:eastAsia="Times New Roman"/>
          <w:b/>
          <w:bCs/>
          <w:szCs w:val="24"/>
        </w:rPr>
        <w:t>Savings</w:t>
      </w:r>
    </w:p>
    <w:p w14:paraId="1DE1E5FD" w14:textId="77777777" w:rsidR="00A12A56" w:rsidRDefault="00A12A56" w:rsidP="00A12A56">
      <w:pPr>
        <w:rPr>
          <w:rFonts w:eastAsia="Times New Roman"/>
          <w:b/>
          <w:bCs/>
          <w:szCs w:val="24"/>
        </w:rPr>
      </w:pPr>
    </w:p>
    <w:p w14:paraId="7E40EE74" w14:textId="77777777" w:rsidR="00E73354" w:rsidRDefault="00A12A56" w:rsidP="00450304">
      <w:pPr>
        <w:jc w:val="both"/>
        <w:rPr>
          <w:rFonts w:eastAsia="Times New Roman"/>
        </w:rPr>
      </w:pPr>
      <w:r w:rsidRPr="3E0C4DFB">
        <w:rPr>
          <w:rFonts w:eastAsia="Times New Roman"/>
        </w:rPr>
        <w:t>Welsh Government have set a requirement for all NHS Wales organisation</w:t>
      </w:r>
      <w:r w:rsidR="00957A5A" w:rsidRPr="3E0C4DFB">
        <w:rPr>
          <w:rFonts w:eastAsia="Times New Roman"/>
        </w:rPr>
        <w:t>s</w:t>
      </w:r>
      <w:r w:rsidRPr="3E0C4DFB">
        <w:rPr>
          <w:rFonts w:eastAsia="Times New Roman"/>
        </w:rPr>
        <w:t xml:space="preserve"> to deliver 2.5% efficiency savings in 2023/24.  This equates to </w:t>
      </w:r>
      <w:r w:rsidR="04AD79D0" w:rsidRPr="3E0C4DFB">
        <w:rPr>
          <w:rFonts w:eastAsia="Times New Roman"/>
        </w:rPr>
        <w:t>£</w:t>
      </w:r>
      <w:r w:rsidRPr="3E0C4DFB">
        <w:rPr>
          <w:rFonts w:eastAsia="Times New Roman"/>
        </w:rPr>
        <w:t>3.174m for Public Health Wales.</w:t>
      </w:r>
      <w:r w:rsidR="00805F62" w:rsidRPr="3E0C4DFB">
        <w:rPr>
          <w:rFonts w:eastAsia="Times New Roman"/>
        </w:rPr>
        <w:t xml:space="preserve"> </w:t>
      </w:r>
    </w:p>
    <w:p w14:paraId="1C08C64A" w14:textId="77777777" w:rsidR="00E73354" w:rsidRDefault="00E73354" w:rsidP="00450304">
      <w:pPr>
        <w:jc w:val="both"/>
        <w:rPr>
          <w:rFonts w:eastAsia="Times New Roman"/>
        </w:rPr>
      </w:pPr>
    </w:p>
    <w:p w14:paraId="17ABB8F6" w14:textId="77777777" w:rsidR="00AA5EA7" w:rsidRPr="00E73354" w:rsidRDefault="00477C48" w:rsidP="00450304">
      <w:pPr>
        <w:jc w:val="both"/>
        <w:rPr>
          <w:rFonts w:eastAsia="Times New Roman"/>
        </w:rPr>
      </w:pPr>
      <w:r>
        <w:rPr>
          <w:rFonts w:eastAsia="Times New Roman"/>
        </w:rPr>
        <w:t>(</w:t>
      </w:r>
      <w:r w:rsidR="00E73354">
        <w:rPr>
          <w:rFonts w:eastAsia="Times New Roman"/>
        </w:rPr>
        <w:t xml:space="preserve">Improvement Cymru, in accordance with </w:t>
      </w:r>
      <w:r w:rsidR="00805F62" w:rsidRPr="3E0C4DFB">
        <w:rPr>
          <w:rFonts w:eastAsia="Times New Roman"/>
        </w:rPr>
        <w:t xml:space="preserve">the </w:t>
      </w:r>
      <w:r w:rsidR="00E73354">
        <w:rPr>
          <w:rFonts w:eastAsia="Times New Roman"/>
        </w:rPr>
        <w:t xml:space="preserve">draft </w:t>
      </w:r>
      <w:r w:rsidR="00805F62" w:rsidRPr="3E0C4DFB">
        <w:rPr>
          <w:rFonts w:eastAsia="Times New Roman"/>
        </w:rPr>
        <w:t xml:space="preserve">Memorandum of Understanding </w:t>
      </w:r>
      <w:r w:rsidR="00426294" w:rsidRPr="3E0C4DFB">
        <w:rPr>
          <w:rFonts w:eastAsia="Times New Roman"/>
        </w:rPr>
        <w:t>to cover the transition period to the NHS Executive</w:t>
      </w:r>
      <w:r>
        <w:rPr>
          <w:rFonts w:eastAsia="Times New Roman"/>
        </w:rPr>
        <w:t xml:space="preserve"> </w:t>
      </w:r>
      <w:r w:rsidR="00E73354">
        <w:rPr>
          <w:rFonts w:eastAsia="Times New Roman"/>
        </w:rPr>
        <w:t xml:space="preserve">is </w:t>
      </w:r>
      <w:r w:rsidR="00E73354" w:rsidRPr="3E0C4DFB">
        <w:rPr>
          <w:rFonts w:eastAsia="Times New Roman"/>
        </w:rPr>
        <w:t xml:space="preserve">excluded from </w:t>
      </w:r>
      <w:r w:rsidR="00E73354">
        <w:rPr>
          <w:rFonts w:eastAsia="Times New Roman"/>
        </w:rPr>
        <w:t xml:space="preserve">both </w:t>
      </w:r>
      <w:r w:rsidR="00E73354" w:rsidRPr="3E0C4DFB">
        <w:rPr>
          <w:rFonts w:eastAsia="Times New Roman"/>
        </w:rPr>
        <w:t>Public Health Wales’ savings and investments</w:t>
      </w:r>
      <w:r w:rsidR="00E73354">
        <w:rPr>
          <w:rFonts w:eastAsia="Times New Roman"/>
        </w:rPr>
        <w:t>.</w:t>
      </w:r>
      <w:r>
        <w:rPr>
          <w:rFonts w:eastAsia="Times New Roman"/>
        </w:rPr>
        <w:t xml:space="preserve"> They will however still strive to make efficiencies). </w:t>
      </w:r>
      <w:r w:rsidR="00E73354" w:rsidRPr="3E0C4DFB">
        <w:rPr>
          <w:rFonts w:eastAsia="Times New Roman"/>
        </w:rPr>
        <w:t xml:space="preserve"> </w:t>
      </w:r>
    </w:p>
    <w:p w14:paraId="31E3720F" w14:textId="77777777" w:rsidR="00A12A56" w:rsidRDefault="00A12A56" w:rsidP="00450304">
      <w:pPr>
        <w:jc w:val="both"/>
        <w:rPr>
          <w:rFonts w:eastAsia="Times New Roman"/>
          <w:bCs/>
          <w:szCs w:val="24"/>
        </w:rPr>
      </w:pPr>
    </w:p>
    <w:p w14:paraId="7D9B883B" w14:textId="77777777" w:rsidR="00477C48" w:rsidRDefault="00477C48" w:rsidP="00450304">
      <w:pPr>
        <w:jc w:val="both"/>
        <w:rPr>
          <w:rFonts w:eastAsia="Times New Roman"/>
          <w:bCs/>
          <w:szCs w:val="24"/>
        </w:rPr>
      </w:pPr>
      <w:r>
        <w:rPr>
          <w:rFonts w:eastAsia="Times New Roman"/>
          <w:bCs/>
          <w:szCs w:val="24"/>
        </w:rPr>
        <w:t>All Directorates are required to find a recurring saving of 1% of their budget. These are currently being finalised but all Directors have provided detailed schemes and delivery assurance to support this.</w:t>
      </w:r>
    </w:p>
    <w:p w14:paraId="52C63705" w14:textId="77777777" w:rsidR="00477C48" w:rsidRDefault="00477C48" w:rsidP="00450304">
      <w:pPr>
        <w:jc w:val="both"/>
        <w:rPr>
          <w:rFonts w:eastAsia="Times New Roman"/>
          <w:bCs/>
          <w:szCs w:val="24"/>
        </w:rPr>
      </w:pPr>
    </w:p>
    <w:p w14:paraId="193990C3" w14:textId="77777777" w:rsidR="00A12A56" w:rsidRDefault="00AE2E63" w:rsidP="00450304">
      <w:pPr>
        <w:jc w:val="both"/>
        <w:rPr>
          <w:rFonts w:eastAsia="Times New Roman"/>
          <w:bCs/>
          <w:szCs w:val="24"/>
        </w:rPr>
      </w:pPr>
      <w:r>
        <w:rPr>
          <w:rFonts w:eastAsia="Times New Roman"/>
          <w:bCs/>
          <w:szCs w:val="24"/>
        </w:rPr>
        <w:t>We</w:t>
      </w:r>
      <w:r w:rsidR="00A12A56">
        <w:rPr>
          <w:rFonts w:eastAsia="Times New Roman"/>
          <w:bCs/>
          <w:szCs w:val="24"/>
        </w:rPr>
        <w:t xml:space="preserve"> have</w:t>
      </w:r>
      <w:r w:rsidR="005847F1">
        <w:rPr>
          <w:rFonts w:eastAsia="Times New Roman"/>
          <w:bCs/>
          <w:szCs w:val="24"/>
        </w:rPr>
        <w:t xml:space="preserve"> </w:t>
      </w:r>
      <w:r w:rsidR="00D91E26">
        <w:rPr>
          <w:rFonts w:eastAsia="Times New Roman"/>
          <w:bCs/>
          <w:szCs w:val="24"/>
        </w:rPr>
        <w:t xml:space="preserve">also </w:t>
      </w:r>
      <w:r w:rsidR="00A12A56">
        <w:rPr>
          <w:rFonts w:eastAsia="Times New Roman"/>
          <w:bCs/>
          <w:szCs w:val="24"/>
        </w:rPr>
        <w:t xml:space="preserve">identified a number of </w:t>
      </w:r>
      <w:r w:rsidR="00D91E26">
        <w:rPr>
          <w:rFonts w:eastAsia="Times New Roman"/>
          <w:bCs/>
          <w:szCs w:val="24"/>
        </w:rPr>
        <w:t>c</w:t>
      </w:r>
      <w:r w:rsidR="00A12A56">
        <w:rPr>
          <w:rFonts w:eastAsia="Times New Roman"/>
          <w:bCs/>
          <w:szCs w:val="24"/>
        </w:rPr>
        <w:t>orporate and cross cutting schemes, which will contribute to the delivery of the target.</w:t>
      </w:r>
    </w:p>
    <w:p w14:paraId="5073496D" w14:textId="77777777" w:rsidR="00A12A56" w:rsidRDefault="00A12A56" w:rsidP="00450304">
      <w:pPr>
        <w:jc w:val="both"/>
        <w:rPr>
          <w:rFonts w:eastAsia="Times New Roman"/>
          <w:bCs/>
          <w:szCs w:val="24"/>
        </w:rPr>
      </w:pPr>
    </w:p>
    <w:p w14:paraId="71D4CA76" w14:textId="77777777" w:rsidR="00A12A56" w:rsidRDefault="005847F1" w:rsidP="00450304">
      <w:pPr>
        <w:jc w:val="both"/>
        <w:rPr>
          <w:rFonts w:eastAsia="Times New Roman"/>
          <w:bCs/>
          <w:szCs w:val="24"/>
        </w:rPr>
      </w:pPr>
      <w:r>
        <w:rPr>
          <w:rFonts w:eastAsia="Times New Roman"/>
          <w:bCs/>
          <w:szCs w:val="24"/>
        </w:rPr>
        <w:t>In addition, Public Health Wales is</w:t>
      </w:r>
      <w:r w:rsidR="00A12A56">
        <w:rPr>
          <w:rFonts w:eastAsia="Times New Roman"/>
          <w:bCs/>
          <w:szCs w:val="24"/>
        </w:rPr>
        <w:t xml:space="preserve"> planning spend reductions in a number of areas for 2023/24</w:t>
      </w:r>
      <w:r w:rsidR="00477C48">
        <w:rPr>
          <w:rFonts w:eastAsia="Times New Roman"/>
          <w:bCs/>
          <w:szCs w:val="24"/>
        </w:rPr>
        <w:t xml:space="preserve"> which </w:t>
      </w:r>
      <w:r w:rsidR="00FB7591">
        <w:rPr>
          <w:rFonts w:eastAsia="Times New Roman"/>
          <w:bCs/>
          <w:szCs w:val="24"/>
        </w:rPr>
        <w:t xml:space="preserve">are derived from 2022/23. These </w:t>
      </w:r>
      <w:r w:rsidR="00477C48">
        <w:rPr>
          <w:rFonts w:eastAsia="Times New Roman"/>
          <w:bCs/>
          <w:szCs w:val="24"/>
        </w:rPr>
        <w:t>include</w:t>
      </w:r>
      <w:r w:rsidR="00A12A56">
        <w:rPr>
          <w:rFonts w:eastAsia="Times New Roman"/>
          <w:bCs/>
          <w:szCs w:val="24"/>
        </w:rPr>
        <w:t xml:space="preserve"> </w:t>
      </w:r>
      <w:r w:rsidR="00477C48">
        <w:rPr>
          <w:rFonts w:eastAsia="Times New Roman"/>
          <w:bCs/>
          <w:szCs w:val="24"/>
        </w:rPr>
        <w:t xml:space="preserve">the full year benefit of </w:t>
      </w:r>
      <w:r w:rsidR="00A12A56">
        <w:rPr>
          <w:rFonts w:eastAsia="Times New Roman"/>
          <w:bCs/>
          <w:szCs w:val="24"/>
        </w:rPr>
        <w:t>2022/23</w:t>
      </w:r>
      <w:r w:rsidR="00FB7591">
        <w:rPr>
          <w:rFonts w:eastAsia="Times New Roman"/>
          <w:bCs/>
          <w:szCs w:val="24"/>
        </w:rPr>
        <w:t xml:space="preserve"> savings, realising the </w:t>
      </w:r>
      <w:r w:rsidR="00477C48">
        <w:rPr>
          <w:rFonts w:eastAsia="Times New Roman"/>
          <w:bCs/>
          <w:szCs w:val="24"/>
        </w:rPr>
        <w:t xml:space="preserve">effects of slippage </w:t>
      </w:r>
      <w:r w:rsidR="00FB7591">
        <w:rPr>
          <w:rFonts w:eastAsia="Times New Roman"/>
          <w:bCs/>
          <w:szCs w:val="24"/>
        </w:rPr>
        <w:t>in investments</w:t>
      </w:r>
      <w:r w:rsidR="00A12A56">
        <w:rPr>
          <w:rFonts w:eastAsia="Times New Roman"/>
          <w:bCs/>
          <w:szCs w:val="24"/>
        </w:rPr>
        <w:t xml:space="preserve"> and managing down the recurrent impact of 2022/23 cost pressures.</w:t>
      </w:r>
    </w:p>
    <w:p w14:paraId="0B681857" w14:textId="77777777" w:rsidR="003A660A" w:rsidRPr="003A660A" w:rsidRDefault="003A660A" w:rsidP="003A660A">
      <w:pPr>
        <w:jc w:val="both"/>
        <w:rPr>
          <w:rFonts w:eastAsia="Times New Roman"/>
          <w:bCs/>
          <w:szCs w:val="24"/>
        </w:rPr>
      </w:pPr>
    </w:p>
    <w:p w14:paraId="337A84AB" w14:textId="77777777" w:rsidR="00A12A56" w:rsidRDefault="00A12A56" w:rsidP="27713507">
      <w:pPr>
        <w:spacing w:after="200" w:line="276" w:lineRule="auto"/>
        <w:rPr>
          <w:rFonts w:eastAsia="Times New Roman"/>
          <w:bCs/>
        </w:rPr>
      </w:pPr>
      <w:r>
        <w:rPr>
          <w:rFonts w:eastAsia="Times New Roman"/>
          <w:b/>
          <w:bCs/>
        </w:rPr>
        <w:t xml:space="preserve">Table </w:t>
      </w:r>
      <w:r w:rsidR="00656705">
        <w:rPr>
          <w:rFonts w:eastAsia="Times New Roman"/>
          <w:b/>
          <w:bCs/>
        </w:rPr>
        <w:t>8</w:t>
      </w:r>
      <w:r>
        <w:rPr>
          <w:rFonts w:eastAsia="Times New Roman"/>
          <w:b/>
          <w:bCs/>
        </w:rPr>
        <w:t xml:space="preserve"> </w:t>
      </w:r>
      <w:r>
        <w:rPr>
          <w:rFonts w:eastAsia="Times New Roman"/>
          <w:bCs/>
        </w:rPr>
        <w:t>summari</w:t>
      </w:r>
      <w:r w:rsidR="0093081E">
        <w:rPr>
          <w:rFonts w:eastAsia="Times New Roman"/>
          <w:bCs/>
        </w:rPr>
        <w:t>s</w:t>
      </w:r>
      <w:r>
        <w:rPr>
          <w:rFonts w:eastAsia="Times New Roman"/>
          <w:bCs/>
        </w:rPr>
        <w:t xml:space="preserve">es our savings </w:t>
      </w:r>
      <w:r w:rsidR="001C655B">
        <w:rPr>
          <w:rFonts w:eastAsia="Times New Roman"/>
          <w:bCs/>
        </w:rPr>
        <w:t>delivery</w:t>
      </w:r>
      <w:r>
        <w:rPr>
          <w:rFonts w:eastAsia="Times New Roman"/>
          <w:bCs/>
        </w:rPr>
        <w:t>.</w:t>
      </w:r>
    </w:p>
    <w:p w14:paraId="7E405D66" w14:textId="77777777" w:rsidR="00A12A56" w:rsidRDefault="00A12A56" w:rsidP="0054418A">
      <w:pPr>
        <w:spacing w:line="276" w:lineRule="auto"/>
        <w:rPr>
          <w:rFonts w:eastAsia="Times New Roman"/>
          <w:b/>
          <w:bCs/>
        </w:rPr>
      </w:pPr>
      <w:r>
        <w:rPr>
          <w:rFonts w:eastAsia="Times New Roman"/>
          <w:b/>
          <w:bCs/>
        </w:rPr>
        <w:t xml:space="preserve">Table </w:t>
      </w:r>
      <w:r w:rsidR="00656705">
        <w:rPr>
          <w:rFonts w:eastAsia="Times New Roman"/>
          <w:b/>
          <w:bCs/>
        </w:rPr>
        <w:t>8</w:t>
      </w:r>
    </w:p>
    <w:tbl>
      <w:tblPr>
        <w:tblW w:w="4966" w:type="pct"/>
        <w:tblCellMar>
          <w:left w:w="0" w:type="dxa"/>
          <w:right w:w="0" w:type="dxa"/>
        </w:tblCellMar>
        <w:tblLook w:val="0600" w:firstRow="0" w:lastRow="0" w:firstColumn="0" w:lastColumn="0" w:noHBand="1" w:noVBand="1"/>
      </w:tblPr>
      <w:tblGrid>
        <w:gridCol w:w="5015"/>
        <w:gridCol w:w="982"/>
        <w:gridCol w:w="982"/>
        <w:gridCol w:w="982"/>
        <w:gridCol w:w="984"/>
      </w:tblGrid>
      <w:tr w:rsidR="0054418A" w:rsidRPr="00A12A56" w14:paraId="47FD7A60" w14:textId="77777777" w:rsidTr="0054418A">
        <w:trPr>
          <w:trHeight w:val="777"/>
        </w:trPr>
        <w:tc>
          <w:tcPr>
            <w:tcW w:w="2803" w:type="pct"/>
            <w:tcBorders>
              <w:top w:val="single" w:sz="8" w:space="0" w:color="000000"/>
              <w:left w:val="single" w:sz="8" w:space="0" w:color="000000"/>
              <w:bottom w:val="single" w:sz="8" w:space="0" w:color="000000"/>
              <w:right w:val="single" w:sz="8" w:space="0" w:color="000000"/>
            </w:tcBorders>
            <w:shd w:val="clear" w:color="auto" w:fill="5B9BD5"/>
            <w:tcMar>
              <w:top w:w="15" w:type="dxa"/>
              <w:left w:w="15" w:type="dxa"/>
              <w:bottom w:w="0" w:type="dxa"/>
              <w:right w:w="15" w:type="dxa"/>
            </w:tcMar>
            <w:vAlign w:val="center"/>
            <w:hideMark/>
          </w:tcPr>
          <w:p w14:paraId="064C04A0" w14:textId="77777777" w:rsidR="00A12A56" w:rsidRPr="00A12A56" w:rsidRDefault="00A12A56" w:rsidP="00A12A56">
            <w:pPr>
              <w:textAlignment w:val="center"/>
              <w:rPr>
                <w:rFonts w:ascii="Arial" w:eastAsia="Times New Roman" w:hAnsi="Arial" w:cs="Arial"/>
                <w:sz w:val="20"/>
                <w:szCs w:val="20"/>
                <w:lang w:eastAsia="en-GB"/>
              </w:rPr>
            </w:pPr>
            <w:r w:rsidRPr="00A12A56">
              <w:rPr>
                <w:rFonts w:ascii="Calibri" w:eastAsia="Times New Roman" w:hAnsi="Calibri" w:cs="Calibri"/>
                <w:b/>
                <w:bCs/>
                <w:color w:val="FFFFFF"/>
                <w:kern w:val="24"/>
                <w:sz w:val="20"/>
                <w:szCs w:val="20"/>
                <w:lang w:eastAsia="en-GB"/>
              </w:rPr>
              <w:t>Savings Type</w:t>
            </w:r>
          </w:p>
        </w:tc>
        <w:tc>
          <w:tcPr>
            <w:tcW w:w="549" w:type="pct"/>
            <w:tcBorders>
              <w:top w:val="single" w:sz="8" w:space="0" w:color="000000"/>
              <w:left w:val="single" w:sz="8" w:space="0" w:color="000000"/>
              <w:bottom w:val="single" w:sz="8" w:space="0" w:color="000000"/>
              <w:right w:val="single" w:sz="8" w:space="0" w:color="000000"/>
            </w:tcBorders>
            <w:shd w:val="clear" w:color="auto" w:fill="5B9BD5"/>
            <w:tcMar>
              <w:top w:w="15" w:type="dxa"/>
              <w:left w:w="15" w:type="dxa"/>
              <w:bottom w:w="0" w:type="dxa"/>
              <w:right w:w="15" w:type="dxa"/>
            </w:tcMar>
            <w:vAlign w:val="center"/>
            <w:hideMark/>
          </w:tcPr>
          <w:p w14:paraId="2D5A1743" w14:textId="77777777" w:rsidR="00A12A56" w:rsidRPr="00A12A56" w:rsidRDefault="00A12A56" w:rsidP="00A12A56">
            <w:pPr>
              <w:jc w:val="center"/>
              <w:textAlignment w:val="center"/>
              <w:rPr>
                <w:rFonts w:ascii="Arial" w:eastAsia="Times New Roman" w:hAnsi="Arial" w:cs="Arial"/>
                <w:sz w:val="20"/>
                <w:szCs w:val="20"/>
                <w:lang w:eastAsia="en-GB"/>
              </w:rPr>
            </w:pPr>
            <w:r w:rsidRPr="00A12A56">
              <w:rPr>
                <w:rFonts w:ascii="Calibri" w:eastAsia="Times New Roman" w:hAnsi="Calibri" w:cs="Calibri"/>
                <w:b/>
                <w:bCs/>
                <w:color w:val="FFFFFF"/>
                <w:kern w:val="24"/>
                <w:sz w:val="20"/>
                <w:szCs w:val="20"/>
                <w:lang w:eastAsia="en-GB"/>
              </w:rPr>
              <w:t>2023/24 £m</w:t>
            </w:r>
          </w:p>
        </w:tc>
        <w:tc>
          <w:tcPr>
            <w:tcW w:w="549" w:type="pct"/>
            <w:tcBorders>
              <w:top w:val="single" w:sz="8" w:space="0" w:color="000000"/>
              <w:left w:val="single" w:sz="8" w:space="0" w:color="000000"/>
              <w:bottom w:val="single" w:sz="8" w:space="0" w:color="000000"/>
              <w:right w:val="single" w:sz="8" w:space="0" w:color="000000"/>
            </w:tcBorders>
            <w:shd w:val="clear" w:color="auto" w:fill="5B9BD5"/>
            <w:tcMar>
              <w:top w:w="15" w:type="dxa"/>
              <w:left w:w="15" w:type="dxa"/>
              <w:bottom w:w="0" w:type="dxa"/>
              <w:right w:w="15" w:type="dxa"/>
            </w:tcMar>
            <w:vAlign w:val="center"/>
            <w:hideMark/>
          </w:tcPr>
          <w:p w14:paraId="743B3476" w14:textId="77777777" w:rsidR="00A12A56" w:rsidRPr="00A12A56" w:rsidRDefault="00A12A56" w:rsidP="00A12A56">
            <w:pPr>
              <w:jc w:val="center"/>
              <w:textAlignment w:val="center"/>
              <w:rPr>
                <w:rFonts w:ascii="Arial" w:eastAsia="Times New Roman" w:hAnsi="Arial" w:cs="Arial"/>
                <w:sz w:val="20"/>
                <w:szCs w:val="20"/>
                <w:lang w:eastAsia="en-GB"/>
              </w:rPr>
            </w:pPr>
            <w:r w:rsidRPr="00A12A56">
              <w:rPr>
                <w:rFonts w:ascii="Calibri" w:eastAsia="Times New Roman" w:hAnsi="Calibri" w:cs="Calibri"/>
                <w:b/>
                <w:bCs/>
                <w:color w:val="FFFFFF"/>
                <w:kern w:val="24"/>
                <w:sz w:val="20"/>
                <w:szCs w:val="20"/>
                <w:lang w:eastAsia="en-GB"/>
              </w:rPr>
              <w:t>2024/25 £m</w:t>
            </w:r>
          </w:p>
        </w:tc>
        <w:tc>
          <w:tcPr>
            <w:tcW w:w="549" w:type="pct"/>
            <w:tcBorders>
              <w:top w:val="single" w:sz="8" w:space="0" w:color="000000"/>
              <w:left w:val="single" w:sz="8" w:space="0" w:color="000000"/>
              <w:bottom w:val="single" w:sz="8" w:space="0" w:color="000000"/>
              <w:right w:val="single" w:sz="8" w:space="0" w:color="000000"/>
            </w:tcBorders>
            <w:shd w:val="clear" w:color="auto" w:fill="5B9BD5"/>
            <w:tcMar>
              <w:top w:w="15" w:type="dxa"/>
              <w:left w:w="15" w:type="dxa"/>
              <w:bottom w:w="0" w:type="dxa"/>
              <w:right w:w="15" w:type="dxa"/>
            </w:tcMar>
            <w:vAlign w:val="center"/>
            <w:hideMark/>
          </w:tcPr>
          <w:p w14:paraId="1E588BE1" w14:textId="77777777" w:rsidR="00A12A56" w:rsidRPr="00A12A56" w:rsidRDefault="00A12A56" w:rsidP="00A12A56">
            <w:pPr>
              <w:jc w:val="center"/>
              <w:textAlignment w:val="center"/>
              <w:rPr>
                <w:rFonts w:ascii="Arial" w:eastAsia="Times New Roman" w:hAnsi="Arial" w:cs="Arial"/>
                <w:sz w:val="20"/>
                <w:szCs w:val="20"/>
                <w:lang w:eastAsia="en-GB"/>
              </w:rPr>
            </w:pPr>
            <w:r w:rsidRPr="00A12A56">
              <w:rPr>
                <w:rFonts w:ascii="Calibri" w:eastAsia="Times New Roman" w:hAnsi="Calibri" w:cs="Calibri"/>
                <w:b/>
                <w:bCs/>
                <w:color w:val="FFFFFF"/>
                <w:kern w:val="24"/>
                <w:sz w:val="20"/>
                <w:szCs w:val="20"/>
                <w:lang w:eastAsia="en-GB"/>
              </w:rPr>
              <w:t>2025/26 £m</w:t>
            </w:r>
          </w:p>
        </w:tc>
        <w:tc>
          <w:tcPr>
            <w:tcW w:w="550" w:type="pct"/>
            <w:tcBorders>
              <w:top w:val="single" w:sz="8" w:space="0" w:color="000000"/>
              <w:left w:val="single" w:sz="8" w:space="0" w:color="000000"/>
              <w:bottom w:val="single" w:sz="8" w:space="0" w:color="000000"/>
              <w:right w:val="single" w:sz="8" w:space="0" w:color="000000"/>
            </w:tcBorders>
            <w:shd w:val="clear" w:color="auto" w:fill="5B9BD5"/>
            <w:tcMar>
              <w:top w:w="15" w:type="dxa"/>
              <w:left w:w="15" w:type="dxa"/>
              <w:bottom w:w="0" w:type="dxa"/>
              <w:right w:w="15" w:type="dxa"/>
            </w:tcMar>
            <w:vAlign w:val="center"/>
            <w:hideMark/>
          </w:tcPr>
          <w:p w14:paraId="45FAF7B3" w14:textId="77777777" w:rsidR="00A12A56" w:rsidRPr="00A12A56" w:rsidRDefault="00A12A56" w:rsidP="00A12A56">
            <w:pPr>
              <w:jc w:val="center"/>
              <w:textAlignment w:val="center"/>
              <w:rPr>
                <w:rFonts w:ascii="Arial" w:eastAsia="Times New Roman" w:hAnsi="Arial" w:cs="Arial"/>
                <w:sz w:val="20"/>
                <w:szCs w:val="20"/>
                <w:lang w:eastAsia="en-GB"/>
              </w:rPr>
            </w:pPr>
            <w:r w:rsidRPr="00A12A56">
              <w:rPr>
                <w:rFonts w:ascii="Calibri" w:eastAsia="Times New Roman" w:hAnsi="Calibri" w:cs="Calibri"/>
                <w:b/>
                <w:bCs/>
                <w:color w:val="FFFFFF"/>
                <w:kern w:val="24"/>
                <w:sz w:val="20"/>
                <w:szCs w:val="20"/>
                <w:lang w:eastAsia="en-GB"/>
              </w:rPr>
              <w:t>Recurrent £m</w:t>
            </w:r>
          </w:p>
        </w:tc>
      </w:tr>
      <w:tr w:rsidR="0054418A" w:rsidRPr="00A12A56" w14:paraId="3751F327" w14:textId="77777777" w:rsidTr="0054418A">
        <w:trPr>
          <w:trHeight w:val="397"/>
        </w:trPr>
        <w:tc>
          <w:tcPr>
            <w:tcW w:w="2803"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624C8160" w14:textId="77777777" w:rsidR="00A12A56" w:rsidRPr="00A12A56" w:rsidRDefault="00A12A56" w:rsidP="00A12A56">
            <w:pPr>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Directorates 1% Efficiency Savings</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2C0C2B2D"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-1.126</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69E11504"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-1.126</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7AF03914"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-1.126</w:t>
            </w:r>
          </w:p>
        </w:tc>
        <w:tc>
          <w:tcPr>
            <w:tcW w:w="550"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6CCAB36B"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-1.126</w:t>
            </w:r>
          </w:p>
        </w:tc>
      </w:tr>
      <w:tr w:rsidR="0054418A" w:rsidRPr="00A12A56" w14:paraId="5F27FB47" w14:textId="77777777" w:rsidTr="0054418A">
        <w:trPr>
          <w:trHeight w:val="397"/>
        </w:trPr>
        <w:tc>
          <w:tcPr>
            <w:tcW w:w="2803"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5DE9EC91" w14:textId="77777777" w:rsidR="00A12A56" w:rsidRPr="00A12A56" w:rsidRDefault="00A12A56" w:rsidP="00A12A56">
            <w:pPr>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Corporate Savings</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722568DD"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-0.979</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2034DF99"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-0.723</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2772A70F"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-0.654</w:t>
            </w:r>
          </w:p>
        </w:tc>
        <w:tc>
          <w:tcPr>
            <w:tcW w:w="550"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747F9FF2"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-0.318</w:t>
            </w:r>
          </w:p>
        </w:tc>
      </w:tr>
      <w:tr w:rsidR="0054418A" w:rsidRPr="00A12A56" w14:paraId="56F82E91" w14:textId="77777777" w:rsidTr="0054418A">
        <w:trPr>
          <w:trHeight w:val="397"/>
        </w:trPr>
        <w:tc>
          <w:tcPr>
            <w:tcW w:w="2803"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1BDFB015" w14:textId="77777777" w:rsidR="00A12A56" w:rsidRPr="00A12A56" w:rsidRDefault="00A12A56" w:rsidP="00A12A56">
            <w:pPr>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Disinvestments &amp; Cost Reductions</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6F72CE92"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-1.069</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226BB90B"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-1.069</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19A6942B"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-1.069</w:t>
            </w:r>
          </w:p>
        </w:tc>
        <w:tc>
          <w:tcPr>
            <w:tcW w:w="550"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268EFFCD"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-1.069</w:t>
            </w:r>
          </w:p>
        </w:tc>
      </w:tr>
      <w:tr w:rsidR="0054418A" w:rsidRPr="00A12A56" w14:paraId="5F3562E2" w14:textId="77777777" w:rsidTr="0054418A">
        <w:trPr>
          <w:trHeight w:val="397"/>
        </w:trPr>
        <w:tc>
          <w:tcPr>
            <w:tcW w:w="2803"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0A1F5B61" w14:textId="77777777" w:rsidR="00A12A56" w:rsidRPr="00A12A56" w:rsidRDefault="00A12A56" w:rsidP="00A12A56">
            <w:pPr>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Total Plans</w:t>
            </w:r>
            <w:r w:rsidR="00146ECB">
              <w:rPr>
                <w:rFonts w:ascii="Calibri" w:eastAsia="Times New Roman" w:hAnsi="Calibri" w:cs="Calibri"/>
                <w:b/>
                <w:bCs/>
                <w:color w:val="324F82"/>
                <w:kern w:val="24"/>
                <w:sz w:val="20"/>
                <w:szCs w:val="20"/>
                <w:lang w:eastAsia="en-GB"/>
              </w:rPr>
              <w:t xml:space="preserve"> 2.5%</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70013E86"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-3.174</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7AC893E9"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-2.918</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7BDF4DF2"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-2.849</w:t>
            </w:r>
          </w:p>
        </w:tc>
        <w:tc>
          <w:tcPr>
            <w:tcW w:w="550"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40BE4A4E"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-2.513</w:t>
            </w:r>
          </w:p>
        </w:tc>
      </w:tr>
      <w:tr w:rsidR="0054418A" w:rsidRPr="00A12A56" w14:paraId="514315A3" w14:textId="77777777" w:rsidTr="0054418A">
        <w:trPr>
          <w:trHeight w:val="397"/>
        </w:trPr>
        <w:tc>
          <w:tcPr>
            <w:tcW w:w="2803"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1E1F5C0F" w14:textId="77777777" w:rsidR="00A12A56" w:rsidRPr="00A12A56" w:rsidRDefault="00A12A56" w:rsidP="00A12A56">
            <w:pPr>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 </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341B6AC4"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 </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1ADBA757"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 </w:t>
            </w:r>
          </w:p>
        </w:tc>
        <w:tc>
          <w:tcPr>
            <w:tcW w:w="549"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77AF68AD"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 </w:t>
            </w:r>
          </w:p>
        </w:tc>
        <w:tc>
          <w:tcPr>
            <w:tcW w:w="550" w:type="pct"/>
            <w:tcBorders>
              <w:top w:val="single" w:sz="8" w:space="0" w:color="000000"/>
              <w:left w:val="single" w:sz="8" w:space="0" w:color="000000"/>
              <w:bottom w:val="single" w:sz="8" w:space="0" w:color="000000"/>
              <w:right w:val="single" w:sz="8" w:space="0" w:color="000000"/>
            </w:tcBorders>
            <w:shd w:val="clear" w:color="auto" w:fill="D2DEEF"/>
            <w:tcMar>
              <w:top w:w="15" w:type="dxa"/>
              <w:left w:w="15" w:type="dxa"/>
              <w:bottom w:w="0" w:type="dxa"/>
              <w:right w:w="15" w:type="dxa"/>
            </w:tcMar>
            <w:vAlign w:val="center"/>
            <w:hideMark/>
          </w:tcPr>
          <w:p w14:paraId="1F4FBE45"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color w:val="324F82"/>
                <w:kern w:val="24"/>
                <w:sz w:val="20"/>
                <w:szCs w:val="20"/>
                <w:lang w:eastAsia="en-GB"/>
              </w:rPr>
              <w:t> </w:t>
            </w:r>
          </w:p>
        </w:tc>
      </w:tr>
      <w:tr w:rsidR="0054418A" w:rsidRPr="00A12A56" w14:paraId="28B2877E" w14:textId="77777777" w:rsidTr="0054418A">
        <w:trPr>
          <w:trHeight w:val="397"/>
        </w:trPr>
        <w:tc>
          <w:tcPr>
            <w:tcW w:w="2803"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15A1ED60" w14:textId="77777777" w:rsidR="00A12A56" w:rsidRPr="00A12A56" w:rsidRDefault="00A12A56" w:rsidP="00A12A56">
            <w:pPr>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Total Target 2.5%</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001C4994"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-3.174</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583F741A"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-3.174</w:t>
            </w:r>
          </w:p>
        </w:tc>
        <w:tc>
          <w:tcPr>
            <w:tcW w:w="549"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1555F246"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-3.174</w:t>
            </w:r>
          </w:p>
        </w:tc>
        <w:tc>
          <w:tcPr>
            <w:tcW w:w="550" w:type="pct"/>
            <w:tcBorders>
              <w:top w:val="single" w:sz="8" w:space="0" w:color="000000"/>
              <w:left w:val="single" w:sz="8" w:space="0" w:color="000000"/>
              <w:bottom w:val="single" w:sz="8" w:space="0" w:color="000000"/>
              <w:right w:val="single" w:sz="8" w:space="0" w:color="000000"/>
            </w:tcBorders>
            <w:shd w:val="clear" w:color="auto" w:fill="EAEFF7"/>
            <w:tcMar>
              <w:top w:w="15" w:type="dxa"/>
              <w:left w:w="15" w:type="dxa"/>
              <w:bottom w:w="0" w:type="dxa"/>
              <w:right w:w="15" w:type="dxa"/>
            </w:tcMar>
            <w:vAlign w:val="center"/>
            <w:hideMark/>
          </w:tcPr>
          <w:p w14:paraId="1D3C2DB7" w14:textId="77777777" w:rsidR="00A12A56" w:rsidRPr="00A12A56" w:rsidRDefault="00A12A56" w:rsidP="00A12A56">
            <w:pPr>
              <w:jc w:val="right"/>
              <w:textAlignment w:val="center"/>
              <w:rPr>
                <w:rFonts w:ascii="Arial" w:eastAsia="Times New Roman" w:hAnsi="Arial" w:cs="Arial"/>
                <w:sz w:val="20"/>
                <w:szCs w:val="20"/>
                <w:lang w:eastAsia="en-GB"/>
              </w:rPr>
            </w:pPr>
            <w:r w:rsidRPr="00A12A56">
              <w:rPr>
                <w:rFonts w:ascii="Calibri" w:eastAsia="Times New Roman" w:hAnsi="Calibri" w:cs="Calibri"/>
                <w:b/>
                <w:bCs/>
                <w:color w:val="324F82"/>
                <w:kern w:val="24"/>
                <w:sz w:val="20"/>
                <w:szCs w:val="20"/>
                <w:lang w:eastAsia="en-GB"/>
              </w:rPr>
              <w:t>-3.174</w:t>
            </w:r>
          </w:p>
        </w:tc>
      </w:tr>
    </w:tbl>
    <w:p w14:paraId="6404C796" w14:textId="77777777" w:rsidR="00DD7161" w:rsidRDefault="00DD7161" w:rsidP="27713507">
      <w:pPr>
        <w:spacing w:after="200" w:line="276" w:lineRule="auto"/>
        <w:rPr>
          <w:rFonts w:eastAsia="Times New Roman"/>
          <w:b/>
          <w:bCs/>
        </w:rPr>
      </w:pPr>
    </w:p>
    <w:p w14:paraId="2669A507" w14:textId="77777777" w:rsidR="00C90C56" w:rsidRPr="00FA3742" w:rsidRDefault="00FA3742" w:rsidP="27713507">
      <w:pPr>
        <w:spacing w:after="200" w:line="276" w:lineRule="auto"/>
        <w:rPr>
          <w:rFonts w:eastAsia="Times New Roman"/>
        </w:rPr>
      </w:pPr>
      <w:r w:rsidRPr="00FA3742">
        <w:rPr>
          <w:rFonts w:eastAsia="Times New Roman"/>
        </w:rPr>
        <w:t>The</w:t>
      </w:r>
      <w:r>
        <w:rPr>
          <w:rFonts w:eastAsia="Times New Roman"/>
        </w:rPr>
        <w:t xml:space="preserve"> 2.5% savings target will be delivered in 2023/24 but </w:t>
      </w:r>
      <w:r w:rsidR="00A721FF">
        <w:rPr>
          <w:rFonts w:eastAsia="Times New Roman"/>
        </w:rPr>
        <w:t>further work is required to identify delivery on a recurrent basis.</w:t>
      </w:r>
    </w:p>
    <w:p w14:paraId="3DECC7B9" w14:textId="77777777" w:rsidR="00AA5EA7" w:rsidRDefault="00F63455" w:rsidP="27713507">
      <w:pPr>
        <w:spacing w:after="200" w:line="276" w:lineRule="auto"/>
        <w:rPr>
          <w:rFonts w:eastAsia="Times New Roman"/>
          <w:b/>
          <w:bCs/>
        </w:rPr>
      </w:pPr>
      <w:r>
        <w:rPr>
          <w:rFonts w:eastAsia="Times New Roman"/>
          <w:b/>
          <w:bCs/>
        </w:rPr>
        <w:t>Utilisation of Efficiency Savings</w:t>
      </w:r>
    </w:p>
    <w:p w14:paraId="3FB6D74E" w14:textId="7B649B01" w:rsidR="00F63455" w:rsidRDefault="00307286" w:rsidP="00330875">
      <w:pPr>
        <w:spacing w:after="200" w:line="276" w:lineRule="auto"/>
        <w:jc w:val="both"/>
        <w:rPr>
          <w:rFonts w:eastAsia="Times New Roman"/>
        </w:rPr>
      </w:pPr>
      <w:r w:rsidRPr="00307286">
        <w:rPr>
          <w:rFonts w:eastAsia="Times New Roman"/>
        </w:rPr>
        <w:t xml:space="preserve">The </w:t>
      </w:r>
      <w:r>
        <w:rPr>
          <w:rFonts w:eastAsia="Times New Roman"/>
        </w:rPr>
        <w:t xml:space="preserve">efficiency </w:t>
      </w:r>
      <w:r w:rsidR="000655D1">
        <w:rPr>
          <w:rFonts w:eastAsia="Times New Roman"/>
        </w:rPr>
        <w:t xml:space="preserve">savings will be </w:t>
      </w:r>
      <w:r w:rsidR="00D7732B">
        <w:rPr>
          <w:rFonts w:eastAsia="Times New Roman"/>
        </w:rPr>
        <w:t xml:space="preserve">used </w:t>
      </w:r>
      <w:r w:rsidR="000655D1">
        <w:rPr>
          <w:rFonts w:eastAsia="Times New Roman"/>
        </w:rPr>
        <w:t xml:space="preserve">to fund the shortfall in inflationary pressures </w:t>
      </w:r>
      <w:r w:rsidR="007167DF">
        <w:rPr>
          <w:rFonts w:eastAsia="Times New Roman"/>
        </w:rPr>
        <w:t xml:space="preserve">of </w:t>
      </w:r>
      <w:r w:rsidR="0095478D">
        <w:rPr>
          <w:rFonts w:eastAsia="Times New Roman"/>
        </w:rPr>
        <w:t>£3</w:t>
      </w:r>
      <w:r w:rsidR="00C8600E">
        <w:rPr>
          <w:rFonts w:eastAsia="Times New Roman"/>
        </w:rPr>
        <w:t>70</w:t>
      </w:r>
      <w:r w:rsidR="0095478D">
        <w:rPr>
          <w:rFonts w:eastAsia="Times New Roman"/>
        </w:rPr>
        <w:t>k (</w:t>
      </w:r>
      <w:r w:rsidR="0095478D" w:rsidRPr="0095478D">
        <w:rPr>
          <w:rFonts w:eastAsia="Times New Roman"/>
          <w:b/>
          <w:bCs/>
        </w:rPr>
        <w:t xml:space="preserve">Table </w:t>
      </w:r>
      <w:r w:rsidR="00656705">
        <w:rPr>
          <w:rFonts w:eastAsia="Times New Roman"/>
          <w:b/>
          <w:bCs/>
        </w:rPr>
        <w:t>5</w:t>
      </w:r>
      <w:r w:rsidR="0095478D">
        <w:rPr>
          <w:rFonts w:eastAsia="Times New Roman"/>
        </w:rPr>
        <w:t xml:space="preserve">) </w:t>
      </w:r>
      <w:r w:rsidR="000655D1">
        <w:rPr>
          <w:rFonts w:eastAsia="Times New Roman"/>
        </w:rPr>
        <w:t>and the unavoidable cost pressures</w:t>
      </w:r>
      <w:r w:rsidR="0095478D">
        <w:rPr>
          <w:rFonts w:eastAsia="Times New Roman"/>
        </w:rPr>
        <w:t xml:space="preserve"> of £795k (</w:t>
      </w:r>
      <w:r w:rsidR="0095478D" w:rsidRPr="0095478D">
        <w:rPr>
          <w:rFonts w:eastAsia="Times New Roman"/>
          <w:b/>
          <w:bCs/>
        </w:rPr>
        <w:t xml:space="preserve">Table </w:t>
      </w:r>
      <w:r w:rsidR="00656705">
        <w:rPr>
          <w:rFonts w:eastAsia="Times New Roman"/>
          <w:b/>
          <w:bCs/>
        </w:rPr>
        <w:t>7</w:t>
      </w:r>
      <w:r w:rsidR="0095478D">
        <w:rPr>
          <w:rFonts w:eastAsia="Times New Roman"/>
        </w:rPr>
        <w:t>)</w:t>
      </w:r>
      <w:r w:rsidR="000655D1">
        <w:rPr>
          <w:rFonts w:eastAsia="Times New Roman"/>
        </w:rPr>
        <w:t xml:space="preserve">. </w:t>
      </w:r>
      <w:r w:rsidR="000655D1" w:rsidRPr="0095478D">
        <w:rPr>
          <w:rFonts w:eastAsia="Times New Roman"/>
        </w:rPr>
        <w:t xml:space="preserve">The remainder of the </w:t>
      </w:r>
      <w:r w:rsidR="0095478D">
        <w:rPr>
          <w:rFonts w:eastAsia="Times New Roman"/>
        </w:rPr>
        <w:t xml:space="preserve">efficiency </w:t>
      </w:r>
      <w:r w:rsidR="000655D1" w:rsidRPr="0095478D">
        <w:rPr>
          <w:rFonts w:eastAsia="Times New Roman"/>
        </w:rPr>
        <w:t>savings will then be u</w:t>
      </w:r>
      <w:r w:rsidR="0095478D">
        <w:rPr>
          <w:rFonts w:eastAsia="Times New Roman"/>
        </w:rPr>
        <w:t>sed</w:t>
      </w:r>
      <w:r w:rsidR="000655D1" w:rsidRPr="0095478D">
        <w:rPr>
          <w:rFonts w:eastAsia="Times New Roman"/>
        </w:rPr>
        <w:t xml:space="preserve"> to </w:t>
      </w:r>
      <w:r w:rsidR="0095478D">
        <w:rPr>
          <w:rFonts w:eastAsia="Times New Roman"/>
        </w:rPr>
        <w:t xml:space="preserve">prioritise </w:t>
      </w:r>
      <w:r w:rsidR="008D7E49">
        <w:rPr>
          <w:rFonts w:eastAsia="Times New Roman"/>
        </w:rPr>
        <w:t>avoid</w:t>
      </w:r>
      <w:r w:rsidR="00DE6B41">
        <w:rPr>
          <w:rFonts w:eastAsia="Times New Roman"/>
        </w:rPr>
        <w:t xml:space="preserve">able cost pressures and our </w:t>
      </w:r>
      <w:r w:rsidR="0095478D">
        <w:rPr>
          <w:rFonts w:eastAsia="Times New Roman"/>
        </w:rPr>
        <w:t>path to sustainability</w:t>
      </w:r>
      <w:r w:rsidR="00656705">
        <w:rPr>
          <w:rFonts w:eastAsia="Times New Roman"/>
        </w:rPr>
        <w:t>.</w:t>
      </w:r>
    </w:p>
    <w:p w14:paraId="646E8FAB" w14:textId="77777777" w:rsidR="00A3014A" w:rsidRDefault="00660B4F" w:rsidP="00330875">
      <w:pPr>
        <w:jc w:val="both"/>
        <w:rPr>
          <w:rFonts w:eastAsia="Times New Roman"/>
        </w:rPr>
      </w:pPr>
      <w:r>
        <w:rPr>
          <w:rFonts w:eastAsia="Times New Roman"/>
        </w:rPr>
        <w:t xml:space="preserve">A process is being developed </w:t>
      </w:r>
      <w:r w:rsidR="0063604D">
        <w:rPr>
          <w:rFonts w:eastAsia="Times New Roman"/>
        </w:rPr>
        <w:t xml:space="preserve">to prioritise avoidable cost pressures </w:t>
      </w:r>
      <w:r w:rsidR="00671A05">
        <w:rPr>
          <w:rFonts w:eastAsia="Times New Roman"/>
        </w:rPr>
        <w:t>which</w:t>
      </w:r>
      <w:r w:rsidR="0093081E">
        <w:rPr>
          <w:rFonts w:eastAsia="Times New Roman"/>
        </w:rPr>
        <w:t xml:space="preserve"> </w:t>
      </w:r>
      <w:r w:rsidR="00671A05">
        <w:rPr>
          <w:rFonts w:eastAsia="Times New Roman"/>
        </w:rPr>
        <w:t xml:space="preserve">deliver our path to sustainability. </w:t>
      </w:r>
      <w:r w:rsidR="00A3014A">
        <w:rPr>
          <w:rFonts w:eastAsia="Times New Roman"/>
        </w:rPr>
        <w:t>This will focus on</w:t>
      </w:r>
      <w:r w:rsidR="0074329E">
        <w:rPr>
          <w:rFonts w:eastAsia="Times New Roman"/>
        </w:rPr>
        <w:t>:</w:t>
      </w:r>
    </w:p>
    <w:p w14:paraId="008A8624" w14:textId="77777777" w:rsidR="00014923" w:rsidRDefault="00014923" w:rsidP="00660B4F">
      <w:pPr>
        <w:jc w:val="both"/>
        <w:rPr>
          <w:rFonts w:eastAsia="Times New Roman"/>
        </w:rPr>
      </w:pPr>
    </w:p>
    <w:p w14:paraId="5D48BF96" w14:textId="77777777" w:rsidR="00FD5FFE" w:rsidRDefault="009D376A" w:rsidP="00A3014A">
      <w:pPr>
        <w:pStyle w:val="ListParagraph"/>
        <w:numPr>
          <w:ilvl w:val="0"/>
          <w:numId w:val="38"/>
        </w:numPr>
        <w:jc w:val="both"/>
        <w:rPr>
          <w:rFonts w:eastAsia="Times New Roman"/>
        </w:rPr>
      </w:pPr>
      <w:r w:rsidRPr="00A3014A">
        <w:rPr>
          <w:rFonts w:eastAsia="Times New Roman"/>
        </w:rPr>
        <w:t>Getting the basics right</w:t>
      </w:r>
    </w:p>
    <w:p w14:paraId="4AEAB349" w14:textId="77777777" w:rsidR="00FD5FFE" w:rsidRDefault="00FD5FFE" w:rsidP="00A3014A">
      <w:pPr>
        <w:pStyle w:val="ListParagraph"/>
        <w:numPr>
          <w:ilvl w:val="0"/>
          <w:numId w:val="38"/>
        </w:numPr>
        <w:jc w:val="both"/>
        <w:rPr>
          <w:rFonts w:eastAsia="Times New Roman"/>
        </w:rPr>
      </w:pPr>
      <w:r>
        <w:rPr>
          <w:rFonts w:eastAsia="Times New Roman"/>
        </w:rPr>
        <w:t>F</w:t>
      </w:r>
      <w:r w:rsidR="009D376A" w:rsidRPr="00A3014A">
        <w:rPr>
          <w:rFonts w:eastAsia="Times New Roman"/>
        </w:rPr>
        <w:t>acilitating the delivery of the IMTP</w:t>
      </w:r>
    </w:p>
    <w:p w14:paraId="28ECDC00" w14:textId="77777777" w:rsidR="00660B4F" w:rsidRPr="00A3014A" w:rsidRDefault="009D376A" w:rsidP="00A3014A">
      <w:pPr>
        <w:pStyle w:val="ListParagraph"/>
        <w:numPr>
          <w:ilvl w:val="0"/>
          <w:numId w:val="38"/>
        </w:numPr>
        <w:jc w:val="both"/>
        <w:rPr>
          <w:rFonts w:eastAsia="Times New Roman"/>
        </w:rPr>
      </w:pPr>
      <w:r w:rsidRPr="00A3014A">
        <w:rPr>
          <w:rFonts w:eastAsia="Times New Roman"/>
        </w:rPr>
        <w:t>Working differently/innovation</w:t>
      </w:r>
    </w:p>
    <w:p w14:paraId="21C0B5BB" w14:textId="77777777" w:rsidR="00F37AA9" w:rsidRDefault="00F37AA9" w:rsidP="27713507">
      <w:pPr>
        <w:spacing w:after="200" w:line="276" w:lineRule="auto"/>
        <w:rPr>
          <w:rFonts w:eastAsia="Times New Roman"/>
          <w:b/>
          <w:bCs/>
        </w:rPr>
      </w:pPr>
    </w:p>
    <w:p w14:paraId="79089694" w14:textId="77777777" w:rsidR="00DF5C33" w:rsidRDefault="00A721E0" w:rsidP="27713507">
      <w:pPr>
        <w:spacing w:after="200" w:line="276" w:lineRule="auto"/>
        <w:rPr>
          <w:rFonts w:eastAsia="Times New Roman"/>
          <w:bCs/>
        </w:rPr>
      </w:pPr>
      <w:r w:rsidRPr="00A721E0">
        <w:rPr>
          <w:rFonts w:eastAsia="Times New Roman"/>
          <w:b/>
          <w:bCs/>
        </w:rPr>
        <w:t xml:space="preserve">Table </w:t>
      </w:r>
      <w:r w:rsidR="00656705">
        <w:rPr>
          <w:rFonts w:eastAsia="Times New Roman"/>
          <w:b/>
          <w:bCs/>
        </w:rPr>
        <w:t>9</w:t>
      </w:r>
      <w:r>
        <w:rPr>
          <w:rFonts w:eastAsia="Times New Roman"/>
          <w:bCs/>
        </w:rPr>
        <w:t xml:space="preserve"> s</w:t>
      </w:r>
      <w:r w:rsidR="001371A0">
        <w:rPr>
          <w:rFonts w:eastAsia="Times New Roman"/>
          <w:bCs/>
        </w:rPr>
        <w:t>ummarises</w:t>
      </w:r>
      <w:r>
        <w:rPr>
          <w:rFonts w:eastAsia="Times New Roman"/>
          <w:bCs/>
        </w:rPr>
        <w:t xml:space="preserve"> how the efficiency savings </w:t>
      </w:r>
      <w:r w:rsidR="001371A0">
        <w:rPr>
          <w:rFonts w:eastAsia="Times New Roman"/>
          <w:bCs/>
        </w:rPr>
        <w:t>will be</w:t>
      </w:r>
      <w:r>
        <w:rPr>
          <w:rFonts w:eastAsia="Times New Roman"/>
          <w:bCs/>
        </w:rPr>
        <w:t xml:space="preserve"> utilised.</w:t>
      </w:r>
    </w:p>
    <w:p w14:paraId="5985AF30" w14:textId="77777777" w:rsidR="00A721E0" w:rsidRDefault="00A721E0" w:rsidP="00A721E0">
      <w:pPr>
        <w:spacing w:line="276" w:lineRule="auto"/>
        <w:rPr>
          <w:rFonts w:eastAsia="Times New Roman"/>
          <w:b/>
          <w:bCs/>
        </w:rPr>
      </w:pPr>
      <w:r w:rsidRPr="00A721E0">
        <w:rPr>
          <w:rFonts w:eastAsia="Times New Roman"/>
          <w:b/>
          <w:bCs/>
        </w:rPr>
        <w:t xml:space="preserve">Table </w:t>
      </w:r>
      <w:r w:rsidR="00656705">
        <w:rPr>
          <w:rFonts w:eastAsia="Times New Roman"/>
          <w:b/>
          <w:bCs/>
        </w:rPr>
        <w:t>9</w:t>
      </w:r>
    </w:p>
    <w:tbl>
      <w:tblPr>
        <w:tblW w:w="5000" w:type="pct"/>
        <w:tblLook w:val="04A0" w:firstRow="1" w:lastRow="0" w:firstColumn="1" w:lastColumn="0" w:noHBand="0" w:noVBand="1"/>
      </w:tblPr>
      <w:tblGrid>
        <w:gridCol w:w="3758"/>
        <w:gridCol w:w="1329"/>
        <w:gridCol w:w="1187"/>
        <w:gridCol w:w="1317"/>
        <w:gridCol w:w="1425"/>
      </w:tblGrid>
      <w:tr w:rsidR="00A721E0" w:rsidRPr="00A721E0" w14:paraId="2F9A2A37" w14:textId="77777777" w:rsidTr="00F1170F">
        <w:trPr>
          <w:trHeight w:val="552"/>
        </w:trPr>
        <w:tc>
          <w:tcPr>
            <w:tcW w:w="2081" w:type="pct"/>
            <w:tcBorders>
              <w:top w:val="single" w:sz="4" w:space="0" w:color="auto"/>
              <w:left w:val="single" w:sz="4" w:space="0" w:color="auto"/>
              <w:bottom w:val="single" w:sz="4" w:space="0" w:color="auto"/>
              <w:right w:val="single" w:sz="4" w:space="0" w:color="auto"/>
            </w:tcBorders>
            <w:shd w:val="clear" w:color="000000" w:fill="5B9BD5"/>
            <w:vAlign w:val="bottom"/>
            <w:hideMark/>
          </w:tcPr>
          <w:p w14:paraId="789EB55A" w14:textId="77777777" w:rsidR="00A721E0" w:rsidRPr="00A721E0" w:rsidRDefault="00A721E0" w:rsidP="00A721E0">
            <w:pPr>
              <w:rPr>
                <w:rFonts w:ascii="Calibri" w:eastAsia="Times New Roman" w:hAnsi="Calibri" w:cs="Calibri"/>
                <w:b/>
                <w:bCs/>
                <w:color w:val="FFFFFF"/>
                <w:sz w:val="22"/>
                <w:lang w:eastAsia="en-GB"/>
              </w:rPr>
            </w:pPr>
            <w:r w:rsidRPr="00A721E0">
              <w:rPr>
                <w:rFonts w:ascii="Calibri" w:eastAsia="Times New Roman" w:hAnsi="Calibri" w:cs="Calibri"/>
                <w:b/>
                <w:bCs/>
                <w:color w:val="FFFFFF"/>
                <w:sz w:val="22"/>
                <w:lang w:eastAsia="en-GB"/>
              </w:rPr>
              <w:t>Item</w:t>
            </w:r>
          </w:p>
        </w:tc>
        <w:tc>
          <w:tcPr>
            <w:tcW w:w="739" w:type="pct"/>
            <w:tcBorders>
              <w:top w:val="single" w:sz="4" w:space="0" w:color="auto"/>
              <w:left w:val="nil"/>
              <w:bottom w:val="single" w:sz="4" w:space="0" w:color="auto"/>
              <w:right w:val="single" w:sz="4" w:space="0" w:color="auto"/>
            </w:tcBorders>
            <w:shd w:val="clear" w:color="000000" w:fill="5B9BD5"/>
            <w:vAlign w:val="bottom"/>
            <w:hideMark/>
          </w:tcPr>
          <w:p w14:paraId="7BA033A1" w14:textId="77777777" w:rsidR="00A721E0" w:rsidRPr="00A721E0" w:rsidRDefault="00A721E0" w:rsidP="00A721E0">
            <w:pPr>
              <w:jc w:val="center"/>
              <w:rPr>
                <w:rFonts w:ascii="Calibri" w:eastAsia="Times New Roman" w:hAnsi="Calibri" w:cs="Calibri"/>
                <w:b/>
                <w:bCs/>
                <w:color w:val="FFFFFF"/>
                <w:sz w:val="22"/>
                <w:lang w:eastAsia="en-GB"/>
              </w:rPr>
            </w:pPr>
            <w:r w:rsidRPr="00A721E0">
              <w:rPr>
                <w:rFonts w:ascii="Calibri" w:eastAsia="Times New Roman" w:hAnsi="Calibri" w:cs="Calibri"/>
                <w:b/>
                <w:bCs/>
                <w:color w:val="FFFFFF"/>
                <w:sz w:val="22"/>
                <w:lang w:eastAsia="en-GB"/>
              </w:rPr>
              <w:t>2023/24 (£m)</w:t>
            </w:r>
          </w:p>
        </w:tc>
        <w:tc>
          <w:tcPr>
            <w:tcW w:w="659" w:type="pct"/>
            <w:tcBorders>
              <w:top w:val="single" w:sz="4" w:space="0" w:color="auto"/>
              <w:left w:val="nil"/>
              <w:bottom w:val="single" w:sz="4" w:space="0" w:color="auto"/>
              <w:right w:val="single" w:sz="4" w:space="0" w:color="auto"/>
            </w:tcBorders>
            <w:shd w:val="clear" w:color="000000" w:fill="5B9BD5"/>
            <w:vAlign w:val="bottom"/>
            <w:hideMark/>
          </w:tcPr>
          <w:p w14:paraId="4BE9A418" w14:textId="77777777" w:rsidR="00A721E0" w:rsidRPr="00A721E0" w:rsidRDefault="00A721E0" w:rsidP="00A721E0">
            <w:pPr>
              <w:jc w:val="center"/>
              <w:rPr>
                <w:rFonts w:ascii="Calibri" w:eastAsia="Times New Roman" w:hAnsi="Calibri" w:cs="Calibri"/>
                <w:b/>
                <w:bCs/>
                <w:color w:val="FFFFFF"/>
                <w:sz w:val="22"/>
                <w:lang w:eastAsia="en-GB"/>
              </w:rPr>
            </w:pPr>
            <w:r w:rsidRPr="00A721E0">
              <w:rPr>
                <w:rFonts w:ascii="Calibri" w:eastAsia="Times New Roman" w:hAnsi="Calibri" w:cs="Calibri"/>
                <w:b/>
                <w:bCs/>
                <w:color w:val="FFFFFF"/>
                <w:sz w:val="22"/>
                <w:lang w:eastAsia="en-GB"/>
              </w:rPr>
              <w:t>2024/25 (£m)</w:t>
            </w:r>
          </w:p>
        </w:tc>
        <w:tc>
          <w:tcPr>
            <w:tcW w:w="729" w:type="pct"/>
            <w:tcBorders>
              <w:top w:val="single" w:sz="4" w:space="0" w:color="auto"/>
              <w:left w:val="nil"/>
              <w:bottom w:val="single" w:sz="4" w:space="0" w:color="auto"/>
              <w:right w:val="single" w:sz="4" w:space="0" w:color="auto"/>
            </w:tcBorders>
            <w:shd w:val="clear" w:color="000000" w:fill="5B9BD5"/>
            <w:vAlign w:val="bottom"/>
            <w:hideMark/>
          </w:tcPr>
          <w:p w14:paraId="5D490941" w14:textId="77777777" w:rsidR="00A721E0" w:rsidRPr="00A721E0" w:rsidRDefault="00A721E0" w:rsidP="00A721E0">
            <w:pPr>
              <w:jc w:val="center"/>
              <w:rPr>
                <w:rFonts w:ascii="Calibri" w:eastAsia="Times New Roman" w:hAnsi="Calibri" w:cs="Calibri"/>
                <w:b/>
                <w:bCs/>
                <w:color w:val="FFFFFF"/>
                <w:sz w:val="22"/>
                <w:lang w:eastAsia="en-GB"/>
              </w:rPr>
            </w:pPr>
            <w:r w:rsidRPr="00A721E0">
              <w:rPr>
                <w:rFonts w:ascii="Calibri" w:eastAsia="Times New Roman" w:hAnsi="Calibri" w:cs="Calibri"/>
                <w:b/>
                <w:bCs/>
                <w:color w:val="FFFFFF"/>
                <w:sz w:val="22"/>
                <w:lang w:eastAsia="en-GB"/>
              </w:rPr>
              <w:t>2025/26 (£m)</w:t>
            </w:r>
          </w:p>
        </w:tc>
        <w:tc>
          <w:tcPr>
            <w:tcW w:w="791" w:type="pct"/>
            <w:tcBorders>
              <w:top w:val="single" w:sz="4" w:space="0" w:color="auto"/>
              <w:left w:val="nil"/>
              <w:bottom w:val="single" w:sz="4" w:space="0" w:color="auto"/>
              <w:right w:val="single" w:sz="4" w:space="0" w:color="auto"/>
            </w:tcBorders>
            <w:shd w:val="clear" w:color="000000" w:fill="5B9BD5"/>
            <w:vAlign w:val="bottom"/>
            <w:hideMark/>
          </w:tcPr>
          <w:p w14:paraId="55F4E8F7" w14:textId="77777777" w:rsidR="00A721E0" w:rsidRPr="00A721E0" w:rsidRDefault="00A721E0" w:rsidP="00A721E0">
            <w:pPr>
              <w:jc w:val="center"/>
              <w:rPr>
                <w:rFonts w:ascii="Calibri" w:eastAsia="Times New Roman" w:hAnsi="Calibri" w:cs="Calibri"/>
                <w:b/>
                <w:bCs/>
                <w:color w:val="FFFFFF"/>
                <w:sz w:val="22"/>
                <w:lang w:eastAsia="en-GB"/>
              </w:rPr>
            </w:pPr>
            <w:r w:rsidRPr="00A721E0">
              <w:rPr>
                <w:rFonts w:ascii="Calibri" w:eastAsia="Times New Roman" w:hAnsi="Calibri" w:cs="Calibri"/>
                <w:b/>
                <w:bCs/>
                <w:color w:val="FFFFFF"/>
                <w:sz w:val="22"/>
                <w:lang w:eastAsia="en-GB"/>
              </w:rPr>
              <w:t>Recurrent (£m)</w:t>
            </w:r>
          </w:p>
        </w:tc>
      </w:tr>
      <w:tr w:rsidR="00F1170F" w:rsidRPr="00A721E0" w14:paraId="3C47DD15" w14:textId="77777777" w:rsidTr="00F1170F">
        <w:trPr>
          <w:trHeight w:val="565"/>
        </w:trPr>
        <w:tc>
          <w:tcPr>
            <w:tcW w:w="2081" w:type="pct"/>
            <w:tcBorders>
              <w:top w:val="nil"/>
              <w:left w:val="single" w:sz="4" w:space="0" w:color="auto"/>
              <w:bottom w:val="single" w:sz="4" w:space="0" w:color="auto"/>
              <w:right w:val="single" w:sz="4" w:space="0" w:color="auto"/>
            </w:tcBorders>
            <w:shd w:val="clear" w:color="auto" w:fill="auto"/>
            <w:noWrap/>
            <w:vAlign w:val="bottom"/>
            <w:hideMark/>
          </w:tcPr>
          <w:p w14:paraId="48525BB1" w14:textId="77777777" w:rsidR="00F1170F" w:rsidRPr="00A721E0" w:rsidRDefault="00F1170F" w:rsidP="00F1170F">
            <w:pP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2.5% Efficiency Savings</w:t>
            </w:r>
          </w:p>
        </w:tc>
        <w:tc>
          <w:tcPr>
            <w:tcW w:w="739" w:type="pct"/>
            <w:tcBorders>
              <w:top w:val="nil"/>
              <w:left w:val="nil"/>
              <w:bottom w:val="single" w:sz="4" w:space="0" w:color="auto"/>
              <w:right w:val="single" w:sz="4" w:space="0" w:color="auto"/>
            </w:tcBorders>
            <w:shd w:val="clear" w:color="auto" w:fill="auto"/>
            <w:noWrap/>
            <w:vAlign w:val="bottom"/>
            <w:hideMark/>
          </w:tcPr>
          <w:p w14:paraId="1A947BBB" w14:textId="79C08587"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-3.174 </w:t>
            </w:r>
          </w:p>
        </w:tc>
        <w:tc>
          <w:tcPr>
            <w:tcW w:w="659" w:type="pct"/>
            <w:tcBorders>
              <w:top w:val="nil"/>
              <w:left w:val="nil"/>
              <w:bottom w:val="single" w:sz="4" w:space="0" w:color="auto"/>
              <w:right w:val="single" w:sz="4" w:space="0" w:color="auto"/>
            </w:tcBorders>
            <w:shd w:val="clear" w:color="auto" w:fill="auto"/>
            <w:noWrap/>
            <w:vAlign w:val="bottom"/>
            <w:hideMark/>
          </w:tcPr>
          <w:p w14:paraId="4D5B7406" w14:textId="6C7F7803"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-2.918 </w:t>
            </w:r>
          </w:p>
        </w:tc>
        <w:tc>
          <w:tcPr>
            <w:tcW w:w="729" w:type="pct"/>
            <w:tcBorders>
              <w:top w:val="nil"/>
              <w:left w:val="nil"/>
              <w:bottom w:val="single" w:sz="4" w:space="0" w:color="auto"/>
              <w:right w:val="single" w:sz="4" w:space="0" w:color="auto"/>
            </w:tcBorders>
            <w:shd w:val="clear" w:color="auto" w:fill="auto"/>
            <w:noWrap/>
            <w:vAlign w:val="bottom"/>
            <w:hideMark/>
          </w:tcPr>
          <w:p w14:paraId="487EE1C5" w14:textId="4C34322E"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-2.849 </w:t>
            </w:r>
          </w:p>
        </w:tc>
        <w:tc>
          <w:tcPr>
            <w:tcW w:w="791" w:type="pct"/>
            <w:tcBorders>
              <w:top w:val="nil"/>
              <w:left w:val="nil"/>
              <w:bottom w:val="single" w:sz="4" w:space="0" w:color="auto"/>
              <w:right w:val="single" w:sz="4" w:space="0" w:color="auto"/>
            </w:tcBorders>
            <w:shd w:val="clear" w:color="auto" w:fill="auto"/>
            <w:noWrap/>
            <w:vAlign w:val="bottom"/>
            <w:hideMark/>
          </w:tcPr>
          <w:p w14:paraId="46A8295E" w14:textId="4909CBB9"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-2.513 </w:t>
            </w:r>
          </w:p>
        </w:tc>
      </w:tr>
      <w:tr w:rsidR="00F1170F" w:rsidRPr="00A721E0" w14:paraId="1C195582" w14:textId="77777777" w:rsidTr="00F1170F">
        <w:trPr>
          <w:trHeight w:val="288"/>
        </w:trPr>
        <w:tc>
          <w:tcPr>
            <w:tcW w:w="2081" w:type="pct"/>
            <w:tcBorders>
              <w:top w:val="nil"/>
              <w:left w:val="single" w:sz="4" w:space="0" w:color="auto"/>
              <w:bottom w:val="single" w:sz="4" w:space="0" w:color="auto"/>
              <w:right w:val="single" w:sz="4" w:space="0" w:color="auto"/>
            </w:tcBorders>
            <w:shd w:val="clear" w:color="000000" w:fill="DDEBF7"/>
            <w:noWrap/>
            <w:vAlign w:val="bottom"/>
            <w:hideMark/>
          </w:tcPr>
          <w:p w14:paraId="2BF9319E" w14:textId="77777777" w:rsidR="00F1170F" w:rsidRPr="00A721E0" w:rsidRDefault="00F1170F" w:rsidP="00F1170F">
            <w:pP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Shortfall in funding Inflationary Pressures</w:t>
            </w:r>
          </w:p>
        </w:tc>
        <w:tc>
          <w:tcPr>
            <w:tcW w:w="739" w:type="pct"/>
            <w:tcBorders>
              <w:top w:val="nil"/>
              <w:left w:val="nil"/>
              <w:bottom w:val="single" w:sz="4" w:space="0" w:color="auto"/>
              <w:right w:val="single" w:sz="4" w:space="0" w:color="auto"/>
            </w:tcBorders>
            <w:shd w:val="clear" w:color="000000" w:fill="DDEBF7"/>
            <w:noWrap/>
            <w:vAlign w:val="bottom"/>
            <w:hideMark/>
          </w:tcPr>
          <w:p w14:paraId="11F13CB7" w14:textId="0CC04E60"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0.3</w:t>
            </w:r>
            <w:r w:rsidR="00C8600E">
              <w:rPr>
                <w:rFonts w:ascii="Calibri" w:eastAsia="Times New Roman" w:hAnsi="Calibri" w:cs="Calibri"/>
                <w:color w:val="000000"/>
                <w:sz w:val="22"/>
                <w:lang w:eastAsia="en-GB"/>
              </w:rPr>
              <w:t>70</w:t>
            </w:r>
            <w:r w:rsidRPr="00A721E0">
              <w:rPr>
                <w:rFonts w:ascii="Calibri" w:eastAsia="Times New Roman" w:hAnsi="Calibri" w:cs="Calibri"/>
                <w:color w:val="000000"/>
                <w:sz w:val="22"/>
                <w:lang w:eastAsia="en-GB"/>
              </w:rPr>
              <w:t xml:space="preserve"> </w:t>
            </w:r>
          </w:p>
        </w:tc>
        <w:tc>
          <w:tcPr>
            <w:tcW w:w="659" w:type="pct"/>
            <w:tcBorders>
              <w:top w:val="nil"/>
              <w:left w:val="nil"/>
              <w:bottom w:val="single" w:sz="4" w:space="0" w:color="auto"/>
              <w:right w:val="single" w:sz="4" w:space="0" w:color="auto"/>
            </w:tcBorders>
            <w:shd w:val="clear" w:color="000000" w:fill="DDEBF7"/>
            <w:noWrap/>
            <w:vAlign w:val="bottom"/>
            <w:hideMark/>
          </w:tcPr>
          <w:p w14:paraId="6EB2E270" w14:textId="283ED79C"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0.5</w:t>
            </w:r>
            <w:r w:rsidR="00C8600E">
              <w:rPr>
                <w:rFonts w:ascii="Calibri" w:eastAsia="Times New Roman" w:hAnsi="Calibri" w:cs="Calibri"/>
                <w:color w:val="000000"/>
                <w:sz w:val="22"/>
                <w:lang w:eastAsia="en-GB"/>
              </w:rPr>
              <w:t>63</w:t>
            </w:r>
            <w:r w:rsidRPr="00A721E0">
              <w:rPr>
                <w:rFonts w:ascii="Calibri" w:eastAsia="Times New Roman" w:hAnsi="Calibri" w:cs="Calibri"/>
                <w:color w:val="000000"/>
                <w:sz w:val="22"/>
                <w:lang w:eastAsia="en-GB"/>
              </w:rPr>
              <w:t xml:space="preserve"> </w:t>
            </w:r>
          </w:p>
        </w:tc>
        <w:tc>
          <w:tcPr>
            <w:tcW w:w="729" w:type="pct"/>
            <w:tcBorders>
              <w:top w:val="nil"/>
              <w:left w:val="nil"/>
              <w:bottom w:val="single" w:sz="4" w:space="0" w:color="auto"/>
              <w:right w:val="single" w:sz="4" w:space="0" w:color="auto"/>
            </w:tcBorders>
            <w:shd w:val="clear" w:color="000000" w:fill="DDEBF7"/>
            <w:noWrap/>
            <w:vAlign w:val="bottom"/>
            <w:hideMark/>
          </w:tcPr>
          <w:p w14:paraId="5FA5D819" w14:textId="6E9C362E"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0.6</w:t>
            </w:r>
            <w:r w:rsidR="00C8600E">
              <w:rPr>
                <w:rFonts w:ascii="Calibri" w:eastAsia="Times New Roman" w:hAnsi="Calibri" w:cs="Calibri"/>
                <w:color w:val="000000"/>
                <w:sz w:val="22"/>
                <w:lang w:eastAsia="en-GB"/>
              </w:rPr>
              <w:t>34</w:t>
            </w:r>
            <w:r w:rsidRPr="00A721E0">
              <w:rPr>
                <w:rFonts w:ascii="Calibri" w:eastAsia="Times New Roman" w:hAnsi="Calibri" w:cs="Calibri"/>
                <w:color w:val="000000"/>
                <w:sz w:val="22"/>
                <w:lang w:eastAsia="en-GB"/>
              </w:rPr>
              <w:t xml:space="preserve"> </w:t>
            </w:r>
          </w:p>
        </w:tc>
        <w:tc>
          <w:tcPr>
            <w:tcW w:w="791" w:type="pct"/>
            <w:tcBorders>
              <w:top w:val="nil"/>
              <w:left w:val="nil"/>
              <w:bottom w:val="single" w:sz="4" w:space="0" w:color="auto"/>
              <w:right w:val="single" w:sz="4" w:space="0" w:color="auto"/>
            </w:tcBorders>
            <w:shd w:val="clear" w:color="000000" w:fill="DDEBF7"/>
            <w:noWrap/>
            <w:vAlign w:val="bottom"/>
            <w:hideMark/>
          </w:tcPr>
          <w:p w14:paraId="78602932" w14:textId="0ABF826A"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0.6</w:t>
            </w:r>
            <w:r w:rsidR="00C8600E">
              <w:rPr>
                <w:rFonts w:ascii="Calibri" w:eastAsia="Times New Roman" w:hAnsi="Calibri" w:cs="Calibri"/>
                <w:color w:val="000000"/>
                <w:sz w:val="22"/>
                <w:lang w:eastAsia="en-GB"/>
              </w:rPr>
              <w:t>34</w:t>
            </w:r>
            <w:r w:rsidRPr="00A721E0">
              <w:rPr>
                <w:rFonts w:ascii="Calibri" w:eastAsia="Times New Roman" w:hAnsi="Calibri" w:cs="Calibri"/>
                <w:color w:val="000000"/>
                <w:sz w:val="22"/>
                <w:lang w:eastAsia="en-GB"/>
              </w:rPr>
              <w:t xml:space="preserve"> </w:t>
            </w:r>
          </w:p>
        </w:tc>
      </w:tr>
      <w:tr w:rsidR="00F1170F" w:rsidRPr="00A721E0" w14:paraId="1FF43B18" w14:textId="77777777" w:rsidTr="00F1170F">
        <w:trPr>
          <w:trHeight w:val="288"/>
        </w:trPr>
        <w:tc>
          <w:tcPr>
            <w:tcW w:w="2081" w:type="pct"/>
            <w:tcBorders>
              <w:top w:val="nil"/>
              <w:left w:val="single" w:sz="4" w:space="0" w:color="auto"/>
              <w:bottom w:val="single" w:sz="4" w:space="0" w:color="auto"/>
              <w:right w:val="single" w:sz="4" w:space="0" w:color="auto"/>
            </w:tcBorders>
            <w:shd w:val="clear" w:color="auto" w:fill="auto"/>
            <w:noWrap/>
            <w:vAlign w:val="bottom"/>
            <w:hideMark/>
          </w:tcPr>
          <w:p w14:paraId="12F216E6" w14:textId="77777777" w:rsidR="00F1170F" w:rsidRPr="00A721E0" w:rsidRDefault="00F1170F" w:rsidP="00F1170F">
            <w:pP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Unavoidable Cost Pressures</w:t>
            </w:r>
          </w:p>
        </w:tc>
        <w:tc>
          <w:tcPr>
            <w:tcW w:w="739" w:type="pct"/>
            <w:tcBorders>
              <w:top w:val="nil"/>
              <w:left w:val="nil"/>
              <w:bottom w:val="single" w:sz="4" w:space="0" w:color="auto"/>
              <w:right w:val="single" w:sz="4" w:space="0" w:color="auto"/>
            </w:tcBorders>
            <w:shd w:val="clear" w:color="auto" w:fill="auto"/>
            <w:noWrap/>
            <w:vAlign w:val="bottom"/>
            <w:hideMark/>
          </w:tcPr>
          <w:p w14:paraId="6C6531A5" w14:textId="19751AE9"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0.795 </w:t>
            </w:r>
          </w:p>
        </w:tc>
        <w:tc>
          <w:tcPr>
            <w:tcW w:w="659" w:type="pct"/>
            <w:tcBorders>
              <w:top w:val="nil"/>
              <w:left w:val="nil"/>
              <w:bottom w:val="single" w:sz="4" w:space="0" w:color="auto"/>
              <w:right w:val="single" w:sz="4" w:space="0" w:color="auto"/>
            </w:tcBorders>
            <w:shd w:val="clear" w:color="auto" w:fill="auto"/>
            <w:noWrap/>
            <w:vAlign w:val="bottom"/>
            <w:hideMark/>
          </w:tcPr>
          <w:p w14:paraId="012E7AB6" w14:textId="65093A84"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0.679 </w:t>
            </w:r>
          </w:p>
        </w:tc>
        <w:tc>
          <w:tcPr>
            <w:tcW w:w="729" w:type="pct"/>
            <w:tcBorders>
              <w:top w:val="nil"/>
              <w:left w:val="nil"/>
              <w:bottom w:val="single" w:sz="4" w:space="0" w:color="auto"/>
              <w:right w:val="single" w:sz="4" w:space="0" w:color="auto"/>
            </w:tcBorders>
            <w:shd w:val="clear" w:color="auto" w:fill="auto"/>
            <w:noWrap/>
            <w:vAlign w:val="bottom"/>
            <w:hideMark/>
          </w:tcPr>
          <w:p w14:paraId="6F263DA7" w14:textId="3BDED7AC"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0.610 </w:t>
            </w:r>
          </w:p>
        </w:tc>
        <w:tc>
          <w:tcPr>
            <w:tcW w:w="791" w:type="pct"/>
            <w:tcBorders>
              <w:top w:val="nil"/>
              <w:left w:val="nil"/>
              <w:bottom w:val="single" w:sz="4" w:space="0" w:color="auto"/>
              <w:right w:val="single" w:sz="4" w:space="0" w:color="auto"/>
            </w:tcBorders>
            <w:shd w:val="clear" w:color="auto" w:fill="auto"/>
            <w:noWrap/>
            <w:vAlign w:val="bottom"/>
            <w:hideMark/>
          </w:tcPr>
          <w:p w14:paraId="29182FF3" w14:textId="228ABCB9"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0.376 </w:t>
            </w:r>
          </w:p>
        </w:tc>
      </w:tr>
      <w:tr w:rsidR="00F1170F" w:rsidRPr="00A721E0" w14:paraId="2F09809D" w14:textId="77777777" w:rsidTr="00F1170F">
        <w:trPr>
          <w:trHeight w:val="215"/>
        </w:trPr>
        <w:tc>
          <w:tcPr>
            <w:tcW w:w="2081" w:type="pct"/>
            <w:tcBorders>
              <w:top w:val="nil"/>
              <w:left w:val="single" w:sz="4" w:space="0" w:color="auto"/>
              <w:bottom w:val="single" w:sz="4" w:space="0" w:color="auto"/>
              <w:right w:val="single" w:sz="4" w:space="0" w:color="auto"/>
            </w:tcBorders>
            <w:shd w:val="clear" w:color="000000" w:fill="DDEBF7"/>
            <w:noWrap/>
            <w:vAlign w:val="bottom"/>
            <w:hideMark/>
          </w:tcPr>
          <w:p w14:paraId="778BDBEF" w14:textId="77777777" w:rsidR="00F1170F" w:rsidRPr="00A721E0" w:rsidRDefault="00F1170F" w:rsidP="00F1170F">
            <w:pPr>
              <w:rPr>
                <w:rFonts w:ascii="Calibri" w:eastAsia="Times New Roman" w:hAnsi="Calibri" w:cs="Calibri"/>
                <w:color w:val="000000"/>
                <w:sz w:val="22"/>
                <w:lang w:eastAsia="en-GB"/>
              </w:rPr>
            </w:pPr>
            <w:r>
              <w:rPr>
                <w:rFonts w:ascii="Calibri" w:eastAsia="Times New Roman" w:hAnsi="Calibri" w:cs="Calibri"/>
                <w:color w:val="000000"/>
                <w:sz w:val="22"/>
                <w:lang w:eastAsia="en-GB"/>
              </w:rPr>
              <w:t>Avoidable Cost Pressures</w:t>
            </w:r>
          </w:p>
        </w:tc>
        <w:tc>
          <w:tcPr>
            <w:tcW w:w="739" w:type="pct"/>
            <w:tcBorders>
              <w:top w:val="nil"/>
              <w:left w:val="nil"/>
              <w:bottom w:val="single" w:sz="4" w:space="0" w:color="auto"/>
              <w:right w:val="single" w:sz="4" w:space="0" w:color="auto"/>
            </w:tcBorders>
            <w:shd w:val="clear" w:color="000000" w:fill="DDEBF7"/>
            <w:noWrap/>
            <w:vAlign w:val="bottom"/>
            <w:hideMark/>
          </w:tcPr>
          <w:p w14:paraId="4B816652" w14:textId="1EA2F959"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2.0</w:t>
            </w:r>
            <w:r w:rsidR="00C8600E">
              <w:rPr>
                <w:rFonts w:ascii="Calibri" w:eastAsia="Times New Roman" w:hAnsi="Calibri" w:cs="Calibri"/>
                <w:color w:val="000000"/>
                <w:sz w:val="22"/>
                <w:lang w:eastAsia="en-GB"/>
              </w:rPr>
              <w:t>09</w:t>
            </w:r>
            <w:r w:rsidRPr="00A721E0">
              <w:rPr>
                <w:rFonts w:ascii="Calibri" w:eastAsia="Times New Roman" w:hAnsi="Calibri" w:cs="Calibri"/>
                <w:color w:val="000000"/>
                <w:sz w:val="22"/>
                <w:lang w:eastAsia="en-GB"/>
              </w:rPr>
              <w:t xml:space="preserve"> </w:t>
            </w:r>
          </w:p>
        </w:tc>
        <w:tc>
          <w:tcPr>
            <w:tcW w:w="659" w:type="pct"/>
            <w:tcBorders>
              <w:top w:val="nil"/>
              <w:left w:val="nil"/>
              <w:bottom w:val="single" w:sz="4" w:space="0" w:color="auto"/>
              <w:right w:val="single" w:sz="4" w:space="0" w:color="auto"/>
            </w:tcBorders>
            <w:shd w:val="clear" w:color="000000" w:fill="DDEBF7"/>
            <w:noWrap/>
            <w:vAlign w:val="bottom"/>
            <w:hideMark/>
          </w:tcPr>
          <w:p w14:paraId="3E3F336D" w14:textId="0D88A9C7"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1.6</w:t>
            </w:r>
            <w:r w:rsidR="00C8600E">
              <w:rPr>
                <w:rFonts w:ascii="Calibri" w:eastAsia="Times New Roman" w:hAnsi="Calibri" w:cs="Calibri"/>
                <w:color w:val="000000"/>
                <w:sz w:val="22"/>
                <w:lang w:eastAsia="en-GB"/>
              </w:rPr>
              <w:t>76</w:t>
            </w:r>
            <w:r w:rsidRPr="00A721E0">
              <w:rPr>
                <w:rFonts w:ascii="Calibri" w:eastAsia="Times New Roman" w:hAnsi="Calibri" w:cs="Calibri"/>
                <w:color w:val="000000"/>
                <w:sz w:val="22"/>
                <w:lang w:eastAsia="en-GB"/>
              </w:rPr>
              <w:t xml:space="preserve"> </w:t>
            </w:r>
          </w:p>
        </w:tc>
        <w:tc>
          <w:tcPr>
            <w:tcW w:w="729" w:type="pct"/>
            <w:tcBorders>
              <w:top w:val="nil"/>
              <w:left w:val="nil"/>
              <w:bottom w:val="single" w:sz="4" w:space="0" w:color="auto"/>
              <w:right w:val="single" w:sz="4" w:space="0" w:color="auto"/>
            </w:tcBorders>
            <w:shd w:val="clear" w:color="000000" w:fill="DDEBF7"/>
            <w:noWrap/>
            <w:vAlign w:val="bottom"/>
            <w:hideMark/>
          </w:tcPr>
          <w:p w14:paraId="19A4BC0F" w14:textId="269DF7D9"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1.6</w:t>
            </w:r>
            <w:r w:rsidR="00C8600E">
              <w:rPr>
                <w:rFonts w:ascii="Calibri" w:eastAsia="Times New Roman" w:hAnsi="Calibri" w:cs="Calibri"/>
                <w:color w:val="000000"/>
                <w:sz w:val="22"/>
                <w:lang w:eastAsia="en-GB"/>
              </w:rPr>
              <w:t>05</w:t>
            </w:r>
            <w:r w:rsidRPr="00A721E0">
              <w:rPr>
                <w:rFonts w:ascii="Calibri" w:eastAsia="Times New Roman" w:hAnsi="Calibri" w:cs="Calibri"/>
                <w:color w:val="000000"/>
                <w:sz w:val="22"/>
                <w:lang w:eastAsia="en-GB"/>
              </w:rPr>
              <w:t xml:space="preserve"> </w:t>
            </w:r>
          </w:p>
        </w:tc>
        <w:tc>
          <w:tcPr>
            <w:tcW w:w="791" w:type="pct"/>
            <w:tcBorders>
              <w:top w:val="nil"/>
              <w:left w:val="nil"/>
              <w:bottom w:val="single" w:sz="4" w:space="0" w:color="auto"/>
              <w:right w:val="single" w:sz="4" w:space="0" w:color="auto"/>
            </w:tcBorders>
            <w:shd w:val="clear" w:color="000000" w:fill="DDEBF7"/>
            <w:noWrap/>
            <w:vAlign w:val="bottom"/>
            <w:hideMark/>
          </w:tcPr>
          <w:p w14:paraId="5FCF4EA9" w14:textId="0718301C" w:rsidR="00F1170F" w:rsidRPr="00A721E0" w:rsidRDefault="00F1170F" w:rsidP="00F1170F">
            <w:pPr>
              <w:jc w:val="center"/>
              <w:rPr>
                <w:rFonts w:ascii="Calibri" w:eastAsia="Times New Roman" w:hAnsi="Calibri" w:cs="Calibri"/>
                <w:color w:val="000000"/>
                <w:sz w:val="22"/>
                <w:lang w:eastAsia="en-GB"/>
              </w:rPr>
            </w:pPr>
            <w:r w:rsidRPr="00A721E0">
              <w:rPr>
                <w:rFonts w:ascii="Calibri" w:eastAsia="Times New Roman" w:hAnsi="Calibri" w:cs="Calibri"/>
                <w:color w:val="000000"/>
                <w:sz w:val="22"/>
                <w:lang w:eastAsia="en-GB"/>
              </w:rPr>
              <w:t xml:space="preserve">               1.5</w:t>
            </w:r>
            <w:r w:rsidR="00C8600E">
              <w:rPr>
                <w:rFonts w:ascii="Calibri" w:eastAsia="Times New Roman" w:hAnsi="Calibri" w:cs="Calibri"/>
                <w:color w:val="000000"/>
                <w:sz w:val="22"/>
                <w:lang w:eastAsia="en-GB"/>
              </w:rPr>
              <w:t>03</w:t>
            </w:r>
            <w:r w:rsidRPr="00A721E0">
              <w:rPr>
                <w:rFonts w:ascii="Calibri" w:eastAsia="Times New Roman" w:hAnsi="Calibri" w:cs="Calibri"/>
                <w:color w:val="000000"/>
                <w:sz w:val="22"/>
                <w:lang w:eastAsia="en-GB"/>
              </w:rPr>
              <w:t xml:space="preserve"> </w:t>
            </w:r>
          </w:p>
        </w:tc>
      </w:tr>
      <w:tr w:rsidR="00F1170F" w:rsidRPr="00A721E0" w14:paraId="28B753B3" w14:textId="77777777" w:rsidTr="00F1170F">
        <w:trPr>
          <w:trHeight w:val="58"/>
        </w:trPr>
        <w:tc>
          <w:tcPr>
            <w:tcW w:w="2081" w:type="pct"/>
            <w:tcBorders>
              <w:top w:val="nil"/>
              <w:left w:val="single" w:sz="4" w:space="0" w:color="auto"/>
              <w:bottom w:val="single" w:sz="4" w:space="0" w:color="auto"/>
              <w:right w:val="single" w:sz="4" w:space="0" w:color="auto"/>
            </w:tcBorders>
            <w:shd w:val="clear" w:color="auto" w:fill="auto"/>
            <w:noWrap/>
            <w:vAlign w:val="bottom"/>
            <w:hideMark/>
          </w:tcPr>
          <w:p w14:paraId="1A97CAFF" w14:textId="77777777" w:rsidR="00F1170F" w:rsidRPr="00A721E0" w:rsidRDefault="00F1170F" w:rsidP="00F1170F">
            <w:pPr>
              <w:rPr>
                <w:rFonts w:ascii="Calibri" w:eastAsia="Times New Roman" w:hAnsi="Calibri" w:cs="Calibri"/>
                <w:b/>
                <w:bCs/>
                <w:color w:val="000000"/>
                <w:sz w:val="22"/>
                <w:lang w:eastAsia="en-GB"/>
              </w:rPr>
            </w:pPr>
            <w:r w:rsidRPr="00A721E0">
              <w:rPr>
                <w:rFonts w:ascii="Calibri" w:eastAsia="Times New Roman" w:hAnsi="Calibri" w:cs="Calibri"/>
                <w:b/>
                <w:bCs/>
                <w:color w:val="000000"/>
                <w:sz w:val="22"/>
                <w:lang w:eastAsia="en-GB"/>
              </w:rPr>
              <w:t>Planned Variance</w:t>
            </w:r>
          </w:p>
        </w:tc>
        <w:tc>
          <w:tcPr>
            <w:tcW w:w="739" w:type="pct"/>
            <w:tcBorders>
              <w:top w:val="nil"/>
              <w:left w:val="nil"/>
              <w:bottom w:val="single" w:sz="4" w:space="0" w:color="auto"/>
              <w:right w:val="single" w:sz="4" w:space="0" w:color="auto"/>
            </w:tcBorders>
            <w:shd w:val="clear" w:color="auto" w:fill="auto"/>
            <w:noWrap/>
            <w:vAlign w:val="bottom"/>
            <w:hideMark/>
          </w:tcPr>
          <w:p w14:paraId="4C5368CF" w14:textId="08FBA497" w:rsidR="00F1170F" w:rsidRPr="00A721E0" w:rsidRDefault="00F1170F" w:rsidP="00F1170F">
            <w:pPr>
              <w:jc w:val="center"/>
              <w:rPr>
                <w:rFonts w:ascii="Calibri" w:eastAsia="Times New Roman" w:hAnsi="Calibri" w:cs="Calibri"/>
                <w:b/>
                <w:bCs/>
                <w:color w:val="000000"/>
                <w:sz w:val="22"/>
                <w:lang w:eastAsia="en-GB"/>
              </w:rPr>
            </w:pPr>
            <w:r w:rsidRPr="00A721E0">
              <w:rPr>
                <w:rFonts w:ascii="Calibri" w:eastAsia="Times New Roman" w:hAnsi="Calibri" w:cs="Calibri"/>
                <w:b/>
                <w:bCs/>
                <w:color w:val="000000"/>
                <w:sz w:val="22"/>
                <w:lang w:eastAsia="en-GB"/>
              </w:rPr>
              <w:t xml:space="preserve">                      - </w:t>
            </w:r>
          </w:p>
        </w:tc>
        <w:tc>
          <w:tcPr>
            <w:tcW w:w="659" w:type="pct"/>
            <w:tcBorders>
              <w:top w:val="nil"/>
              <w:left w:val="nil"/>
              <w:bottom w:val="single" w:sz="4" w:space="0" w:color="auto"/>
              <w:right w:val="single" w:sz="4" w:space="0" w:color="auto"/>
            </w:tcBorders>
            <w:shd w:val="clear" w:color="auto" w:fill="auto"/>
            <w:noWrap/>
            <w:vAlign w:val="bottom"/>
            <w:hideMark/>
          </w:tcPr>
          <w:p w14:paraId="36E8B4AD" w14:textId="68D7E1FC" w:rsidR="00F1170F" w:rsidRPr="00A721E0" w:rsidRDefault="00F1170F" w:rsidP="00F1170F">
            <w:pPr>
              <w:jc w:val="center"/>
              <w:rPr>
                <w:rFonts w:ascii="Calibri" w:eastAsia="Times New Roman" w:hAnsi="Calibri" w:cs="Calibri"/>
                <w:b/>
                <w:bCs/>
                <w:color w:val="000000"/>
                <w:sz w:val="22"/>
                <w:lang w:eastAsia="en-GB"/>
              </w:rPr>
            </w:pPr>
            <w:r w:rsidRPr="00A721E0">
              <w:rPr>
                <w:rFonts w:ascii="Calibri" w:eastAsia="Times New Roman" w:hAnsi="Calibri" w:cs="Calibri"/>
                <w:b/>
                <w:bCs/>
                <w:color w:val="000000"/>
                <w:sz w:val="22"/>
                <w:lang w:eastAsia="en-GB"/>
              </w:rPr>
              <w:t xml:space="preserve">                   - </w:t>
            </w:r>
          </w:p>
        </w:tc>
        <w:tc>
          <w:tcPr>
            <w:tcW w:w="729" w:type="pct"/>
            <w:tcBorders>
              <w:top w:val="nil"/>
              <w:left w:val="nil"/>
              <w:bottom w:val="single" w:sz="4" w:space="0" w:color="auto"/>
              <w:right w:val="single" w:sz="4" w:space="0" w:color="auto"/>
            </w:tcBorders>
            <w:shd w:val="clear" w:color="auto" w:fill="auto"/>
            <w:noWrap/>
            <w:vAlign w:val="bottom"/>
            <w:hideMark/>
          </w:tcPr>
          <w:p w14:paraId="186824C5" w14:textId="16A1FD81" w:rsidR="00F1170F" w:rsidRPr="00A721E0" w:rsidRDefault="00F1170F" w:rsidP="00F1170F">
            <w:pPr>
              <w:jc w:val="center"/>
              <w:rPr>
                <w:rFonts w:ascii="Calibri" w:eastAsia="Times New Roman" w:hAnsi="Calibri" w:cs="Calibri"/>
                <w:b/>
                <w:bCs/>
                <w:color w:val="000000"/>
                <w:sz w:val="22"/>
                <w:lang w:eastAsia="en-GB"/>
              </w:rPr>
            </w:pPr>
            <w:r w:rsidRPr="00A721E0">
              <w:rPr>
                <w:rFonts w:ascii="Calibri" w:eastAsia="Times New Roman" w:hAnsi="Calibri" w:cs="Calibri"/>
                <w:b/>
                <w:bCs/>
                <w:color w:val="000000"/>
                <w:sz w:val="22"/>
                <w:lang w:eastAsia="en-GB"/>
              </w:rPr>
              <w:t xml:space="preserve">                     - </w:t>
            </w:r>
          </w:p>
        </w:tc>
        <w:tc>
          <w:tcPr>
            <w:tcW w:w="791" w:type="pct"/>
            <w:tcBorders>
              <w:top w:val="nil"/>
              <w:left w:val="nil"/>
              <w:bottom w:val="single" w:sz="4" w:space="0" w:color="auto"/>
              <w:right w:val="single" w:sz="4" w:space="0" w:color="auto"/>
            </w:tcBorders>
            <w:shd w:val="clear" w:color="auto" w:fill="auto"/>
            <w:noWrap/>
            <w:vAlign w:val="bottom"/>
            <w:hideMark/>
          </w:tcPr>
          <w:p w14:paraId="6E575DD3" w14:textId="571C05D2" w:rsidR="00F1170F" w:rsidRPr="00A721E0" w:rsidRDefault="00F1170F" w:rsidP="00F1170F">
            <w:pPr>
              <w:jc w:val="center"/>
              <w:rPr>
                <w:rFonts w:ascii="Calibri" w:eastAsia="Times New Roman" w:hAnsi="Calibri" w:cs="Calibri"/>
                <w:b/>
                <w:bCs/>
                <w:color w:val="000000"/>
                <w:sz w:val="22"/>
                <w:lang w:eastAsia="en-GB"/>
              </w:rPr>
            </w:pPr>
            <w:r w:rsidRPr="00A721E0">
              <w:rPr>
                <w:rFonts w:ascii="Calibri" w:eastAsia="Times New Roman" w:hAnsi="Calibri" w:cs="Calibri"/>
                <w:b/>
                <w:bCs/>
                <w:color w:val="000000"/>
                <w:sz w:val="22"/>
                <w:lang w:eastAsia="en-GB"/>
              </w:rPr>
              <w:t xml:space="preserve">                        - </w:t>
            </w:r>
          </w:p>
        </w:tc>
      </w:tr>
    </w:tbl>
    <w:p w14:paraId="1C12D12C" w14:textId="77777777" w:rsidR="00A721E0" w:rsidRDefault="00A721E0" w:rsidP="27713507">
      <w:pPr>
        <w:spacing w:after="200" w:line="276" w:lineRule="auto"/>
        <w:rPr>
          <w:rFonts w:eastAsia="Times New Roman"/>
          <w:b/>
          <w:bCs/>
        </w:rPr>
      </w:pPr>
    </w:p>
    <w:p w14:paraId="18EF41FB" w14:textId="77777777" w:rsidR="00AA0128" w:rsidRPr="007244CF" w:rsidRDefault="4B42B1EE" w:rsidP="27713507">
      <w:pPr>
        <w:jc w:val="both"/>
      </w:pPr>
      <w:r w:rsidRPr="007244CF">
        <w:t xml:space="preserve">Funding </w:t>
      </w:r>
      <w:r w:rsidR="00BE6FDA">
        <w:t xml:space="preserve">for all cost pressures </w:t>
      </w:r>
      <w:r w:rsidRPr="007244CF">
        <w:t xml:space="preserve">will </w:t>
      </w:r>
      <w:r w:rsidR="00BE6FDA">
        <w:t xml:space="preserve">only </w:t>
      </w:r>
      <w:r w:rsidRPr="007244CF">
        <w:t xml:space="preserve">be provided when actual costs are incurred. </w:t>
      </w:r>
      <w:r w:rsidR="00E8649D">
        <w:t>I</w:t>
      </w:r>
      <w:r w:rsidRPr="007244CF">
        <w:t xml:space="preserve">f </w:t>
      </w:r>
      <w:r w:rsidR="00341AE4">
        <w:t>cost pressures</w:t>
      </w:r>
      <w:r w:rsidRPr="007244CF">
        <w:t xml:space="preserve"> do not materialise </w:t>
      </w:r>
      <w:r w:rsidR="005E29CF">
        <w:t xml:space="preserve">as planned </w:t>
      </w:r>
      <w:r w:rsidRPr="007244CF">
        <w:t xml:space="preserve">then </w:t>
      </w:r>
      <w:r w:rsidR="00FE7973">
        <w:t>a further prioritisation exercise will be undertaken</w:t>
      </w:r>
      <w:r w:rsidR="108983A7" w:rsidRPr="007244CF">
        <w:t>.</w:t>
      </w:r>
      <w:r w:rsidR="000339B7">
        <w:t xml:space="preserve"> </w:t>
      </w:r>
      <w:r w:rsidR="00B3532E">
        <w:t>This position will be reviewed on a monthly basis.</w:t>
      </w:r>
    </w:p>
    <w:p w14:paraId="2DC2E81E" w14:textId="77777777" w:rsidR="00AA0128" w:rsidRDefault="00AA0128" w:rsidP="27713507"/>
    <w:p w14:paraId="294F87A3" w14:textId="77777777" w:rsidR="00656705" w:rsidRPr="006F68A9" w:rsidRDefault="00656705" w:rsidP="00656705">
      <w:pPr>
        <w:pStyle w:val="ListParagraph"/>
        <w:numPr>
          <w:ilvl w:val="0"/>
          <w:numId w:val="23"/>
        </w:numPr>
        <w:ind w:left="426" w:hanging="426"/>
        <w:rPr>
          <w:rFonts w:asciiTheme="minorHAnsi" w:hAnsiTheme="minorHAnsi"/>
          <w:b/>
          <w:bCs/>
          <w:sz w:val="28"/>
          <w:szCs w:val="28"/>
        </w:rPr>
      </w:pPr>
      <w:r w:rsidRPr="006F68A9">
        <w:rPr>
          <w:rFonts w:asciiTheme="minorHAnsi" w:hAnsiTheme="minorHAnsi"/>
          <w:b/>
          <w:bCs/>
          <w:sz w:val="28"/>
          <w:szCs w:val="28"/>
        </w:rPr>
        <w:t>Our 2023/24 Revenue Plan</w:t>
      </w:r>
    </w:p>
    <w:p w14:paraId="6B134FA7" w14:textId="77777777" w:rsidR="00656705" w:rsidRPr="006F68A9" w:rsidRDefault="00656705" w:rsidP="00656705">
      <w:pPr>
        <w:pStyle w:val="NormalText"/>
        <w:rPr>
          <w:rFonts w:ascii="Verdana" w:hAnsi="Verdana"/>
        </w:rPr>
      </w:pPr>
      <w:r w:rsidRPr="006F68A9">
        <w:rPr>
          <w:rFonts w:ascii="Verdana" w:hAnsi="Verdana"/>
        </w:rPr>
        <w:t xml:space="preserve">Our 2023/24 Revenue Plan is detailed in </w:t>
      </w:r>
      <w:r w:rsidRPr="006F68A9">
        <w:rPr>
          <w:rFonts w:ascii="Verdana" w:hAnsi="Verdana"/>
          <w:b/>
          <w:bCs/>
        </w:rPr>
        <w:t xml:space="preserve">Table </w:t>
      </w:r>
      <w:r>
        <w:rPr>
          <w:rFonts w:ascii="Verdana" w:hAnsi="Verdana"/>
          <w:b/>
          <w:bCs/>
        </w:rPr>
        <w:t>10</w:t>
      </w:r>
      <w:r w:rsidRPr="006F68A9">
        <w:rPr>
          <w:rFonts w:ascii="Verdana" w:hAnsi="Verdana"/>
        </w:rPr>
        <w:t xml:space="preserve">.  This demonstrates that our financial plan is balanced.  It is based on the resource allocation and planning parameters set out in the Public Health Wales </w:t>
      </w:r>
      <w:r>
        <w:rPr>
          <w:rFonts w:ascii="Verdana" w:hAnsi="Verdana"/>
        </w:rPr>
        <w:t xml:space="preserve">Core Funding </w:t>
      </w:r>
      <w:r w:rsidRPr="006F68A9">
        <w:rPr>
          <w:rFonts w:ascii="Verdana" w:hAnsi="Verdana"/>
        </w:rPr>
        <w:t xml:space="preserve">Allocation Letter </w:t>
      </w:r>
      <w:r>
        <w:rPr>
          <w:rFonts w:ascii="Verdana" w:hAnsi="Verdana"/>
        </w:rPr>
        <w:t>dated</w:t>
      </w:r>
      <w:r w:rsidRPr="006F68A9">
        <w:rPr>
          <w:rFonts w:ascii="Verdana" w:hAnsi="Verdana"/>
        </w:rPr>
        <w:t xml:space="preserve"> </w:t>
      </w:r>
      <w:r w:rsidRPr="009C14C2">
        <w:rPr>
          <w:rFonts w:ascii="Verdana" w:hAnsi="Verdana"/>
        </w:rPr>
        <w:t>23</w:t>
      </w:r>
      <w:r w:rsidRPr="009C14C2">
        <w:rPr>
          <w:rFonts w:ascii="Verdana" w:hAnsi="Verdana"/>
          <w:vertAlign w:val="superscript"/>
        </w:rPr>
        <w:t>rd</w:t>
      </w:r>
      <w:r w:rsidRPr="006F68A9">
        <w:rPr>
          <w:rFonts w:ascii="Verdana" w:hAnsi="Verdana"/>
        </w:rPr>
        <w:t xml:space="preserve"> January 2023.</w:t>
      </w:r>
    </w:p>
    <w:p w14:paraId="5EE3B8E5" w14:textId="77777777" w:rsidR="00656705" w:rsidRPr="00656705" w:rsidRDefault="00656705" w:rsidP="00656705">
      <w:pPr>
        <w:pStyle w:val="NormalText"/>
        <w:rPr>
          <w:rFonts w:ascii="Verdana" w:hAnsi="Verdana"/>
          <w:b/>
          <w:bCs/>
        </w:rPr>
      </w:pPr>
      <w:r w:rsidRPr="00656705">
        <w:rPr>
          <w:rFonts w:ascii="Verdana" w:hAnsi="Verdana"/>
          <w:b/>
          <w:bCs/>
        </w:rPr>
        <w:t xml:space="preserve">Table </w:t>
      </w:r>
      <w:r>
        <w:rPr>
          <w:rFonts w:ascii="Verdana" w:hAnsi="Verdana"/>
          <w:b/>
          <w:bCs/>
        </w:rPr>
        <w:t>10</w:t>
      </w:r>
    </w:p>
    <w:p w14:paraId="61391383" w14:textId="0DCED5CA" w:rsidR="00656705" w:rsidRDefault="00F269A0" w:rsidP="27713507">
      <w:r w:rsidRPr="00F269A0">
        <w:rPr>
          <w:noProof/>
          <w:lang w:eastAsia="en-GB"/>
        </w:rPr>
        <w:drawing>
          <wp:inline distT="0" distB="0" distL="0" distR="0" wp14:anchorId="252A21E3" wp14:editId="4E3FDCA6">
            <wp:extent cx="5731510" cy="6815455"/>
            <wp:effectExtent l="0" t="0" r="254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6815455"/>
                    </a:xfrm>
                    <a:prstGeom prst="rect">
                      <a:avLst/>
                    </a:prstGeom>
                    <a:noFill/>
                    <a:ln>
                      <a:noFill/>
                    </a:ln>
                  </pic:spPr>
                </pic:pic>
              </a:graphicData>
            </a:graphic>
          </wp:inline>
        </w:drawing>
      </w:r>
    </w:p>
    <w:p w14:paraId="65AE7F20" w14:textId="77777777" w:rsidR="00656705" w:rsidRPr="000E7CB9" w:rsidRDefault="00656705" w:rsidP="27713507"/>
    <w:p w14:paraId="724FD619" w14:textId="77777777" w:rsidR="00AA0128" w:rsidRPr="000E7CB9" w:rsidRDefault="4B42B1EE" w:rsidP="27713507">
      <w:pPr>
        <w:pStyle w:val="ListParagraph"/>
        <w:numPr>
          <w:ilvl w:val="0"/>
          <w:numId w:val="23"/>
        </w:numPr>
        <w:rPr>
          <w:b/>
          <w:bCs/>
        </w:rPr>
      </w:pPr>
      <w:r w:rsidRPr="000E7CB9">
        <w:rPr>
          <w:b/>
          <w:bCs/>
        </w:rPr>
        <w:t>202</w:t>
      </w:r>
      <w:r w:rsidR="00B3532E">
        <w:rPr>
          <w:b/>
          <w:bCs/>
        </w:rPr>
        <w:t>3</w:t>
      </w:r>
      <w:r w:rsidRPr="000E7CB9">
        <w:rPr>
          <w:b/>
          <w:bCs/>
        </w:rPr>
        <w:t>/2</w:t>
      </w:r>
      <w:r w:rsidR="00B3532E">
        <w:rPr>
          <w:b/>
          <w:bCs/>
        </w:rPr>
        <w:t>4</w:t>
      </w:r>
      <w:r w:rsidRPr="000E7CB9">
        <w:rPr>
          <w:b/>
          <w:bCs/>
        </w:rPr>
        <w:t xml:space="preserve"> Revenue Plan by Directorate</w:t>
      </w:r>
    </w:p>
    <w:p w14:paraId="7BD5775D" w14:textId="77777777" w:rsidR="000544C4" w:rsidRDefault="3593C538" w:rsidP="27713507">
      <w:pPr>
        <w:pStyle w:val="NormalText"/>
        <w:spacing w:before="360"/>
        <w:rPr>
          <w:rFonts w:ascii="Verdana" w:hAnsi="Verdana"/>
          <w:color w:val="auto"/>
        </w:rPr>
      </w:pPr>
      <w:r w:rsidRPr="000E7CB9">
        <w:rPr>
          <w:rFonts w:ascii="Verdana" w:hAnsi="Verdana"/>
          <w:color w:val="auto"/>
        </w:rPr>
        <w:t>We manage our fin</w:t>
      </w:r>
      <w:r w:rsidR="5801A978" w:rsidRPr="000E7CB9">
        <w:rPr>
          <w:rFonts w:ascii="Verdana" w:hAnsi="Verdana"/>
          <w:color w:val="auto"/>
        </w:rPr>
        <w:t>ancial risk on a monthly basis, which includes</w:t>
      </w:r>
      <w:r w:rsidRPr="000E7CB9">
        <w:rPr>
          <w:rFonts w:ascii="Verdana" w:hAnsi="Verdana"/>
          <w:color w:val="auto"/>
        </w:rPr>
        <w:t xml:space="preserve"> scrutiny of Directorate budget</w:t>
      </w:r>
      <w:r w:rsidR="5801A978" w:rsidRPr="000E7CB9">
        <w:rPr>
          <w:rFonts w:ascii="Verdana" w:hAnsi="Verdana"/>
          <w:color w:val="auto"/>
        </w:rPr>
        <w:t>s and spending</w:t>
      </w:r>
      <w:r w:rsidRPr="000E7CB9">
        <w:rPr>
          <w:rFonts w:ascii="Verdana" w:hAnsi="Verdana"/>
          <w:color w:val="auto"/>
        </w:rPr>
        <w:t xml:space="preserve"> plans.  These</w:t>
      </w:r>
      <w:r w:rsidR="5801A978" w:rsidRPr="000E7CB9">
        <w:rPr>
          <w:rFonts w:ascii="Verdana" w:hAnsi="Verdana"/>
          <w:color w:val="auto"/>
        </w:rPr>
        <w:t xml:space="preserve"> are</w:t>
      </w:r>
      <w:r w:rsidRPr="000E7CB9">
        <w:rPr>
          <w:rFonts w:ascii="Verdana" w:hAnsi="Verdana"/>
          <w:color w:val="auto"/>
        </w:rPr>
        <w:t xml:space="preserve"> risk assessed and</w:t>
      </w:r>
      <w:r w:rsidR="000544C4">
        <w:rPr>
          <w:rFonts w:ascii="Verdana" w:hAnsi="Verdana"/>
          <w:color w:val="auto"/>
        </w:rPr>
        <w:t xml:space="preserve"> </w:t>
      </w:r>
      <w:r w:rsidRPr="000E7CB9">
        <w:rPr>
          <w:rFonts w:ascii="Verdana" w:hAnsi="Verdana"/>
          <w:color w:val="auto"/>
        </w:rPr>
        <w:t>reviewed</w:t>
      </w:r>
      <w:r w:rsidR="000544C4">
        <w:rPr>
          <w:rFonts w:ascii="Verdana" w:hAnsi="Verdana"/>
          <w:color w:val="auto"/>
        </w:rPr>
        <w:t xml:space="preserve"> quarterly</w:t>
      </w:r>
      <w:r w:rsidRPr="000E7CB9">
        <w:rPr>
          <w:rFonts w:ascii="Verdana" w:hAnsi="Verdana"/>
          <w:color w:val="auto"/>
        </w:rPr>
        <w:t xml:space="preserve"> as part of the ongoing governance and assurance framework.</w:t>
      </w:r>
    </w:p>
    <w:p w14:paraId="47511568" w14:textId="77777777" w:rsidR="007874FF" w:rsidRPr="000544C4" w:rsidRDefault="000544C4" w:rsidP="27713507">
      <w:pPr>
        <w:jc w:val="both"/>
        <w:rPr>
          <w:b/>
          <w:bCs/>
        </w:rPr>
      </w:pPr>
      <w:r w:rsidRPr="000544C4">
        <w:rPr>
          <w:b/>
          <w:bCs/>
        </w:rPr>
        <w:t>Table 1</w:t>
      </w:r>
      <w:r w:rsidR="00227825">
        <w:rPr>
          <w:b/>
          <w:bCs/>
        </w:rPr>
        <w:t>1</w:t>
      </w:r>
    </w:p>
    <w:p w14:paraId="0CAF22E8" w14:textId="7024C784" w:rsidR="006253D3" w:rsidRDefault="006253D3" w:rsidP="27713507">
      <w:pPr>
        <w:pStyle w:val="NormalText"/>
        <w:spacing w:before="0" w:after="0"/>
        <w:rPr>
          <w:rFonts w:ascii="Verdana" w:hAnsi="Verdana"/>
          <w:highlight w:val="magenta"/>
        </w:rPr>
      </w:pPr>
    </w:p>
    <w:p w14:paraId="4E06FDBA" w14:textId="77777777" w:rsidR="00F269A0" w:rsidRDefault="00F269A0" w:rsidP="27713507">
      <w:pPr>
        <w:pStyle w:val="NormalText"/>
        <w:spacing w:before="0" w:after="0"/>
        <w:rPr>
          <w:rFonts w:ascii="Verdana" w:hAnsi="Verdana"/>
          <w:highlight w:val="magenta"/>
        </w:rPr>
      </w:pPr>
    </w:p>
    <w:tbl>
      <w:tblPr>
        <w:tblW w:w="8628" w:type="dxa"/>
        <w:tblLook w:val="04A0" w:firstRow="1" w:lastRow="0" w:firstColumn="1" w:lastColumn="0" w:noHBand="0" w:noVBand="1"/>
      </w:tblPr>
      <w:tblGrid>
        <w:gridCol w:w="4796"/>
        <w:gridCol w:w="1285"/>
        <w:gridCol w:w="1308"/>
        <w:gridCol w:w="1239"/>
      </w:tblGrid>
      <w:tr w:rsidR="00F269A0" w:rsidRPr="00F269A0" w14:paraId="150F7DAD" w14:textId="77777777" w:rsidTr="00F269A0">
        <w:trPr>
          <w:trHeight w:val="189"/>
        </w:trPr>
        <w:tc>
          <w:tcPr>
            <w:tcW w:w="4796" w:type="dxa"/>
            <w:tcBorders>
              <w:top w:val="single" w:sz="8" w:space="0" w:color="000000"/>
              <w:left w:val="single" w:sz="8" w:space="0" w:color="000000"/>
              <w:bottom w:val="single" w:sz="8" w:space="0" w:color="000000"/>
              <w:right w:val="single" w:sz="8" w:space="0" w:color="000000"/>
            </w:tcBorders>
            <w:shd w:val="clear" w:color="000000" w:fill="5B9BD5"/>
            <w:vAlign w:val="center"/>
            <w:hideMark/>
          </w:tcPr>
          <w:p w14:paraId="7F8F7D29" w14:textId="77777777" w:rsidR="00F269A0" w:rsidRPr="00F269A0" w:rsidRDefault="00F269A0" w:rsidP="00F269A0">
            <w:pPr>
              <w:ind w:firstLineChars="100" w:firstLine="200"/>
              <w:rPr>
                <w:rFonts w:ascii="Calibri" w:eastAsia="Times New Roman" w:hAnsi="Calibri" w:cs="Calibri"/>
                <w:b/>
                <w:bCs/>
                <w:color w:val="FFFFFF"/>
                <w:sz w:val="20"/>
                <w:szCs w:val="20"/>
                <w:lang w:eastAsia="en-GB"/>
              </w:rPr>
            </w:pPr>
            <w:r w:rsidRPr="00F269A0">
              <w:rPr>
                <w:rFonts w:ascii="Calibri" w:eastAsia="Times New Roman" w:hAnsi="Calibri" w:cs="Calibri"/>
                <w:b/>
                <w:bCs/>
                <w:color w:val="FFFFFF"/>
                <w:sz w:val="20"/>
                <w:szCs w:val="20"/>
                <w:lang w:eastAsia="en-GB"/>
              </w:rPr>
              <w:t>Commitments</w:t>
            </w:r>
          </w:p>
        </w:tc>
        <w:tc>
          <w:tcPr>
            <w:tcW w:w="1285" w:type="dxa"/>
            <w:tcBorders>
              <w:top w:val="single" w:sz="8" w:space="0" w:color="000000"/>
              <w:left w:val="nil"/>
              <w:bottom w:val="single" w:sz="8" w:space="0" w:color="000000"/>
              <w:right w:val="single" w:sz="8" w:space="0" w:color="000000"/>
            </w:tcBorders>
            <w:shd w:val="clear" w:color="000000" w:fill="5B9BD5"/>
            <w:vAlign w:val="center"/>
            <w:hideMark/>
          </w:tcPr>
          <w:p w14:paraId="3EC185DB" w14:textId="77777777" w:rsidR="00F269A0" w:rsidRPr="00F269A0" w:rsidRDefault="00F269A0" w:rsidP="00F269A0">
            <w:pPr>
              <w:jc w:val="center"/>
              <w:rPr>
                <w:rFonts w:ascii="Calibri" w:eastAsia="Times New Roman" w:hAnsi="Calibri" w:cs="Calibri"/>
                <w:b/>
                <w:bCs/>
                <w:color w:val="FFFFFF"/>
                <w:sz w:val="20"/>
                <w:szCs w:val="20"/>
                <w:lang w:eastAsia="en-GB"/>
              </w:rPr>
            </w:pPr>
            <w:r w:rsidRPr="00F269A0">
              <w:rPr>
                <w:rFonts w:ascii="Calibri" w:eastAsia="Times New Roman" w:hAnsi="Calibri" w:cs="Calibri"/>
                <w:b/>
                <w:bCs/>
                <w:color w:val="FFFFFF"/>
                <w:sz w:val="20"/>
                <w:szCs w:val="20"/>
                <w:lang w:eastAsia="en-GB"/>
              </w:rPr>
              <w:t>Non-Pay £m</w:t>
            </w:r>
          </w:p>
        </w:tc>
        <w:tc>
          <w:tcPr>
            <w:tcW w:w="1308" w:type="dxa"/>
            <w:tcBorders>
              <w:top w:val="single" w:sz="8" w:space="0" w:color="000000"/>
              <w:left w:val="nil"/>
              <w:bottom w:val="single" w:sz="8" w:space="0" w:color="000000"/>
              <w:right w:val="single" w:sz="8" w:space="0" w:color="000000"/>
            </w:tcBorders>
            <w:shd w:val="clear" w:color="000000" w:fill="5B9BD5"/>
            <w:vAlign w:val="center"/>
            <w:hideMark/>
          </w:tcPr>
          <w:p w14:paraId="2138F50F" w14:textId="77777777" w:rsidR="00F269A0" w:rsidRPr="00F269A0" w:rsidRDefault="00F269A0" w:rsidP="00F269A0">
            <w:pPr>
              <w:jc w:val="center"/>
              <w:rPr>
                <w:rFonts w:ascii="Calibri" w:eastAsia="Times New Roman" w:hAnsi="Calibri" w:cs="Calibri"/>
                <w:b/>
                <w:bCs/>
                <w:color w:val="FFFFFF"/>
                <w:sz w:val="20"/>
                <w:szCs w:val="20"/>
                <w:lang w:eastAsia="en-GB"/>
              </w:rPr>
            </w:pPr>
            <w:r w:rsidRPr="00F269A0">
              <w:rPr>
                <w:rFonts w:ascii="Calibri" w:eastAsia="Times New Roman" w:hAnsi="Calibri" w:cs="Calibri"/>
                <w:b/>
                <w:bCs/>
                <w:color w:val="FFFFFF"/>
                <w:sz w:val="20"/>
                <w:szCs w:val="20"/>
                <w:lang w:eastAsia="en-GB"/>
              </w:rPr>
              <w:t>Pay £m</w:t>
            </w:r>
          </w:p>
        </w:tc>
        <w:tc>
          <w:tcPr>
            <w:tcW w:w="1239" w:type="dxa"/>
            <w:tcBorders>
              <w:top w:val="single" w:sz="8" w:space="0" w:color="000000"/>
              <w:left w:val="nil"/>
              <w:bottom w:val="single" w:sz="8" w:space="0" w:color="000000"/>
              <w:right w:val="single" w:sz="8" w:space="0" w:color="000000"/>
            </w:tcBorders>
            <w:shd w:val="clear" w:color="000000" w:fill="5B9BD5"/>
            <w:vAlign w:val="center"/>
            <w:hideMark/>
          </w:tcPr>
          <w:p w14:paraId="211DF367" w14:textId="77777777" w:rsidR="00F269A0" w:rsidRPr="00F269A0" w:rsidRDefault="00F269A0" w:rsidP="00F269A0">
            <w:pPr>
              <w:jc w:val="center"/>
              <w:rPr>
                <w:rFonts w:ascii="Calibri" w:eastAsia="Times New Roman" w:hAnsi="Calibri" w:cs="Calibri"/>
                <w:b/>
                <w:bCs/>
                <w:color w:val="FFFFFF"/>
                <w:sz w:val="20"/>
                <w:szCs w:val="20"/>
                <w:lang w:eastAsia="en-GB"/>
              </w:rPr>
            </w:pPr>
            <w:r w:rsidRPr="00F269A0">
              <w:rPr>
                <w:rFonts w:ascii="Calibri" w:eastAsia="Times New Roman" w:hAnsi="Calibri" w:cs="Calibri"/>
                <w:b/>
                <w:bCs/>
                <w:color w:val="FFFFFF"/>
                <w:sz w:val="20"/>
                <w:szCs w:val="20"/>
                <w:lang w:eastAsia="en-GB"/>
              </w:rPr>
              <w:t>Total £m</w:t>
            </w:r>
          </w:p>
        </w:tc>
      </w:tr>
      <w:tr w:rsidR="00F269A0" w:rsidRPr="00F269A0" w14:paraId="7680294E"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0E5525B9"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Board and Corporate</w:t>
            </w:r>
          </w:p>
        </w:tc>
        <w:tc>
          <w:tcPr>
            <w:tcW w:w="1285" w:type="dxa"/>
            <w:tcBorders>
              <w:top w:val="nil"/>
              <w:left w:val="nil"/>
              <w:bottom w:val="single" w:sz="8" w:space="0" w:color="000000"/>
              <w:right w:val="single" w:sz="8" w:space="0" w:color="000000"/>
            </w:tcBorders>
            <w:shd w:val="clear" w:color="000000" w:fill="D2DEEF"/>
            <w:vAlign w:val="center"/>
            <w:hideMark/>
          </w:tcPr>
          <w:p w14:paraId="7394F5CF"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0.084 </w:t>
            </w:r>
          </w:p>
        </w:tc>
        <w:tc>
          <w:tcPr>
            <w:tcW w:w="1308" w:type="dxa"/>
            <w:tcBorders>
              <w:top w:val="nil"/>
              <w:left w:val="nil"/>
              <w:bottom w:val="single" w:sz="8" w:space="0" w:color="000000"/>
              <w:right w:val="single" w:sz="8" w:space="0" w:color="000000"/>
            </w:tcBorders>
            <w:shd w:val="clear" w:color="000000" w:fill="D2DEEF"/>
            <w:vAlign w:val="center"/>
            <w:hideMark/>
          </w:tcPr>
          <w:p w14:paraId="34A6EA9B"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2.099 </w:t>
            </w:r>
          </w:p>
        </w:tc>
        <w:tc>
          <w:tcPr>
            <w:tcW w:w="1239" w:type="dxa"/>
            <w:tcBorders>
              <w:top w:val="nil"/>
              <w:left w:val="nil"/>
              <w:bottom w:val="single" w:sz="8" w:space="0" w:color="000000"/>
              <w:right w:val="single" w:sz="8" w:space="0" w:color="000000"/>
            </w:tcBorders>
            <w:shd w:val="clear" w:color="000000" w:fill="D2DEEF"/>
            <w:vAlign w:val="center"/>
            <w:hideMark/>
          </w:tcPr>
          <w:p w14:paraId="0282FF13"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2.184 </w:t>
            </w:r>
          </w:p>
        </w:tc>
      </w:tr>
      <w:tr w:rsidR="00F269A0" w:rsidRPr="00F269A0" w14:paraId="15EA10A3"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2DBD9864"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Central Budgets</w:t>
            </w:r>
          </w:p>
        </w:tc>
        <w:tc>
          <w:tcPr>
            <w:tcW w:w="1285" w:type="dxa"/>
            <w:tcBorders>
              <w:top w:val="nil"/>
              <w:left w:val="nil"/>
              <w:bottom w:val="single" w:sz="8" w:space="0" w:color="000000"/>
              <w:right w:val="single" w:sz="8" w:space="0" w:color="000000"/>
            </w:tcBorders>
            <w:shd w:val="clear" w:color="000000" w:fill="EAEFF7"/>
            <w:vAlign w:val="center"/>
            <w:hideMark/>
          </w:tcPr>
          <w:p w14:paraId="5D8BF2E4"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10.369 </w:t>
            </w:r>
          </w:p>
        </w:tc>
        <w:tc>
          <w:tcPr>
            <w:tcW w:w="1308" w:type="dxa"/>
            <w:tcBorders>
              <w:top w:val="nil"/>
              <w:left w:val="nil"/>
              <w:bottom w:val="single" w:sz="8" w:space="0" w:color="000000"/>
              <w:right w:val="single" w:sz="8" w:space="0" w:color="000000"/>
            </w:tcBorders>
            <w:shd w:val="clear" w:color="000000" w:fill="EAEFF7"/>
            <w:vAlign w:val="center"/>
            <w:hideMark/>
          </w:tcPr>
          <w:p w14:paraId="5CF2085E"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0.328 </w:t>
            </w:r>
          </w:p>
        </w:tc>
        <w:tc>
          <w:tcPr>
            <w:tcW w:w="1239" w:type="dxa"/>
            <w:tcBorders>
              <w:top w:val="nil"/>
              <w:left w:val="nil"/>
              <w:bottom w:val="single" w:sz="8" w:space="0" w:color="000000"/>
              <w:right w:val="single" w:sz="8" w:space="0" w:color="000000"/>
            </w:tcBorders>
            <w:shd w:val="clear" w:color="000000" w:fill="EAEFF7"/>
            <w:vAlign w:val="center"/>
            <w:hideMark/>
          </w:tcPr>
          <w:p w14:paraId="4C37DB6F"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10.697</w:t>
            </w:r>
          </w:p>
        </w:tc>
      </w:tr>
      <w:tr w:rsidR="00F269A0" w:rsidRPr="00F269A0" w14:paraId="6CF316ED"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4F8CF27D"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Operations and Finance</w:t>
            </w:r>
          </w:p>
        </w:tc>
        <w:tc>
          <w:tcPr>
            <w:tcW w:w="1285" w:type="dxa"/>
            <w:tcBorders>
              <w:top w:val="nil"/>
              <w:left w:val="nil"/>
              <w:bottom w:val="single" w:sz="8" w:space="0" w:color="000000"/>
              <w:right w:val="single" w:sz="8" w:space="0" w:color="000000"/>
            </w:tcBorders>
            <w:shd w:val="clear" w:color="000000" w:fill="D2DEEF"/>
            <w:vAlign w:val="center"/>
            <w:hideMark/>
          </w:tcPr>
          <w:p w14:paraId="6D3F84DE"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3.846 </w:t>
            </w:r>
          </w:p>
        </w:tc>
        <w:tc>
          <w:tcPr>
            <w:tcW w:w="1308" w:type="dxa"/>
            <w:tcBorders>
              <w:top w:val="nil"/>
              <w:left w:val="nil"/>
              <w:bottom w:val="single" w:sz="8" w:space="0" w:color="000000"/>
              <w:right w:val="single" w:sz="8" w:space="0" w:color="000000"/>
            </w:tcBorders>
            <w:shd w:val="clear" w:color="000000" w:fill="D2DEEF"/>
            <w:vAlign w:val="center"/>
            <w:hideMark/>
          </w:tcPr>
          <w:p w14:paraId="38D92239"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6.730 </w:t>
            </w:r>
          </w:p>
        </w:tc>
        <w:tc>
          <w:tcPr>
            <w:tcW w:w="1239" w:type="dxa"/>
            <w:tcBorders>
              <w:top w:val="nil"/>
              <w:left w:val="nil"/>
              <w:bottom w:val="single" w:sz="8" w:space="0" w:color="000000"/>
              <w:right w:val="single" w:sz="8" w:space="0" w:color="000000"/>
            </w:tcBorders>
            <w:shd w:val="clear" w:color="000000" w:fill="D2DEEF"/>
            <w:vAlign w:val="center"/>
            <w:hideMark/>
          </w:tcPr>
          <w:p w14:paraId="7D02BBFF"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10.576 </w:t>
            </w:r>
          </w:p>
        </w:tc>
      </w:tr>
      <w:tr w:rsidR="00F269A0" w:rsidRPr="00F269A0" w14:paraId="55302EDE"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44C37483"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Health and Wellbeing</w:t>
            </w:r>
          </w:p>
        </w:tc>
        <w:tc>
          <w:tcPr>
            <w:tcW w:w="1285" w:type="dxa"/>
            <w:tcBorders>
              <w:top w:val="nil"/>
              <w:left w:val="nil"/>
              <w:bottom w:val="single" w:sz="8" w:space="0" w:color="000000"/>
              <w:right w:val="single" w:sz="8" w:space="0" w:color="000000"/>
            </w:tcBorders>
            <w:shd w:val="clear" w:color="000000" w:fill="EAEFF7"/>
            <w:vAlign w:val="center"/>
            <w:hideMark/>
          </w:tcPr>
          <w:p w14:paraId="1959AD85"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10.433 </w:t>
            </w:r>
          </w:p>
        </w:tc>
        <w:tc>
          <w:tcPr>
            <w:tcW w:w="1308" w:type="dxa"/>
            <w:tcBorders>
              <w:top w:val="nil"/>
              <w:left w:val="nil"/>
              <w:bottom w:val="single" w:sz="8" w:space="0" w:color="000000"/>
              <w:right w:val="single" w:sz="8" w:space="0" w:color="000000"/>
            </w:tcBorders>
            <w:shd w:val="clear" w:color="000000" w:fill="EAEFF7"/>
            <w:vAlign w:val="center"/>
            <w:hideMark/>
          </w:tcPr>
          <w:p w14:paraId="20627852"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8.909 </w:t>
            </w:r>
          </w:p>
        </w:tc>
        <w:tc>
          <w:tcPr>
            <w:tcW w:w="1239" w:type="dxa"/>
            <w:tcBorders>
              <w:top w:val="nil"/>
              <w:left w:val="nil"/>
              <w:bottom w:val="single" w:sz="8" w:space="0" w:color="000000"/>
              <w:right w:val="single" w:sz="8" w:space="0" w:color="000000"/>
            </w:tcBorders>
            <w:shd w:val="clear" w:color="000000" w:fill="EAEFF7"/>
            <w:vAlign w:val="center"/>
            <w:hideMark/>
          </w:tcPr>
          <w:p w14:paraId="7CAEB3AF"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19.342 </w:t>
            </w:r>
          </w:p>
        </w:tc>
      </w:tr>
      <w:tr w:rsidR="00F269A0" w:rsidRPr="00F269A0" w14:paraId="21639A99"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3482E2E0" w14:textId="4912A9B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Data, Knowled</w:t>
            </w:r>
            <w:r w:rsidR="008B2513">
              <w:rPr>
                <w:rFonts w:ascii="Calibri" w:eastAsia="Times New Roman" w:hAnsi="Calibri" w:cs="Calibri"/>
                <w:color w:val="324F82"/>
                <w:sz w:val="20"/>
                <w:szCs w:val="20"/>
                <w:lang w:eastAsia="en-GB"/>
              </w:rPr>
              <w:t>g</w:t>
            </w:r>
            <w:r w:rsidRPr="00F269A0">
              <w:rPr>
                <w:rFonts w:ascii="Calibri" w:eastAsia="Times New Roman" w:hAnsi="Calibri" w:cs="Calibri"/>
                <w:color w:val="324F82"/>
                <w:sz w:val="20"/>
                <w:szCs w:val="20"/>
                <w:lang w:eastAsia="en-GB"/>
              </w:rPr>
              <w:t>e and Research</w:t>
            </w:r>
          </w:p>
        </w:tc>
        <w:tc>
          <w:tcPr>
            <w:tcW w:w="1285" w:type="dxa"/>
            <w:tcBorders>
              <w:top w:val="nil"/>
              <w:left w:val="nil"/>
              <w:bottom w:val="single" w:sz="8" w:space="0" w:color="000000"/>
              <w:right w:val="single" w:sz="8" w:space="0" w:color="000000"/>
            </w:tcBorders>
            <w:shd w:val="clear" w:color="000000" w:fill="D2DEEF"/>
            <w:vAlign w:val="center"/>
            <w:hideMark/>
          </w:tcPr>
          <w:p w14:paraId="1C467841"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0.251 </w:t>
            </w:r>
          </w:p>
        </w:tc>
        <w:tc>
          <w:tcPr>
            <w:tcW w:w="1308" w:type="dxa"/>
            <w:tcBorders>
              <w:top w:val="nil"/>
              <w:left w:val="nil"/>
              <w:bottom w:val="single" w:sz="8" w:space="0" w:color="000000"/>
              <w:right w:val="single" w:sz="8" w:space="0" w:color="000000"/>
            </w:tcBorders>
            <w:shd w:val="clear" w:color="000000" w:fill="D2DEEF"/>
            <w:vAlign w:val="center"/>
            <w:hideMark/>
          </w:tcPr>
          <w:p w14:paraId="56801706"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5.222 </w:t>
            </w:r>
          </w:p>
        </w:tc>
        <w:tc>
          <w:tcPr>
            <w:tcW w:w="1239" w:type="dxa"/>
            <w:tcBorders>
              <w:top w:val="nil"/>
              <w:left w:val="nil"/>
              <w:bottom w:val="single" w:sz="8" w:space="0" w:color="000000"/>
              <w:right w:val="single" w:sz="8" w:space="0" w:color="000000"/>
            </w:tcBorders>
            <w:shd w:val="clear" w:color="000000" w:fill="D2DEEF"/>
            <w:vAlign w:val="center"/>
            <w:hideMark/>
          </w:tcPr>
          <w:p w14:paraId="0B0030FA"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5.473 </w:t>
            </w:r>
          </w:p>
        </w:tc>
      </w:tr>
      <w:tr w:rsidR="00F269A0" w:rsidRPr="00F269A0" w14:paraId="3922A8FE"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052EA6C5"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Quality Nursing &amp; Allied Health Professionals</w:t>
            </w:r>
          </w:p>
        </w:tc>
        <w:tc>
          <w:tcPr>
            <w:tcW w:w="1285" w:type="dxa"/>
            <w:tcBorders>
              <w:top w:val="nil"/>
              <w:left w:val="nil"/>
              <w:bottom w:val="single" w:sz="8" w:space="0" w:color="000000"/>
              <w:right w:val="single" w:sz="8" w:space="0" w:color="000000"/>
            </w:tcBorders>
            <w:shd w:val="clear" w:color="000000" w:fill="EAEFF7"/>
            <w:vAlign w:val="center"/>
            <w:hideMark/>
          </w:tcPr>
          <w:p w14:paraId="69C0761B"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0.082 </w:t>
            </w:r>
          </w:p>
        </w:tc>
        <w:tc>
          <w:tcPr>
            <w:tcW w:w="1308" w:type="dxa"/>
            <w:tcBorders>
              <w:top w:val="nil"/>
              <w:left w:val="nil"/>
              <w:bottom w:val="single" w:sz="8" w:space="0" w:color="000000"/>
              <w:right w:val="single" w:sz="8" w:space="0" w:color="000000"/>
            </w:tcBorders>
            <w:shd w:val="clear" w:color="000000" w:fill="EAEFF7"/>
            <w:vAlign w:val="center"/>
            <w:hideMark/>
          </w:tcPr>
          <w:p w14:paraId="177FDFE6"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2.791 </w:t>
            </w:r>
          </w:p>
        </w:tc>
        <w:tc>
          <w:tcPr>
            <w:tcW w:w="1239" w:type="dxa"/>
            <w:tcBorders>
              <w:top w:val="nil"/>
              <w:left w:val="nil"/>
              <w:bottom w:val="single" w:sz="8" w:space="0" w:color="000000"/>
              <w:right w:val="single" w:sz="8" w:space="0" w:color="000000"/>
            </w:tcBorders>
            <w:shd w:val="clear" w:color="000000" w:fill="EAEFF7"/>
            <w:vAlign w:val="center"/>
            <w:hideMark/>
          </w:tcPr>
          <w:p w14:paraId="1FBD3839"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2.873 </w:t>
            </w:r>
          </w:p>
        </w:tc>
      </w:tr>
      <w:tr w:rsidR="00F269A0" w:rsidRPr="00F269A0" w14:paraId="2B539455"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01B9DA4A" w14:textId="77777777" w:rsidR="00F269A0" w:rsidRPr="00F269A0" w:rsidRDefault="00F269A0" w:rsidP="00F269A0">
            <w:pPr>
              <w:ind w:firstLineChars="100" w:firstLine="200"/>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Health Protection and Screening Services</w:t>
            </w:r>
          </w:p>
        </w:tc>
        <w:tc>
          <w:tcPr>
            <w:tcW w:w="1285" w:type="dxa"/>
            <w:tcBorders>
              <w:top w:val="nil"/>
              <w:left w:val="nil"/>
              <w:bottom w:val="single" w:sz="8" w:space="0" w:color="000000"/>
              <w:right w:val="single" w:sz="8" w:space="0" w:color="000000"/>
            </w:tcBorders>
            <w:shd w:val="clear" w:color="000000" w:fill="D2DEEF"/>
            <w:hideMark/>
          </w:tcPr>
          <w:p w14:paraId="51F7FD55" w14:textId="77777777" w:rsidR="00F269A0" w:rsidRPr="00F269A0" w:rsidRDefault="00F269A0" w:rsidP="00F269A0">
            <w:pPr>
              <w:ind w:firstLineChars="100" w:firstLine="220"/>
              <w:rPr>
                <w:rFonts w:ascii="Calibri" w:eastAsia="Times New Roman" w:hAnsi="Calibri" w:cs="Calibri"/>
                <w:color w:val="000000"/>
                <w:sz w:val="22"/>
                <w:lang w:eastAsia="en-GB"/>
              </w:rPr>
            </w:pPr>
            <w:r w:rsidRPr="00F269A0">
              <w:rPr>
                <w:rFonts w:ascii="Calibri" w:eastAsia="Times New Roman" w:hAnsi="Calibri" w:cs="Calibri"/>
                <w:color w:val="000000"/>
                <w:sz w:val="22"/>
                <w:lang w:eastAsia="en-GB"/>
              </w:rPr>
              <w:t> </w:t>
            </w:r>
          </w:p>
        </w:tc>
        <w:tc>
          <w:tcPr>
            <w:tcW w:w="1308" w:type="dxa"/>
            <w:tcBorders>
              <w:top w:val="nil"/>
              <w:left w:val="nil"/>
              <w:bottom w:val="single" w:sz="8" w:space="0" w:color="000000"/>
              <w:right w:val="single" w:sz="8" w:space="0" w:color="000000"/>
            </w:tcBorders>
            <w:shd w:val="clear" w:color="000000" w:fill="D2DEEF"/>
            <w:hideMark/>
          </w:tcPr>
          <w:p w14:paraId="31BE856B" w14:textId="77777777" w:rsidR="00F269A0" w:rsidRPr="00F269A0" w:rsidRDefault="00F269A0" w:rsidP="00F269A0">
            <w:pPr>
              <w:ind w:firstLineChars="100" w:firstLine="220"/>
              <w:rPr>
                <w:rFonts w:ascii="Calibri" w:eastAsia="Times New Roman" w:hAnsi="Calibri" w:cs="Calibri"/>
                <w:color w:val="000000"/>
                <w:sz w:val="22"/>
                <w:lang w:eastAsia="en-GB"/>
              </w:rPr>
            </w:pPr>
            <w:r w:rsidRPr="00F269A0">
              <w:rPr>
                <w:rFonts w:ascii="Calibri" w:eastAsia="Times New Roman" w:hAnsi="Calibri" w:cs="Calibri"/>
                <w:color w:val="000000"/>
                <w:sz w:val="22"/>
                <w:lang w:eastAsia="en-GB"/>
              </w:rPr>
              <w:t> </w:t>
            </w:r>
          </w:p>
        </w:tc>
        <w:tc>
          <w:tcPr>
            <w:tcW w:w="1239" w:type="dxa"/>
            <w:tcBorders>
              <w:top w:val="nil"/>
              <w:left w:val="nil"/>
              <w:bottom w:val="single" w:sz="8" w:space="0" w:color="000000"/>
              <w:right w:val="single" w:sz="8" w:space="0" w:color="000000"/>
            </w:tcBorders>
            <w:shd w:val="clear" w:color="000000" w:fill="D2DEEF"/>
            <w:hideMark/>
          </w:tcPr>
          <w:p w14:paraId="751114B0" w14:textId="77777777" w:rsidR="00F269A0" w:rsidRPr="00F269A0" w:rsidRDefault="00F269A0" w:rsidP="00F269A0">
            <w:pPr>
              <w:ind w:firstLineChars="100" w:firstLine="220"/>
              <w:rPr>
                <w:rFonts w:ascii="Calibri" w:eastAsia="Times New Roman" w:hAnsi="Calibri" w:cs="Calibri"/>
                <w:color w:val="000000"/>
                <w:sz w:val="22"/>
                <w:lang w:eastAsia="en-GB"/>
              </w:rPr>
            </w:pPr>
            <w:r w:rsidRPr="00F269A0">
              <w:rPr>
                <w:rFonts w:ascii="Calibri" w:eastAsia="Times New Roman" w:hAnsi="Calibri" w:cs="Calibri"/>
                <w:color w:val="000000"/>
                <w:sz w:val="22"/>
                <w:lang w:eastAsia="en-GB"/>
              </w:rPr>
              <w:t> </w:t>
            </w:r>
          </w:p>
        </w:tc>
      </w:tr>
      <w:tr w:rsidR="00F269A0" w:rsidRPr="00F269A0" w14:paraId="6E843512"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406E460A"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Health Protection Division</w:t>
            </w:r>
          </w:p>
        </w:tc>
        <w:tc>
          <w:tcPr>
            <w:tcW w:w="1285" w:type="dxa"/>
            <w:tcBorders>
              <w:top w:val="nil"/>
              <w:left w:val="nil"/>
              <w:bottom w:val="single" w:sz="8" w:space="0" w:color="000000"/>
              <w:right w:val="single" w:sz="8" w:space="0" w:color="000000"/>
            </w:tcBorders>
            <w:shd w:val="clear" w:color="000000" w:fill="EAEFF7"/>
            <w:vAlign w:val="center"/>
            <w:hideMark/>
          </w:tcPr>
          <w:p w14:paraId="6181BA35"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4.109 </w:t>
            </w:r>
          </w:p>
        </w:tc>
        <w:tc>
          <w:tcPr>
            <w:tcW w:w="1308" w:type="dxa"/>
            <w:tcBorders>
              <w:top w:val="nil"/>
              <w:left w:val="nil"/>
              <w:bottom w:val="single" w:sz="8" w:space="0" w:color="000000"/>
              <w:right w:val="single" w:sz="8" w:space="0" w:color="000000"/>
            </w:tcBorders>
            <w:shd w:val="clear" w:color="000000" w:fill="EAEFF7"/>
            <w:vAlign w:val="center"/>
            <w:hideMark/>
          </w:tcPr>
          <w:p w14:paraId="48D17585"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12.005 </w:t>
            </w:r>
          </w:p>
        </w:tc>
        <w:tc>
          <w:tcPr>
            <w:tcW w:w="1239" w:type="dxa"/>
            <w:tcBorders>
              <w:top w:val="nil"/>
              <w:left w:val="nil"/>
              <w:bottom w:val="single" w:sz="8" w:space="0" w:color="000000"/>
              <w:right w:val="single" w:sz="8" w:space="0" w:color="000000"/>
            </w:tcBorders>
            <w:shd w:val="clear" w:color="000000" w:fill="EAEFF7"/>
            <w:vAlign w:val="center"/>
            <w:hideMark/>
          </w:tcPr>
          <w:p w14:paraId="2696493B"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16.114 </w:t>
            </w:r>
          </w:p>
        </w:tc>
      </w:tr>
      <w:tr w:rsidR="00F269A0" w:rsidRPr="00F269A0" w14:paraId="6F660DB6"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60F4EF2B"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HPSS Corporate Division</w:t>
            </w:r>
          </w:p>
        </w:tc>
        <w:tc>
          <w:tcPr>
            <w:tcW w:w="1285" w:type="dxa"/>
            <w:tcBorders>
              <w:top w:val="nil"/>
              <w:left w:val="nil"/>
              <w:bottom w:val="single" w:sz="8" w:space="0" w:color="000000"/>
              <w:right w:val="single" w:sz="8" w:space="0" w:color="000000"/>
            </w:tcBorders>
            <w:shd w:val="clear" w:color="000000" w:fill="D2DEEF"/>
            <w:vAlign w:val="center"/>
            <w:hideMark/>
          </w:tcPr>
          <w:p w14:paraId="2F8839BC"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0.091 </w:t>
            </w:r>
          </w:p>
        </w:tc>
        <w:tc>
          <w:tcPr>
            <w:tcW w:w="1308" w:type="dxa"/>
            <w:tcBorders>
              <w:top w:val="nil"/>
              <w:left w:val="nil"/>
              <w:bottom w:val="single" w:sz="8" w:space="0" w:color="000000"/>
              <w:right w:val="single" w:sz="8" w:space="0" w:color="000000"/>
            </w:tcBorders>
            <w:shd w:val="clear" w:color="000000" w:fill="D2DEEF"/>
            <w:vAlign w:val="center"/>
            <w:hideMark/>
          </w:tcPr>
          <w:p w14:paraId="181BB778"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0.586 </w:t>
            </w:r>
          </w:p>
        </w:tc>
        <w:tc>
          <w:tcPr>
            <w:tcW w:w="1239" w:type="dxa"/>
            <w:tcBorders>
              <w:top w:val="nil"/>
              <w:left w:val="nil"/>
              <w:bottom w:val="single" w:sz="8" w:space="0" w:color="000000"/>
              <w:right w:val="single" w:sz="8" w:space="0" w:color="000000"/>
            </w:tcBorders>
            <w:shd w:val="clear" w:color="000000" w:fill="D2DEEF"/>
            <w:vAlign w:val="center"/>
            <w:hideMark/>
          </w:tcPr>
          <w:p w14:paraId="7A5A25B8"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0.677 </w:t>
            </w:r>
          </w:p>
        </w:tc>
      </w:tr>
      <w:tr w:rsidR="00F269A0" w:rsidRPr="00F269A0" w14:paraId="34C84AFD"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3928E159"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Microbiology Division</w:t>
            </w:r>
          </w:p>
        </w:tc>
        <w:tc>
          <w:tcPr>
            <w:tcW w:w="1285" w:type="dxa"/>
            <w:tcBorders>
              <w:top w:val="nil"/>
              <w:left w:val="nil"/>
              <w:bottom w:val="single" w:sz="8" w:space="0" w:color="000000"/>
              <w:right w:val="single" w:sz="8" w:space="0" w:color="000000"/>
            </w:tcBorders>
            <w:shd w:val="clear" w:color="000000" w:fill="EAEFF7"/>
            <w:vAlign w:val="center"/>
            <w:hideMark/>
          </w:tcPr>
          <w:p w14:paraId="7059F243"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14.412 </w:t>
            </w:r>
          </w:p>
        </w:tc>
        <w:tc>
          <w:tcPr>
            <w:tcW w:w="1308" w:type="dxa"/>
            <w:tcBorders>
              <w:top w:val="nil"/>
              <w:left w:val="nil"/>
              <w:bottom w:val="single" w:sz="8" w:space="0" w:color="000000"/>
              <w:right w:val="single" w:sz="8" w:space="0" w:color="000000"/>
            </w:tcBorders>
            <w:shd w:val="clear" w:color="000000" w:fill="EAEFF7"/>
            <w:vAlign w:val="center"/>
            <w:hideMark/>
          </w:tcPr>
          <w:p w14:paraId="45AFF9DD"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31.334 </w:t>
            </w:r>
          </w:p>
        </w:tc>
        <w:tc>
          <w:tcPr>
            <w:tcW w:w="1239" w:type="dxa"/>
            <w:tcBorders>
              <w:top w:val="nil"/>
              <w:left w:val="nil"/>
              <w:bottom w:val="single" w:sz="8" w:space="0" w:color="000000"/>
              <w:right w:val="single" w:sz="8" w:space="0" w:color="000000"/>
            </w:tcBorders>
            <w:shd w:val="clear" w:color="000000" w:fill="EAEFF7"/>
            <w:vAlign w:val="center"/>
            <w:hideMark/>
          </w:tcPr>
          <w:p w14:paraId="0B116124"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45.746 </w:t>
            </w:r>
          </w:p>
        </w:tc>
      </w:tr>
      <w:tr w:rsidR="00F269A0" w:rsidRPr="00F269A0" w14:paraId="314AB3F2"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02F1AC7F"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Screening Division</w:t>
            </w:r>
          </w:p>
        </w:tc>
        <w:tc>
          <w:tcPr>
            <w:tcW w:w="1285" w:type="dxa"/>
            <w:tcBorders>
              <w:top w:val="nil"/>
              <w:left w:val="nil"/>
              <w:bottom w:val="single" w:sz="8" w:space="0" w:color="000000"/>
              <w:right w:val="single" w:sz="8" w:space="0" w:color="000000"/>
            </w:tcBorders>
            <w:shd w:val="clear" w:color="000000" w:fill="D2DEEF"/>
            <w:vAlign w:val="center"/>
            <w:hideMark/>
          </w:tcPr>
          <w:p w14:paraId="0C733CC9"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23.685 </w:t>
            </w:r>
          </w:p>
        </w:tc>
        <w:tc>
          <w:tcPr>
            <w:tcW w:w="1308" w:type="dxa"/>
            <w:tcBorders>
              <w:top w:val="nil"/>
              <w:left w:val="nil"/>
              <w:bottom w:val="single" w:sz="8" w:space="0" w:color="000000"/>
              <w:right w:val="single" w:sz="8" w:space="0" w:color="000000"/>
            </w:tcBorders>
            <w:shd w:val="clear" w:color="000000" w:fill="D2DEEF"/>
            <w:vAlign w:val="center"/>
            <w:hideMark/>
          </w:tcPr>
          <w:p w14:paraId="3BEFAAC9"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22.697 </w:t>
            </w:r>
          </w:p>
        </w:tc>
        <w:tc>
          <w:tcPr>
            <w:tcW w:w="1239" w:type="dxa"/>
            <w:tcBorders>
              <w:top w:val="nil"/>
              <w:left w:val="nil"/>
              <w:bottom w:val="single" w:sz="8" w:space="0" w:color="000000"/>
              <w:right w:val="single" w:sz="8" w:space="0" w:color="000000"/>
            </w:tcBorders>
            <w:shd w:val="clear" w:color="000000" w:fill="D2DEEF"/>
            <w:vAlign w:val="center"/>
            <w:hideMark/>
          </w:tcPr>
          <w:p w14:paraId="7477C197"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46.382 </w:t>
            </w:r>
          </w:p>
        </w:tc>
      </w:tr>
      <w:tr w:rsidR="00F269A0" w:rsidRPr="00F269A0" w14:paraId="3265A486"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19E60895"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SPRs Division</w:t>
            </w:r>
          </w:p>
        </w:tc>
        <w:tc>
          <w:tcPr>
            <w:tcW w:w="1285" w:type="dxa"/>
            <w:tcBorders>
              <w:top w:val="nil"/>
              <w:left w:val="nil"/>
              <w:bottom w:val="single" w:sz="8" w:space="0" w:color="000000"/>
              <w:right w:val="single" w:sz="8" w:space="0" w:color="000000"/>
            </w:tcBorders>
            <w:shd w:val="clear" w:color="000000" w:fill="EAEFF7"/>
            <w:vAlign w:val="center"/>
            <w:hideMark/>
          </w:tcPr>
          <w:p w14:paraId="28E4026A"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0.053 </w:t>
            </w:r>
          </w:p>
        </w:tc>
        <w:tc>
          <w:tcPr>
            <w:tcW w:w="1308" w:type="dxa"/>
            <w:tcBorders>
              <w:top w:val="nil"/>
              <w:left w:val="nil"/>
              <w:bottom w:val="single" w:sz="8" w:space="0" w:color="000000"/>
              <w:right w:val="single" w:sz="8" w:space="0" w:color="000000"/>
            </w:tcBorders>
            <w:shd w:val="clear" w:color="000000" w:fill="EAEFF7"/>
            <w:vAlign w:val="center"/>
            <w:hideMark/>
          </w:tcPr>
          <w:p w14:paraId="4E3D5E85"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1.364 </w:t>
            </w:r>
          </w:p>
        </w:tc>
        <w:tc>
          <w:tcPr>
            <w:tcW w:w="1239" w:type="dxa"/>
            <w:tcBorders>
              <w:top w:val="nil"/>
              <w:left w:val="nil"/>
              <w:bottom w:val="single" w:sz="8" w:space="0" w:color="000000"/>
              <w:right w:val="single" w:sz="8" w:space="0" w:color="000000"/>
            </w:tcBorders>
            <w:shd w:val="clear" w:color="000000" w:fill="EAEFF7"/>
            <w:vAlign w:val="center"/>
            <w:hideMark/>
          </w:tcPr>
          <w:p w14:paraId="235FEF22"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1.416 </w:t>
            </w:r>
          </w:p>
        </w:tc>
      </w:tr>
      <w:tr w:rsidR="00F269A0" w:rsidRPr="00F269A0" w14:paraId="6EAF7354"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006572DD" w14:textId="77777777" w:rsidR="00F269A0" w:rsidRPr="00F269A0" w:rsidRDefault="00F269A0" w:rsidP="00F269A0">
            <w:pPr>
              <w:ind w:firstLineChars="100" w:firstLine="200"/>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Total Health Protection and Screening Services</w:t>
            </w:r>
          </w:p>
        </w:tc>
        <w:tc>
          <w:tcPr>
            <w:tcW w:w="1285" w:type="dxa"/>
            <w:tcBorders>
              <w:top w:val="nil"/>
              <w:left w:val="nil"/>
              <w:bottom w:val="single" w:sz="8" w:space="0" w:color="000000"/>
              <w:right w:val="single" w:sz="8" w:space="0" w:color="000000"/>
            </w:tcBorders>
            <w:shd w:val="clear" w:color="000000" w:fill="D2DEEF"/>
            <w:vAlign w:val="center"/>
            <w:hideMark/>
          </w:tcPr>
          <w:p w14:paraId="4EF43504" w14:textId="77777777" w:rsidR="00F269A0" w:rsidRPr="00F269A0" w:rsidRDefault="00F269A0" w:rsidP="00F269A0">
            <w:pPr>
              <w:ind w:firstLineChars="100" w:firstLine="200"/>
              <w:jc w:val="right"/>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 xml:space="preserve">      42.350 </w:t>
            </w:r>
          </w:p>
        </w:tc>
        <w:tc>
          <w:tcPr>
            <w:tcW w:w="1308" w:type="dxa"/>
            <w:tcBorders>
              <w:top w:val="nil"/>
              <w:left w:val="nil"/>
              <w:bottom w:val="single" w:sz="8" w:space="0" w:color="000000"/>
              <w:right w:val="single" w:sz="8" w:space="0" w:color="000000"/>
            </w:tcBorders>
            <w:shd w:val="clear" w:color="000000" w:fill="D2DEEF"/>
            <w:vAlign w:val="center"/>
            <w:hideMark/>
          </w:tcPr>
          <w:p w14:paraId="09A2C528" w14:textId="77777777" w:rsidR="00F269A0" w:rsidRPr="00F269A0" w:rsidRDefault="00F269A0" w:rsidP="00F269A0">
            <w:pPr>
              <w:ind w:firstLineChars="100" w:firstLine="200"/>
              <w:jc w:val="right"/>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 xml:space="preserve">       67.986 </w:t>
            </w:r>
          </w:p>
        </w:tc>
        <w:tc>
          <w:tcPr>
            <w:tcW w:w="1239" w:type="dxa"/>
            <w:tcBorders>
              <w:top w:val="nil"/>
              <w:left w:val="nil"/>
              <w:bottom w:val="single" w:sz="8" w:space="0" w:color="000000"/>
              <w:right w:val="single" w:sz="8" w:space="0" w:color="000000"/>
            </w:tcBorders>
            <w:shd w:val="clear" w:color="000000" w:fill="D2DEEF"/>
            <w:vAlign w:val="center"/>
            <w:hideMark/>
          </w:tcPr>
          <w:p w14:paraId="44724435" w14:textId="77777777" w:rsidR="00F269A0" w:rsidRPr="00F269A0" w:rsidRDefault="00F269A0" w:rsidP="00F269A0">
            <w:pPr>
              <w:ind w:firstLineChars="100" w:firstLine="200"/>
              <w:jc w:val="right"/>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 xml:space="preserve">   110.336 </w:t>
            </w:r>
          </w:p>
        </w:tc>
      </w:tr>
      <w:tr w:rsidR="00F269A0" w:rsidRPr="00F269A0" w14:paraId="4E0F8630"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5BE841B2"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Improvement Cymru</w:t>
            </w:r>
          </w:p>
        </w:tc>
        <w:tc>
          <w:tcPr>
            <w:tcW w:w="1285" w:type="dxa"/>
            <w:tcBorders>
              <w:top w:val="nil"/>
              <w:left w:val="nil"/>
              <w:bottom w:val="single" w:sz="8" w:space="0" w:color="000000"/>
              <w:right w:val="single" w:sz="8" w:space="0" w:color="000000"/>
            </w:tcBorders>
            <w:shd w:val="clear" w:color="000000" w:fill="EAEFF7"/>
            <w:vAlign w:val="center"/>
            <w:hideMark/>
          </w:tcPr>
          <w:p w14:paraId="782D1DF5"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1.955 </w:t>
            </w:r>
          </w:p>
        </w:tc>
        <w:tc>
          <w:tcPr>
            <w:tcW w:w="1308" w:type="dxa"/>
            <w:tcBorders>
              <w:top w:val="nil"/>
              <w:left w:val="nil"/>
              <w:bottom w:val="single" w:sz="8" w:space="0" w:color="000000"/>
              <w:right w:val="single" w:sz="8" w:space="0" w:color="000000"/>
            </w:tcBorders>
            <w:shd w:val="clear" w:color="000000" w:fill="EAEFF7"/>
            <w:vAlign w:val="center"/>
            <w:hideMark/>
          </w:tcPr>
          <w:p w14:paraId="75E3271A"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6.289 </w:t>
            </w:r>
          </w:p>
        </w:tc>
        <w:tc>
          <w:tcPr>
            <w:tcW w:w="1239" w:type="dxa"/>
            <w:tcBorders>
              <w:top w:val="nil"/>
              <w:left w:val="nil"/>
              <w:bottom w:val="single" w:sz="8" w:space="0" w:color="000000"/>
              <w:right w:val="single" w:sz="8" w:space="0" w:color="000000"/>
            </w:tcBorders>
            <w:shd w:val="clear" w:color="000000" w:fill="EAEFF7"/>
            <w:vAlign w:val="center"/>
            <w:hideMark/>
          </w:tcPr>
          <w:p w14:paraId="26600E40"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8.244 </w:t>
            </w:r>
          </w:p>
        </w:tc>
      </w:tr>
      <w:tr w:rsidR="00F269A0" w:rsidRPr="00F269A0" w14:paraId="4CC7C66B"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449BD094"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People and Organisational Development</w:t>
            </w:r>
          </w:p>
        </w:tc>
        <w:tc>
          <w:tcPr>
            <w:tcW w:w="1285" w:type="dxa"/>
            <w:tcBorders>
              <w:top w:val="nil"/>
              <w:left w:val="nil"/>
              <w:bottom w:val="single" w:sz="8" w:space="0" w:color="000000"/>
              <w:right w:val="single" w:sz="8" w:space="0" w:color="000000"/>
            </w:tcBorders>
            <w:shd w:val="clear" w:color="000000" w:fill="D2DEEF"/>
            <w:vAlign w:val="center"/>
            <w:hideMark/>
          </w:tcPr>
          <w:p w14:paraId="289DA23F"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0.418 </w:t>
            </w:r>
          </w:p>
        </w:tc>
        <w:tc>
          <w:tcPr>
            <w:tcW w:w="1308" w:type="dxa"/>
            <w:tcBorders>
              <w:top w:val="nil"/>
              <w:left w:val="nil"/>
              <w:bottom w:val="single" w:sz="8" w:space="0" w:color="000000"/>
              <w:right w:val="single" w:sz="8" w:space="0" w:color="000000"/>
            </w:tcBorders>
            <w:shd w:val="clear" w:color="000000" w:fill="D2DEEF"/>
            <w:vAlign w:val="center"/>
            <w:hideMark/>
          </w:tcPr>
          <w:p w14:paraId="4266149E"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1.770 </w:t>
            </w:r>
          </w:p>
        </w:tc>
        <w:tc>
          <w:tcPr>
            <w:tcW w:w="1239" w:type="dxa"/>
            <w:tcBorders>
              <w:top w:val="nil"/>
              <w:left w:val="nil"/>
              <w:bottom w:val="single" w:sz="8" w:space="0" w:color="000000"/>
              <w:right w:val="single" w:sz="8" w:space="0" w:color="000000"/>
            </w:tcBorders>
            <w:shd w:val="clear" w:color="000000" w:fill="D2DEEF"/>
            <w:vAlign w:val="center"/>
            <w:hideMark/>
          </w:tcPr>
          <w:p w14:paraId="6131C10C"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2.188 </w:t>
            </w:r>
          </w:p>
        </w:tc>
      </w:tr>
      <w:tr w:rsidR="00F269A0" w:rsidRPr="00F269A0" w14:paraId="6E7C5C32"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2713E7A4"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WHO Collaborating Centre</w:t>
            </w:r>
          </w:p>
        </w:tc>
        <w:tc>
          <w:tcPr>
            <w:tcW w:w="1285" w:type="dxa"/>
            <w:tcBorders>
              <w:top w:val="nil"/>
              <w:left w:val="nil"/>
              <w:bottom w:val="single" w:sz="8" w:space="0" w:color="000000"/>
              <w:right w:val="single" w:sz="8" w:space="0" w:color="000000"/>
            </w:tcBorders>
            <w:shd w:val="clear" w:color="000000" w:fill="EAEFF7"/>
            <w:vAlign w:val="center"/>
            <w:hideMark/>
          </w:tcPr>
          <w:p w14:paraId="41AA4037"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0.418 </w:t>
            </w:r>
          </w:p>
        </w:tc>
        <w:tc>
          <w:tcPr>
            <w:tcW w:w="1308" w:type="dxa"/>
            <w:tcBorders>
              <w:top w:val="nil"/>
              <w:left w:val="nil"/>
              <w:bottom w:val="single" w:sz="8" w:space="0" w:color="000000"/>
              <w:right w:val="single" w:sz="8" w:space="0" w:color="000000"/>
            </w:tcBorders>
            <w:shd w:val="clear" w:color="000000" w:fill="EAEFF7"/>
            <w:vAlign w:val="center"/>
            <w:hideMark/>
          </w:tcPr>
          <w:p w14:paraId="3B6E5C51"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3.136 </w:t>
            </w:r>
          </w:p>
        </w:tc>
        <w:tc>
          <w:tcPr>
            <w:tcW w:w="1239" w:type="dxa"/>
            <w:tcBorders>
              <w:top w:val="nil"/>
              <w:left w:val="nil"/>
              <w:bottom w:val="single" w:sz="8" w:space="0" w:color="000000"/>
              <w:right w:val="single" w:sz="8" w:space="0" w:color="000000"/>
            </w:tcBorders>
            <w:shd w:val="clear" w:color="000000" w:fill="EAEFF7"/>
            <w:vAlign w:val="center"/>
            <w:hideMark/>
          </w:tcPr>
          <w:p w14:paraId="13D85D34"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3.554 </w:t>
            </w:r>
          </w:p>
        </w:tc>
      </w:tr>
      <w:tr w:rsidR="00F269A0" w:rsidRPr="00F269A0" w14:paraId="69C3B704"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33E9CEDE"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COVID-19 Response</w:t>
            </w:r>
          </w:p>
        </w:tc>
        <w:tc>
          <w:tcPr>
            <w:tcW w:w="1285" w:type="dxa"/>
            <w:tcBorders>
              <w:top w:val="nil"/>
              <w:left w:val="nil"/>
              <w:bottom w:val="single" w:sz="8" w:space="0" w:color="000000"/>
              <w:right w:val="single" w:sz="8" w:space="0" w:color="000000"/>
            </w:tcBorders>
            <w:shd w:val="clear" w:color="000000" w:fill="D2DEEF"/>
            <w:vAlign w:val="center"/>
            <w:hideMark/>
          </w:tcPr>
          <w:p w14:paraId="2BB1F949"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14.308 </w:t>
            </w:r>
          </w:p>
        </w:tc>
        <w:tc>
          <w:tcPr>
            <w:tcW w:w="1308" w:type="dxa"/>
            <w:tcBorders>
              <w:top w:val="nil"/>
              <w:left w:val="nil"/>
              <w:bottom w:val="single" w:sz="8" w:space="0" w:color="000000"/>
              <w:right w:val="single" w:sz="8" w:space="0" w:color="000000"/>
            </w:tcBorders>
            <w:shd w:val="clear" w:color="000000" w:fill="D2DEEF"/>
            <w:vAlign w:val="center"/>
            <w:hideMark/>
          </w:tcPr>
          <w:p w14:paraId="65B528CE"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2.622 </w:t>
            </w:r>
          </w:p>
        </w:tc>
        <w:tc>
          <w:tcPr>
            <w:tcW w:w="1239" w:type="dxa"/>
            <w:tcBorders>
              <w:top w:val="nil"/>
              <w:left w:val="nil"/>
              <w:bottom w:val="single" w:sz="8" w:space="0" w:color="000000"/>
              <w:right w:val="single" w:sz="8" w:space="0" w:color="000000"/>
            </w:tcBorders>
            <w:shd w:val="clear" w:color="000000" w:fill="D2DEEF"/>
            <w:vAlign w:val="center"/>
            <w:hideMark/>
          </w:tcPr>
          <w:p w14:paraId="71EB4505"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xml:space="preserve">     16.930 </w:t>
            </w:r>
          </w:p>
        </w:tc>
      </w:tr>
      <w:tr w:rsidR="00F269A0" w:rsidRPr="00F269A0" w14:paraId="48ED7219"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EAEFF7"/>
            <w:vAlign w:val="center"/>
            <w:hideMark/>
          </w:tcPr>
          <w:p w14:paraId="14510B5E" w14:textId="77777777" w:rsidR="00F269A0" w:rsidRPr="00F269A0" w:rsidRDefault="00F269A0" w:rsidP="00F269A0">
            <w:pPr>
              <w:ind w:firstLineChars="100" w:firstLine="200"/>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w:t>
            </w:r>
          </w:p>
        </w:tc>
        <w:tc>
          <w:tcPr>
            <w:tcW w:w="1285" w:type="dxa"/>
            <w:tcBorders>
              <w:top w:val="nil"/>
              <w:left w:val="nil"/>
              <w:bottom w:val="single" w:sz="8" w:space="0" w:color="000000"/>
              <w:right w:val="single" w:sz="8" w:space="0" w:color="000000"/>
            </w:tcBorders>
            <w:shd w:val="clear" w:color="000000" w:fill="EAEFF7"/>
            <w:vAlign w:val="center"/>
            <w:hideMark/>
          </w:tcPr>
          <w:p w14:paraId="042DD2BE"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w:t>
            </w:r>
          </w:p>
        </w:tc>
        <w:tc>
          <w:tcPr>
            <w:tcW w:w="1308" w:type="dxa"/>
            <w:tcBorders>
              <w:top w:val="nil"/>
              <w:left w:val="nil"/>
              <w:bottom w:val="single" w:sz="8" w:space="0" w:color="000000"/>
              <w:right w:val="single" w:sz="8" w:space="0" w:color="000000"/>
            </w:tcBorders>
            <w:shd w:val="clear" w:color="000000" w:fill="EAEFF7"/>
            <w:vAlign w:val="center"/>
            <w:hideMark/>
          </w:tcPr>
          <w:p w14:paraId="6CFA8256"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w:t>
            </w:r>
          </w:p>
        </w:tc>
        <w:tc>
          <w:tcPr>
            <w:tcW w:w="1239" w:type="dxa"/>
            <w:tcBorders>
              <w:top w:val="nil"/>
              <w:left w:val="nil"/>
              <w:bottom w:val="single" w:sz="8" w:space="0" w:color="000000"/>
              <w:right w:val="single" w:sz="8" w:space="0" w:color="000000"/>
            </w:tcBorders>
            <w:shd w:val="clear" w:color="000000" w:fill="EAEFF7"/>
            <w:vAlign w:val="center"/>
            <w:hideMark/>
          </w:tcPr>
          <w:p w14:paraId="616709BD" w14:textId="77777777" w:rsidR="00F269A0" w:rsidRPr="00F269A0" w:rsidRDefault="00F269A0" w:rsidP="00F269A0">
            <w:pPr>
              <w:ind w:firstLineChars="100" w:firstLine="200"/>
              <w:jc w:val="right"/>
              <w:rPr>
                <w:rFonts w:ascii="Calibri" w:eastAsia="Times New Roman" w:hAnsi="Calibri" w:cs="Calibri"/>
                <w:color w:val="324F82"/>
                <w:sz w:val="20"/>
                <w:szCs w:val="20"/>
                <w:lang w:eastAsia="en-GB"/>
              </w:rPr>
            </w:pPr>
            <w:r w:rsidRPr="00F269A0">
              <w:rPr>
                <w:rFonts w:ascii="Calibri" w:eastAsia="Times New Roman" w:hAnsi="Calibri" w:cs="Calibri"/>
                <w:color w:val="324F82"/>
                <w:sz w:val="20"/>
                <w:szCs w:val="20"/>
                <w:lang w:eastAsia="en-GB"/>
              </w:rPr>
              <w:t> </w:t>
            </w:r>
          </w:p>
        </w:tc>
      </w:tr>
      <w:tr w:rsidR="00F269A0" w:rsidRPr="00F269A0" w14:paraId="28BA1FC2" w14:textId="77777777" w:rsidTr="00F269A0">
        <w:trPr>
          <w:trHeight w:val="189"/>
        </w:trPr>
        <w:tc>
          <w:tcPr>
            <w:tcW w:w="4796" w:type="dxa"/>
            <w:tcBorders>
              <w:top w:val="nil"/>
              <w:left w:val="single" w:sz="8" w:space="0" w:color="000000"/>
              <w:bottom w:val="single" w:sz="8" w:space="0" w:color="000000"/>
              <w:right w:val="single" w:sz="8" w:space="0" w:color="000000"/>
            </w:tcBorders>
            <w:shd w:val="clear" w:color="000000" w:fill="D2DEEF"/>
            <w:vAlign w:val="center"/>
            <w:hideMark/>
          </w:tcPr>
          <w:p w14:paraId="583F0C23" w14:textId="77777777" w:rsidR="00F269A0" w:rsidRPr="00F269A0" w:rsidRDefault="00F269A0" w:rsidP="00F269A0">
            <w:pPr>
              <w:ind w:firstLineChars="100" w:firstLine="200"/>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Total</w:t>
            </w:r>
          </w:p>
        </w:tc>
        <w:tc>
          <w:tcPr>
            <w:tcW w:w="1285" w:type="dxa"/>
            <w:tcBorders>
              <w:top w:val="nil"/>
              <w:left w:val="nil"/>
              <w:bottom w:val="single" w:sz="8" w:space="0" w:color="000000"/>
              <w:right w:val="single" w:sz="8" w:space="0" w:color="000000"/>
            </w:tcBorders>
            <w:shd w:val="clear" w:color="000000" w:fill="D2DEEF"/>
            <w:vAlign w:val="center"/>
            <w:hideMark/>
          </w:tcPr>
          <w:p w14:paraId="05C17981" w14:textId="77777777" w:rsidR="00F269A0" w:rsidRPr="00F269A0" w:rsidRDefault="00F269A0" w:rsidP="00F269A0">
            <w:pPr>
              <w:ind w:firstLineChars="100" w:firstLine="200"/>
              <w:jc w:val="right"/>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 xml:space="preserve">      84.514 </w:t>
            </w:r>
          </w:p>
        </w:tc>
        <w:tc>
          <w:tcPr>
            <w:tcW w:w="1308" w:type="dxa"/>
            <w:tcBorders>
              <w:top w:val="nil"/>
              <w:left w:val="nil"/>
              <w:bottom w:val="single" w:sz="8" w:space="0" w:color="000000"/>
              <w:right w:val="single" w:sz="8" w:space="0" w:color="000000"/>
            </w:tcBorders>
            <w:shd w:val="clear" w:color="000000" w:fill="D2DEEF"/>
            <w:vAlign w:val="center"/>
            <w:hideMark/>
          </w:tcPr>
          <w:p w14:paraId="6A5EF4B8" w14:textId="77777777" w:rsidR="00F269A0" w:rsidRPr="00F269A0" w:rsidRDefault="00F269A0" w:rsidP="00F269A0">
            <w:pPr>
              <w:ind w:firstLineChars="100" w:firstLine="200"/>
              <w:jc w:val="right"/>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 xml:space="preserve">    107.882 </w:t>
            </w:r>
          </w:p>
        </w:tc>
        <w:tc>
          <w:tcPr>
            <w:tcW w:w="1239" w:type="dxa"/>
            <w:tcBorders>
              <w:top w:val="nil"/>
              <w:left w:val="nil"/>
              <w:bottom w:val="single" w:sz="8" w:space="0" w:color="000000"/>
              <w:right w:val="single" w:sz="8" w:space="0" w:color="000000"/>
            </w:tcBorders>
            <w:shd w:val="clear" w:color="000000" w:fill="D2DEEF"/>
            <w:vAlign w:val="center"/>
            <w:hideMark/>
          </w:tcPr>
          <w:p w14:paraId="57DF3326" w14:textId="77777777" w:rsidR="00F269A0" w:rsidRPr="00F269A0" w:rsidRDefault="00F269A0" w:rsidP="00F269A0">
            <w:pPr>
              <w:ind w:firstLineChars="100" w:firstLine="200"/>
              <w:jc w:val="right"/>
              <w:rPr>
                <w:rFonts w:ascii="Calibri" w:eastAsia="Times New Roman" w:hAnsi="Calibri" w:cs="Calibri"/>
                <w:b/>
                <w:bCs/>
                <w:color w:val="324F82"/>
                <w:sz w:val="20"/>
                <w:szCs w:val="20"/>
                <w:lang w:eastAsia="en-GB"/>
              </w:rPr>
            </w:pPr>
            <w:r w:rsidRPr="00F269A0">
              <w:rPr>
                <w:rFonts w:ascii="Calibri" w:eastAsia="Times New Roman" w:hAnsi="Calibri" w:cs="Calibri"/>
                <w:b/>
                <w:bCs/>
                <w:color w:val="324F82"/>
                <w:sz w:val="20"/>
                <w:szCs w:val="20"/>
                <w:lang w:eastAsia="en-GB"/>
              </w:rPr>
              <w:t xml:space="preserve">   192.395 </w:t>
            </w:r>
          </w:p>
        </w:tc>
      </w:tr>
    </w:tbl>
    <w:p w14:paraId="4E29FDB7" w14:textId="5ABCEE4D" w:rsidR="00330875" w:rsidRPr="00143DE9" w:rsidRDefault="00143DE9" w:rsidP="27713507">
      <w:pPr>
        <w:pStyle w:val="NormalText"/>
        <w:spacing w:before="0" w:after="0"/>
        <w:rPr>
          <w:rFonts w:ascii="Verdana" w:hAnsi="Verdana"/>
          <w:i/>
          <w:iCs/>
          <w:sz w:val="16"/>
          <w:szCs w:val="16"/>
        </w:rPr>
      </w:pPr>
      <w:r w:rsidRPr="00143DE9">
        <w:rPr>
          <w:rFonts w:ascii="Verdana" w:hAnsi="Verdana"/>
          <w:i/>
          <w:iCs/>
          <w:sz w:val="16"/>
          <w:szCs w:val="16"/>
        </w:rPr>
        <w:t>*All figures are rounded to the nearest £1,000</w:t>
      </w:r>
    </w:p>
    <w:p w14:paraId="3099C3FB" w14:textId="77777777" w:rsidR="00143DE9" w:rsidRDefault="00143DE9" w:rsidP="27713507">
      <w:pPr>
        <w:pStyle w:val="NormalText"/>
        <w:spacing w:before="0" w:after="0"/>
        <w:rPr>
          <w:rFonts w:ascii="Verdana" w:hAnsi="Verdana"/>
          <w:highlight w:val="magenta"/>
        </w:rPr>
      </w:pPr>
    </w:p>
    <w:p w14:paraId="0DF4DE7C" w14:textId="77777777" w:rsidR="0073567B" w:rsidRDefault="3593C538" w:rsidP="27713507">
      <w:pPr>
        <w:jc w:val="both"/>
        <w:rPr>
          <w:lang w:val="en-US"/>
        </w:rPr>
      </w:pPr>
      <w:r w:rsidRPr="000544C4">
        <w:rPr>
          <w:b/>
          <w:bCs/>
          <w:lang w:val="en-US"/>
        </w:rPr>
        <w:t xml:space="preserve">Table </w:t>
      </w:r>
      <w:r w:rsidR="000544C4" w:rsidRPr="000544C4">
        <w:rPr>
          <w:b/>
          <w:bCs/>
          <w:lang w:val="en-US"/>
        </w:rPr>
        <w:t>1</w:t>
      </w:r>
      <w:r w:rsidR="00227825">
        <w:rPr>
          <w:b/>
          <w:bCs/>
          <w:lang w:val="en-US"/>
        </w:rPr>
        <w:t>1</w:t>
      </w:r>
      <w:r w:rsidR="5801A978" w:rsidRPr="000544C4">
        <w:rPr>
          <w:lang w:val="en-US"/>
        </w:rPr>
        <w:t xml:space="preserve"> above</w:t>
      </w:r>
      <w:r w:rsidRPr="000544C4">
        <w:rPr>
          <w:lang w:val="en-US"/>
        </w:rPr>
        <w:t xml:space="preserve"> shows the updated position in respect of the revenue budget plan by Directorate for 20</w:t>
      </w:r>
      <w:r w:rsidR="0C4D57B3" w:rsidRPr="000544C4">
        <w:rPr>
          <w:lang w:val="en-US"/>
        </w:rPr>
        <w:t>2</w:t>
      </w:r>
      <w:r w:rsidR="000544C4" w:rsidRPr="000544C4">
        <w:rPr>
          <w:lang w:val="en-US"/>
        </w:rPr>
        <w:t>3</w:t>
      </w:r>
      <w:r w:rsidR="5801A978" w:rsidRPr="000544C4">
        <w:rPr>
          <w:lang w:val="en-US"/>
        </w:rPr>
        <w:t>/2</w:t>
      </w:r>
      <w:r w:rsidR="000544C4" w:rsidRPr="000544C4">
        <w:rPr>
          <w:lang w:val="en-US"/>
        </w:rPr>
        <w:t>4</w:t>
      </w:r>
      <w:r w:rsidR="223FBCC2" w:rsidRPr="000544C4">
        <w:rPr>
          <w:lang w:val="en-US"/>
        </w:rPr>
        <w:t>.</w:t>
      </w:r>
      <w:r w:rsidRPr="000544C4">
        <w:rPr>
          <w:lang w:val="en-US"/>
        </w:rPr>
        <w:t xml:space="preserve"> </w:t>
      </w:r>
    </w:p>
    <w:p w14:paraId="0607F7F8" w14:textId="77777777" w:rsidR="00611283" w:rsidRDefault="00611283" w:rsidP="27713507">
      <w:pPr>
        <w:jc w:val="both"/>
        <w:rPr>
          <w:lang w:val="en-US"/>
        </w:rPr>
      </w:pPr>
    </w:p>
    <w:p w14:paraId="7AC08C0E" w14:textId="77777777" w:rsidR="0073567B" w:rsidRDefault="0C4D57B3" w:rsidP="27713507">
      <w:pPr>
        <w:jc w:val="both"/>
        <w:rPr>
          <w:lang w:val="en-US"/>
        </w:rPr>
      </w:pPr>
      <w:r w:rsidRPr="000544C4">
        <w:rPr>
          <w:lang w:val="en-US"/>
        </w:rPr>
        <w:t xml:space="preserve">Health Protection and Screening Services </w:t>
      </w:r>
      <w:r w:rsidR="3593C538" w:rsidRPr="000544C4">
        <w:rPr>
          <w:lang w:val="en-US"/>
        </w:rPr>
        <w:t xml:space="preserve">includes </w:t>
      </w:r>
      <w:r w:rsidR="00B81505">
        <w:rPr>
          <w:lang w:val="en-US"/>
        </w:rPr>
        <w:t xml:space="preserve">anticipated </w:t>
      </w:r>
      <w:r w:rsidR="3593C538" w:rsidRPr="000544C4">
        <w:rPr>
          <w:lang w:val="en-US"/>
        </w:rPr>
        <w:t>additional funding in relation to</w:t>
      </w:r>
      <w:r w:rsidR="000544C4">
        <w:rPr>
          <w:lang w:val="en-US"/>
        </w:rPr>
        <w:t xml:space="preserve"> Bowel Screening </w:t>
      </w:r>
      <w:proofErr w:type="spellStart"/>
      <w:r w:rsidR="000544C4">
        <w:rPr>
          <w:lang w:val="en-US"/>
        </w:rPr>
        <w:t>Optimisation</w:t>
      </w:r>
      <w:proofErr w:type="spellEnd"/>
      <w:r w:rsidR="000544C4">
        <w:rPr>
          <w:lang w:val="en-US"/>
        </w:rPr>
        <w:t>,</w:t>
      </w:r>
      <w:r w:rsidR="000544C4" w:rsidRPr="000544C4">
        <w:rPr>
          <w:lang w:val="en-US"/>
        </w:rPr>
        <w:t xml:space="preserve"> Lung Cancer screening</w:t>
      </w:r>
      <w:r w:rsidR="00611283">
        <w:rPr>
          <w:lang w:val="en-US"/>
        </w:rPr>
        <w:t>, Newborn Infant Physical Examination</w:t>
      </w:r>
      <w:r w:rsidR="000544C4" w:rsidRPr="000544C4">
        <w:rPr>
          <w:lang w:val="en-US"/>
        </w:rPr>
        <w:t xml:space="preserve"> </w:t>
      </w:r>
      <w:r w:rsidR="36A3C7B7" w:rsidRPr="000544C4">
        <w:rPr>
          <w:lang w:val="en-US"/>
        </w:rPr>
        <w:t>and</w:t>
      </w:r>
      <w:r w:rsidR="5AF9C8D2" w:rsidRPr="000544C4">
        <w:rPr>
          <w:lang w:val="en-US"/>
        </w:rPr>
        <w:t xml:space="preserve"> Screening recovery</w:t>
      </w:r>
      <w:r w:rsidR="000544C4">
        <w:rPr>
          <w:lang w:val="en-US"/>
        </w:rPr>
        <w:t xml:space="preserve">. </w:t>
      </w:r>
      <w:r w:rsidR="00477C48">
        <w:rPr>
          <w:lang w:val="en-US"/>
        </w:rPr>
        <w:t>If funding is not received the budgets will not be released.</w:t>
      </w:r>
    </w:p>
    <w:p w14:paraId="47C9E04F" w14:textId="77777777" w:rsidR="0073567B" w:rsidRDefault="0073567B" w:rsidP="27713507">
      <w:pPr>
        <w:jc w:val="both"/>
        <w:rPr>
          <w:lang w:val="en-US"/>
        </w:rPr>
      </w:pPr>
    </w:p>
    <w:p w14:paraId="26AF0DD8" w14:textId="761EBF83" w:rsidR="00B0183F" w:rsidRDefault="00B0183F" w:rsidP="27713507">
      <w:pPr>
        <w:jc w:val="both"/>
        <w:rPr>
          <w:lang w:val="en-US"/>
        </w:rPr>
      </w:pPr>
      <w:r>
        <w:rPr>
          <w:lang w:val="en-US"/>
        </w:rPr>
        <w:t>Health and Wellbeing includes anticipated additional funding in relation to CAMHS and Healthy Working Wales.</w:t>
      </w:r>
      <w:r w:rsidR="00477C48">
        <w:rPr>
          <w:lang w:val="en-US"/>
        </w:rPr>
        <w:t xml:space="preserve"> These are invoiced to W</w:t>
      </w:r>
      <w:r w:rsidR="00BC0548">
        <w:rPr>
          <w:lang w:val="en-US"/>
        </w:rPr>
        <w:t xml:space="preserve">elsh </w:t>
      </w:r>
      <w:r w:rsidR="00477C48">
        <w:rPr>
          <w:lang w:val="en-US"/>
        </w:rPr>
        <w:t>G</w:t>
      </w:r>
      <w:r w:rsidR="00BC0548">
        <w:rPr>
          <w:lang w:val="en-US"/>
        </w:rPr>
        <w:t>overnment</w:t>
      </w:r>
      <w:r w:rsidR="00477C48">
        <w:rPr>
          <w:lang w:val="en-US"/>
        </w:rPr>
        <w:t xml:space="preserve"> and should funding stop then expenditure will need to be managed down.</w:t>
      </w:r>
    </w:p>
    <w:p w14:paraId="24B2D476" w14:textId="77777777" w:rsidR="00B0183F" w:rsidRDefault="00B0183F" w:rsidP="27713507">
      <w:pPr>
        <w:jc w:val="both"/>
        <w:rPr>
          <w:lang w:val="en-US"/>
        </w:rPr>
      </w:pPr>
    </w:p>
    <w:p w14:paraId="7B8D8729" w14:textId="29171F28" w:rsidR="00C83EB1" w:rsidRDefault="481B22CC" w:rsidP="27713507">
      <w:pPr>
        <w:jc w:val="both"/>
        <w:rPr>
          <w:lang w:val="en-US"/>
        </w:rPr>
      </w:pPr>
      <w:r w:rsidRPr="000544C4">
        <w:rPr>
          <w:lang w:val="en-US"/>
        </w:rPr>
        <w:t xml:space="preserve">COVID-19 </w:t>
      </w:r>
      <w:r w:rsidR="00477C48">
        <w:rPr>
          <w:lang w:val="en-US"/>
        </w:rPr>
        <w:t>is the term given to the W</w:t>
      </w:r>
      <w:r w:rsidR="00330875">
        <w:rPr>
          <w:lang w:val="en-US"/>
        </w:rPr>
        <w:t xml:space="preserve">elsh </w:t>
      </w:r>
      <w:r w:rsidR="00477C48">
        <w:rPr>
          <w:lang w:val="en-US"/>
        </w:rPr>
        <w:t>G</w:t>
      </w:r>
      <w:r w:rsidR="00330875">
        <w:rPr>
          <w:lang w:val="en-US"/>
        </w:rPr>
        <w:t>overnment</w:t>
      </w:r>
      <w:r w:rsidR="00477C48">
        <w:rPr>
          <w:lang w:val="en-US"/>
        </w:rPr>
        <w:t xml:space="preserve"> funding stream which originated during the pandemic. It </w:t>
      </w:r>
      <w:r w:rsidRPr="000544C4">
        <w:rPr>
          <w:lang w:val="en-US"/>
        </w:rPr>
        <w:t xml:space="preserve">includes </w:t>
      </w:r>
      <w:r w:rsidR="36A3C7B7" w:rsidRPr="000544C4">
        <w:rPr>
          <w:lang w:val="en-US"/>
        </w:rPr>
        <w:t>the Vaccination Programme</w:t>
      </w:r>
      <w:r w:rsidR="3593C538" w:rsidRPr="000544C4">
        <w:rPr>
          <w:lang w:val="en-US"/>
        </w:rPr>
        <w:t xml:space="preserve">, </w:t>
      </w:r>
      <w:r w:rsidR="36A3C7B7" w:rsidRPr="000544C4">
        <w:rPr>
          <w:lang w:val="en-US"/>
        </w:rPr>
        <w:t>C</w:t>
      </w:r>
      <w:r w:rsidR="06CBBFED" w:rsidRPr="000544C4">
        <w:rPr>
          <w:lang w:val="en-US"/>
        </w:rPr>
        <w:t>OVID</w:t>
      </w:r>
      <w:r w:rsidR="36A3C7B7" w:rsidRPr="000544C4">
        <w:rPr>
          <w:lang w:val="en-US"/>
        </w:rPr>
        <w:t xml:space="preserve">-19 </w:t>
      </w:r>
      <w:r w:rsidR="3593C538" w:rsidRPr="000544C4">
        <w:rPr>
          <w:lang w:val="en-US"/>
        </w:rPr>
        <w:t>Genomics</w:t>
      </w:r>
      <w:r w:rsidR="36A3C7B7" w:rsidRPr="000544C4">
        <w:rPr>
          <w:lang w:val="en-US"/>
        </w:rPr>
        <w:t xml:space="preserve"> Sequencing</w:t>
      </w:r>
      <w:r w:rsidRPr="000544C4">
        <w:rPr>
          <w:lang w:val="en-US"/>
        </w:rPr>
        <w:t>,</w:t>
      </w:r>
      <w:r w:rsidR="5AF9C8D2" w:rsidRPr="000544C4">
        <w:rPr>
          <w:lang w:val="en-US"/>
        </w:rPr>
        <w:t xml:space="preserve"> PPE,</w:t>
      </w:r>
      <w:r w:rsidR="36A3C7B7" w:rsidRPr="000544C4">
        <w:rPr>
          <w:lang w:val="en-US"/>
        </w:rPr>
        <w:t xml:space="preserve"> Cont</w:t>
      </w:r>
      <w:r w:rsidRPr="000544C4">
        <w:rPr>
          <w:lang w:val="en-US"/>
        </w:rPr>
        <w:t>act Tracing</w:t>
      </w:r>
      <w:r w:rsidR="000544C4">
        <w:rPr>
          <w:lang w:val="en-US"/>
        </w:rPr>
        <w:t xml:space="preserve">, Integrated Surveillance </w:t>
      </w:r>
      <w:r w:rsidR="06CBBFED" w:rsidRPr="000544C4">
        <w:rPr>
          <w:lang w:val="en-US"/>
        </w:rPr>
        <w:t xml:space="preserve">and non-pay costs associated with COVID-19 </w:t>
      </w:r>
      <w:r w:rsidR="36A3C7B7" w:rsidRPr="000544C4">
        <w:rPr>
          <w:lang w:val="en-US"/>
        </w:rPr>
        <w:t xml:space="preserve">Antigen </w:t>
      </w:r>
      <w:r w:rsidRPr="000544C4">
        <w:rPr>
          <w:lang w:val="en-US"/>
        </w:rPr>
        <w:t xml:space="preserve">Testing </w:t>
      </w:r>
      <w:r w:rsidR="36A3C7B7" w:rsidRPr="000544C4">
        <w:rPr>
          <w:lang w:val="en-US"/>
        </w:rPr>
        <w:t xml:space="preserve">and </w:t>
      </w:r>
      <w:r w:rsidR="06CBBFED" w:rsidRPr="000544C4">
        <w:rPr>
          <w:lang w:val="en-US"/>
        </w:rPr>
        <w:t>N</w:t>
      </w:r>
      <w:r w:rsidR="36A3C7B7" w:rsidRPr="000544C4">
        <w:rPr>
          <w:lang w:val="en-US"/>
        </w:rPr>
        <w:t xml:space="preserve">on-Covid Rapid </w:t>
      </w:r>
      <w:r w:rsidR="06CBBFED" w:rsidRPr="000544C4">
        <w:rPr>
          <w:lang w:val="en-US"/>
        </w:rPr>
        <w:t>T</w:t>
      </w:r>
      <w:r w:rsidR="36A3C7B7" w:rsidRPr="000544C4">
        <w:rPr>
          <w:lang w:val="en-US"/>
        </w:rPr>
        <w:t xml:space="preserve">esting </w:t>
      </w:r>
      <w:r w:rsidR="06CBBFED" w:rsidRPr="000544C4">
        <w:rPr>
          <w:lang w:val="en-US"/>
        </w:rPr>
        <w:t>in Hot</w:t>
      </w:r>
      <w:r w:rsidR="000544C4">
        <w:rPr>
          <w:lang w:val="en-US"/>
        </w:rPr>
        <w:t xml:space="preserve"> </w:t>
      </w:r>
      <w:r w:rsidR="06CBBFED" w:rsidRPr="000544C4">
        <w:rPr>
          <w:lang w:val="en-US"/>
        </w:rPr>
        <w:t>labs.</w:t>
      </w:r>
      <w:r w:rsidR="3593C538" w:rsidRPr="000544C4">
        <w:rPr>
          <w:lang w:val="en-US"/>
        </w:rPr>
        <w:t xml:space="preserve"> </w:t>
      </w:r>
    </w:p>
    <w:p w14:paraId="7F8716FE" w14:textId="77777777" w:rsidR="00B0183F" w:rsidRDefault="00B0183F" w:rsidP="27713507">
      <w:pPr>
        <w:jc w:val="both"/>
        <w:rPr>
          <w:lang w:val="en-US"/>
        </w:rPr>
      </w:pPr>
    </w:p>
    <w:p w14:paraId="7C8A0C13" w14:textId="77777777" w:rsidR="00B0183F" w:rsidRPr="000544C4" w:rsidRDefault="00B0183F" w:rsidP="27713507">
      <w:pPr>
        <w:jc w:val="both"/>
        <w:rPr>
          <w:lang w:val="en-US"/>
        </w:rPr>
      </w:pPr>
      <w:r>
        <w:rPr>
          <w:lang w:val="en-US"/>
        </w:rPr>
        <w:t>Central budgets</w:t>
      </w:r>
      <w:r w:rsidR="0007172D">
        <w:rPr>
          <w:lang w:val="en-US"/>
        </w:rPr>
        <w:t xml:space="preserve"> holds the 2023/24 inflation funding</w:t>
      </w:r>
      <w:r w:rsidR="00CE5314">
        <w:rPr>
          <w:lang w:val="en-US"/>
        </w:rPr>
        <w:t xml:space="preserve"> and the cost pressure funding derived from savings </w:t>
      </w:r>
      <w:r w:rsidR="0007172D">
        <w:rPr>
          <w:lang w:val="en-US"/>
        </w:rPr>
        <w:t xml:space="preserve">until </w:t>
      </w:r>
      <w:r w:rsidR="00CE5314">
        <w:rPr>
          <w:lang w:val="en-US"/>
        </w:rPr>
        <w:t>they are</w:t>
      </w:r>
      <w:r w:rsidR="0007172D">
        <w:rPr>
          <w:lang w:val="en-US"/>
        </w:rPr>
        <w:t xml:space="preserve"> allocated across the organi</w:t>
      </w:r>
      <w:r w:rsidR="00CE5314">
        <w:rPr>
          <w:lang w:val="en-US"/>
        </w:rPr>
        <w:t>s</w:t>
      </w:r>
      <w:r w:rsidR="0007172D">
        <w:rPr>
          <w:lang w:val="en-US"/>
        </w:rPr>
        <w:t>ation</w:t>
      </w:r>
      <w:r w:rsidR="00CE5314">
        <w:rPr>
          <w:lang w:val="en-US"/>
        </w:rPr>
        <w:t>. D</w:t>
      </w:r>
      <w:r w:rsidR="0007172D">
        <w:rPr>
          <w:lang w:val="en-US"/>
        </w:rPr>
        <w:t>epreciation funding, Shared Services SLA funding and Welsh Risk Pool funding</w:t>
      </w:r>
      <w:r w:rsidR="00CE5314">
        <w:rPr>
          <w:lang w:val="en-US"/>
        </w:rPr>
        <w:t xml:space="preserve"> are also held within central budgets</w:t>
      </w:r>
      <w:r w:rsidR="0007172D">
        <w:rPr>
          <w:lang w:val="en-US"/>
        </w:rPr>
        <w:t>.</w:t>
      </w:r>
    </w:p>
    <w:p w14:paraId="56FE3434" w14:textId="77777777" w:rsidR="007874FF" w:rsidRDefault="007874FF" w:rsidP="27713507">
      <w:pPr>
        <w:jc w:val="both"/>
        <w:rPr>
          <w:highlight w:val="magenta"/>
          <w:lang w:val="en-US"/>
        </w:rPr>
      </w:pPr>
    </w:p>
    <w:p w14:paraId="7125A01B" w14:textId="77777777" w:rsidR="00C83EB1" w:rsidRPr="0073567B" w:rsidRDefault="3593C538" w:rsidP="27713507">
      <w:pPr>
        <w:jc w:val="both"/>
        <w:rPr>
          <w:lang w:val="en-US"/>
        </w:rPr>
      </w:pPr>
      <w:r w:rsidRPr="0073567B">
        <w:rPr>
          <w:lang w:val="en-US"/>
        </w:rPr>
        <w:t>The budgets for 20</w:t>
      </w:r>
      <w:r w:rsidR="0073567B" w:rsidRPr="0073567B">
        <w:rPr>
          <w:lang w:val="en-US"/>
        </w:rPr>
        <w:t>23</w:t>
      </w:r>
      <w:r w:rsidRPr="0073567B">
        <w:rPr>
          <w:lang w:val="en-US"/>
        </w:rPr>
        <w:t>/2</w:t>
      </w:r>
      <w:r w:rsidR="0073567B" w:rsidRPr="0073567B">
        <w:rPr>
          <w:lang w:val="en-US"/>
        </w:rPr>
        <w:t>4</w:t>
      </w:r>
      <w:r w:rsidRPr="0073567B">
        <w:rPr>
          <w:lang w:val="en-US"/>
        </w:rPr>
        <w:t xml:space="preserve"> in the main will be uploaded in equal twelfths. However, work is currently ongoing to identify where expenditure profiles differ to equal twelfths, and Directorates will be able to request a change in profiling as long as a detailed spending profile is provided.  The budgets will then be phased to match the proposed spending plans with the plans monitored throughout the year.  </w:t>
      </w:r>
    </w:p>
    <w:p w14:paraId="4B7C1741" w14:textId="77777777" w:rsidR="00C83EB1" w:rsidRPr="008079F7" w:rsidRDefault="00C83EB1" w:rsidP="27713507">
      <w:pPr>
        <w:rPr>
          <w:highlight w:val="magenta"/>
          <w:lang w:val="en-US"/>
        </w:rPr>
      </w:pPr>
    </w:p>
    <w:p w14:paraId="729504BB" w14:textId="77777777" w:rsidR="00776541" w:rsidRPr="008079F7" w:rsidRDefault="00776541" w:rsidP="27713507">
      <w:pPr>
        <w:rPr>
          <w:b/>
          <w:bCs/>
          <w:highlight w:val="magenta"/>
        </w:rPr>
      </w:pPr>
    </w:p>
    <w:p w14:paraId="59E37E41" w14:textId="77777777" w:rsidR="00776541" w:rsidRPr="00721111" w:rsidRDefault="62CD457D" w:rsidP="27713507">
      <w:pPr>
        <w:pStyle w:val="ListParagraph"/>
        <w:numPr>
          <w:ilvl w:val="0"/>
          <w:numId w:val="23"/>
        </w:numPr>
        <w:ind w:left="284" w:hanging="284"/>
        <w:rPr>
          <w:b/>
          <w:bCs/>
        </w:rPr>
      </w:pPr>
      <w:r w:rsidRPr="00721111">
        <w:rPr>
          <w:b/>
          <w:bCs/>
        </w:rPr>
        <w:t>Capital Plan</w:t>
      </w:r>
    </w:p>
    <w:p w14:paraId="076F7B6D" w14:textId="77777777" w:rsidR="00776541" w:rsidRPr="00721111" w:rsidRDefault="00776541" w:rsidP="27713507">
      <w:pPr>
        <w:rPr>
          <w:b/>
          <w:bCs/>
        </w:rPr>
      </w:pPr>
    </w:p>
    <w:p w14:paraId="5ADEC915" w14:textId="77777777" w:rsidR="00923337" w:rsidRPr="00721111" w:rsidRDefault="5457E1A1" w:rsidP="27713507">
      <w:pPr>
        <w:pStyle w:val="Quote"/>
        <w:tabs>
          <w:tab w:val="clear" w:pos="1361"/>
        </w:tabs>
        <w:spacing w:before="120" w:after="120"/>
        <w:ind w:left="0" w:firstLine="0"/>
        <w:rPr>
          <w:rFonts w:ascii="Calibri Light" w:hAnsi="Calibri Light"/>
          <w:b w:val="0"/>
          <w:color w:val="325083"/>
          <w:spacing w:val="0"/>
          <w:sz w:val="32"/>
          <w:szCs w:val="32"/>
        </w:rPr>
      </w:pPr>
      <w:r w:rsidRPr="00721111">
        <w:rPr>
          <w:rFonts w:ascii="Calibri Light" w:hAnsi="Calibri Light"/>
          <w:b w:val="0"/>
          <w:color w:val="325083"/>
          <w:spacing w:val="0"/>
          <w:sz w:val="32"/>
          <w:szCs w:val="32"/>
        </w:rPr>
        <w:t>Strategic Capital</w:t>
      </w:r>
    </w:p>
    <w:p w14:paraId="2FD50538" w14:textId="77777777" w:rsidR="00776541" w:rsidRPr="008079F7" w:rsidRDefault="1186F42D" w:rsidP="27713507">
      <w:pPr>
        <w:pStyle w:val="NormalText"/>
        <w:rPr>
          <w:rFonts w:ascii="Verdana" w:hAnsi="Verdana"/>
          <w:highlight w:val="magenta"/>
        </w:rPr>
      </w:pPr>
      <w:r w:rsidRPr="00721111">
        <w:rPr>
          <w:rFonts w:ascii="Verdana" w:hAnsi="Verdana"/>
          <w:color w:val="auto"/>
          <w:lang w:val="en-US"/>
        </w:rPr>
        <w:t>W</w:t>
      </w:r>
      <w:r w:rsidR="00620767">
        <w:rPr>
          <w:rFonts w:ascii="Verdana" w:hAnsi="Verdana"/>
          <w:color w:val="auto"/>
          <w:lang w:val="en-US"/>
        </w:rPr>
        <w:t xml:space="preserve">elsh </w:t>
      </w:r>
      <w:r w:rsidRPr="00721111">
        <w:rPr>
          <w:rFonts w:ascii="Verdana" w:hAnsi="Verdana"/>
          <w:color w:val="auto"/>
          <w:lang w:val="en-US"/>
        </w:rPr>
        <w:t>G</w:t>
      </w:r>
      <w:r w:rsidR="00620767">
        <w:rPr>
          <w:rFonts w:ascii="Verdana" w:hAnsi="Verdana"/>
          <w:color w:val="auto"/>
          <w:lang w:val="en-US"/>
        </w:rPr>
        <w:t>overnment</w:t>
      </w:r>
      <w:r w:rsidRPr="00721111">
        <w:rPr>
          <w:rFonts w:ascii="Verdana" w:hAnsi="Verdana"/>
          <w:color w:val="auto"/>
          <w:lang w:val="en-US"/>
        </w:rPr>
        <w:t xml:space="preserve"> strategic capital fun</w:t>
      </w:r>
      <w:r w:rsidR="00721111" w:rsidRPr="00721111">
        <w:rPr>
          <w:rFonts w:ascii="Verdana" w:hAnsi="Verdana"/>
          <w:color w:val="auto"/>
          <w:lang w:val="en-US"/>
        </w:rPr>
        <w:t>ding is fully committed for 2023</w:t>
      </w:r>
      <w:r w:rsidRPr="00721111">
        <w:rPr>
          <w:rFonts w:ascii="Verdana" w:hAnsi="Verdana"/>
          <w:color w:val="auto"/>
          <w:lang w:val="en-US"/>
        </w:rPr>
        <w:t>/2</w:t>
      </w:r>
      <w:r w:rsidR="00721111" w:rsidRPr="00721111">
        <w:rPr>
          <w:rFonts w:ascii="Verdana" w:hAnsi="Verdana"/>
          <w:color w:val="auto"/>
          <w:lang w:val="en-US"/>
        </w:rPr>
        <w:t>4</w:t>
      </w:r>
      <w:r w:rsidRPr="00721111">
        <w:rPr>
          <w:rFonts w:ascii="Verdana" w:hAnsi="Verdana"/>
          <w:color w:val="auto"/>
          <w:lang w:val="en-US"/>
        </w:rPr>
        <w:t xml:space="preserve"> making it unlikely that P</w:t>
      </w:r>
      <w:r w:rsidR="0036741F">
        <w:rPr>
          <w:rFonts w:ascii="Verdana" w:hAnsi="Verdana"/>
          <w:color w:val="auto"/>
          <w:lang w:val="en-US"/>
        </w:rPr>
        <w:t xml:space="preserve">ublic </w:t>
      </w:r>
      <w:r w:rsidRPr="00721111">
        <w:rPr>
          <w:rFonts w:ascii="Verdana" w:hAnsi="Verdana"/>
          <w:color w:val="auto"/>
          <w:lang w:val="en-US"/>
        </w:rPr>
        <w:t>H</w:t>
      </w:r>
      <w:r w:rsidR="0036741F">
        <w:rPr>
          <w:rFonts w:ascii="Verdana" w:hAnsi="Verdana"/>
          <w:color w:val="auto"/>
          <w:lang w:val="en-US"/>
        </w:rPr>
        <w:t xml:space="preserve">ealth </w:t>
      </w:r>
      <w:r w:rsidRPr="00721111">
        <w:rPr>
          <w:rFonts w:ascii="Verdana" w:hAnsi="Verdana"/>
          <w:color w:val="auto"/>
          <w:lang w:val="en-US"/>
        </w:rPr>
        <w:t>W</w:t>
      </w:r>
      <w:r w:rsidR="0036741F">
        <w:rPr>
          <w:rFonts w:ascii="Verdana" w:hAnsi="Verdana"/>
          <w:color w:val="auto"/>
          <w:lang w:val="en-US"/>
        </w:rPr>
        <w:t>ales</w:t>
      </w:r>
      <w:r w:rsidRPr="00721111">
        <w:rPr>
          <w:rFonts w:ascii="Verdana" w:hAnsi="Verdana"/>
          <w:color w:val="auto"/>
          <w:lang w:val="en-US"/>
        </w:rPr>
        <w:t xml:space="preserve"> will be able to access </w:t>
      </w:r>
      <w:r w:rsidR="0660F08F" w:rsidRPr="00721111">
        <w:rPr>
          <w:rFonts w:ascii="Verdana" w:hAnsi="Verdana"/>
          <w:color w:val="auto"/>
          <w:lang w:val="en-US"/>
        </w:rPr>
        <w:t xml:space="preserve">any additional </w:t>
      </w:r>
      <w:r w:rsidRPr="00721111">
        <w:rPr>
          <w:rFonts w:ascii="Verdana" w:hAnsi="Verdana"/>
          <w:color w:val="auto"/>
          <w:lang w:val="en-US"/>
        </w:rPr>
        <w:t xml:space="preserve">strategic capital funding.  There may be potential to access slippage funding later in the financial year </w:t>
      </w:r>
      <w:r w:rsidR="0D7334F4" w:rsidRPr="00721111">
        <w:rPr>
          <w:rFonts w:ascii="Verdana" w:hAnsi="Verdana"/>
          <w:color w:val="auto"/>
          <w:lang w:val="en-US"/>
        </w:rPr>
        <w:t>if strategic schemes across Wales slip.</w:t>
      </w:r>
      <w:r w:rsidR="0D7334F4" w:rsidRPr="00721111">
        <w:rPr>
          <w:rFonts w:ascii="Verdana" w:hAnsi="Verdana"/>
        </w:rPr>
        <w:t xml:space="preserve"> </w:t>
      </w:r>
      <w:r w:rsidRPr="00721111">
        <w:rPr>
          <w:rFonts w:ascii="Verdana" w:hAnsi="Verdana"/>
        </w:rPr>
        <w:t xml:space="preserve"> </w:t>
      </w:r>
      <w:r w:rsidR="62CD457D" w:rsidRPr="00721111">
        <w:rPr>
          <w:rFonts w:ascii="Verdana" w:hAnsi="Verdana"/>
          <w:b/>
          <w:bCs/>
        </w:rPr>
        <w:t xml:space="preserve">Table </w:t>
      </w:r>
      <w:r w:rsidR="00721111" w:rsidRPr="00721111">
        <w:rPr>
          <w:rFonts w:ascii="Verdana" w:hAnsi="Verdana"/>
          <w:b/>
          <w:bCs/>
        </w:rPr>
        <w:t>1</w:t>
      </w:r>
      <w:r w:rsidR="00EA4CB8">
        <w:rPr>
          <w:rFonts w:ascii="Verdana" w:hAnsi="Verdana"/>
          <w:b/>
          <w:bCs/>
        </w:rPr>
        <w:t>2</w:t>
      </w:r>
      <w:r w:rsidR="62CD457D" w:rsidRPr="00721111">
        <w:rPr>
          <w:rFonts w:ascii="Verdana" w:hAnsi="Verdana"/>
        </w:rPr>
        <w:t xml:space="preserve"> </w:t>
      </w:r>
      <w:proofErr w:type="spellStart"/>
      <w:r w:rsidR="62CD457D" w:rsidRPr="00721111">
        <w:rPr>
          <w:rFonts w:ascii="Verdana" w:hAnsi="Verdana"/>
          <w:color w:val="auto"/>
          <w:lang w:val="en-US"/>
        </w:rPr>
        <w:t>summarises</w:t>
      </w:r>
      <w:proofErr w:type="spellEnd"/>
      <w:r w:rsidR="62CD457D" w:rsidRPr="00721111">
        <w:rPr>
          <w:rFonts w:ascii="Verdana" w:hAnsi="Verdana"/>
          <w:color w:val="auto"/>
          <w:lang w:val="en-US"/>
        </w:rPr>
        <w:t xml:space="preserve"> </w:t>
      </w:r>
      <w:r w:rsidR="0D7334F4" w:rsidRPr="00721111">
        <w:rPr>
          <w:rFonts w:ascii="Verdana" w:hAnsi="Verdana"/>
          <w:color w:val="auto"/>
          <w:lang w:val="en-US"/>
        </w:rPr>
        <w:t xml:space="preserve">our </w:t>
      </w:r>
      <w:r w:rsidR="62CD457D" w:rsidRPr="00721111">
        <w:rPr>
          <w:rFonts w:ascii="Verdana" w:hAnsi="Verdana"/>
          <w:color w:val="auto"/>
          <w:lang w:val="en-US"/>
        </w:rPr>
        <w:t xml:space="preserve">strategic capital </w:t>
      </w:r>
      <w:r w:rsidR="00721111" w:rsidRPr="00721111">
        <w:rPr>
          <w:rFonts w:ascii="Verdana" w:hAnsi="Verdana"/>
          <w:color w:val="auto"/>
          <w:lang w:val="en-US"/>
        </w:rPr>
        <w:t>priorities in 2023</w:t>
      </w:r>
      <w:r w:rsidR="0D7334F4" w:rsidRPr="00721111">
        <w:rPr>
          <w:rFonts w:ascii="Verdana" w:hAnsi="Verdana"/>
          <w:color w:val="auto"/>
          <w:lang w:val="en-US"/>
        </w:rPr>
        <w:t>/2</w:t>
      </w:r>
      <w:r w:rsidR="00721111" w:rsidRPr="00721111">
        <w:rPr>
          <w:rFonts w:ascii="Verdana" w:hAnsi="Verdana"/>
          <w:color w:val="auto"/>
          <w:lang w:val="en-US"/>
        </w:rPr>
        <w:t>4</w:t>
      </w:r>
      <w:r w:rsidR="0D7334F4" w:rsidRPr="00721111">
        <w:rPr>
          <w:rFonts w:ascii="Verdana" w:hAnsi="Verdana"/>
          <w:color w:val="auto"/>
          <w:lang w:val="en-US"/>
        </w:rPr>
        <w:t xml:space="preserve"> and over the next three years</w:t>
      </w:r>
      <w:r w:rsidR="27F12B82" w:rsidRPr="00721111">
        <w:rPr>
          <w:rFonts w:ascii="Verdana" w:hAnsi="Verdana"/>
          <w:color w:val="auto"/>
          <w:lang w:val="en-US"/>
        </w:rPr>
        <w:t xml:space="preserve"> and</w:t>
      </w:r>
      <w:r w:rsidR="27F12B82" w:rsidRPr="00721111">
        <w:rPr>
          <w:rFonts w:ascii="Verdana" w:hAnsi="Verdana"/>
        </w:rPr>
        <w:t xml:space="preserve"> </w:t>
      </w:r>
      <w:r w:rsidR="27F12B82" w:rsidRPr="00721111">
        <w:rPr>
          <w:rFonts w:ascii="Verdana" w:hAnsi="Verdana"/>
          <w:b/>
          <w:bCs/>
        </w:rPr>
        <w:t xml:space="preserve">Appendix </w:t>
      </w:r>
      <w:r w:rsidR="6853192D" w:rsidRPr="00721111">
        <w:rPr>
          <w:rFonts w:ascii="Verdana" w:hAnsi="Verdana"/>
          <w:b/>
          <w:bCs/>
        </w:rPr>
        <w:t>One</w:t>
      </w:r>
      <w:r w:rsidR="27F12B82" w:rsidRPr="00721111">
        <w:rPr>
          <w:rFonts w:ascii="Verdana" w:hAnsi="Verdana"/>
        </w:rPr>
        <w:t xml:space="preserve"> </w:t>
      </w:r>
      <w:r w:rsidR="27F12B82" w:rsidRPr="00721111">
        <w:rPr>
          <w:rFonts w:ascii="Verdana" w:hAnsi="Verdana"/>
          <w:color w:val="auto"/>
          <w:lang w:val="en-US"/>
        </w:rPr>
        <w:t>provides further detail on the schemes</w:t>
      </w:r>
      <w:r w:rsidR="62CD457D" w:rsidRPr="00721111">
        <w:rPr>
          <w:rFonts w:ascii="Verdana" w:hAnsi="Verdana"/>
        </w:rPr>
        <w:t>.</w:t>
      </w:r>
      <w:r w:rsidR="62CD457D" w:rsidRPr="27713507">
        <w:rPr>
          <w:rFonts w:ascii="Verdana" w:hAnsi="Verdana"/>
        </w:rPr>
        <w:t xml:space="preserve"> </w:t>
      </w:r>
    </w:p>
    <w:p w14:paraId="1A35FFFA" w14:textId="77777777" w:rsidR="0069535A" w:rsidRPr="008079F7" w:rsidRDefault="0069535A" w:rsidP="27713507">
      <w:pPr>
        <w:pStyle w:val="NormalText"/>
        <w:rPr>
          <w:rFonts w:ascii="Verdana" w:hAnsi="Verdana"/>
          <w:b/>
          <w:bCs/>
          <w:highlight w:val="magenta"/>
        </w:rPr>
      </w:pPr>
      <w:bookmarkStart w:id="1" w:name="_Toc445201291"/>
      <w:bookmarkStart w:id="2" w:name="_Toc445374222"/>
      <w:bookmarkStart w:id="3" w:name="_Toc447176592"/>
      <w:bookmarkStart w:id="4" w:name="_Toc445201290"/>
      <w:bookmarkStart w:id="5" w:name="_Toc445374221"/>
      <w:bookmarkStart w:id="6" w:name="_Toc447176591"/>
    </w:p>
    <w:p w14:paraId="24A9CA00" w14:textId="77777777" w:rsidR="00776541" w:rsidRPr="00721111" w:rsidRDefault="00721111" w:rsidP="27713507">
      <w:pPr>
        <w:pStyle w:val="NormalText"/>
        <w:rPr>
          <w:rFonts w:ascii="Calibri Light" w:hAnsi="Calibri Light"/>
          <w:b/>
          <w:bCs/>
          <w:color w:val="324F82"/>
          <w:sz w:val="20"/>
          <w:szCs w:val="20"/>
        </w:rPr>
      </w:pPr>
      <w:r w:rsidRPr="00721111">
        <w:rPr>
          <w:rFonts w:ascii="Verdana" w:hAnsi="Verdana"/>
          <w:b/>
          <w:bCs/>
        </w:rPr>
        <w:t>Table 1</w:t>
      </w:r>
      <w:r w:rsidR="00EA4CB8">
        <w:rPr>
          <w:rFonts w:ascii="Verdana" w:hAnsi="Verdana"/>
          <w:b/>
          <w:bCs/>
        </w:rPr>
        <w:t>2</w:t>
      </w:r>
    </w:p>
    <w:tbl>
      <w:tblPr>
        <w:tblW w:w="89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50"/>
        <w:gridCol w:w="885"/>
        <w:gridCol w:w="810"/>
        <w:gridCol w:w="825"/>
      </w:tblGrid>
      <w:tr w:rsidR="001262E9" w:rsidRPr="0064067C" w14:paraId="0639DA64" w14:textId="77777777" w:rsidTr="00D7608E">
        <w:trPr>
          <w:trHeight w:val="585"/>
        </w:trPr>
        <w:tc>
          <w:tcPr>
            <w:tcW w:w="6450" w:type="dxa"/>
            <w:tcBorders>
              <w:top w:val="single" w:sz="6" w:space="0" w:color="D2DDEE"/>
              <w:left w:val="single" w:sz="6" w:space="0" w:color="D2DDEE"/>
              <w:bottom w:val="single" w:sz="6" w:space="0" w:color="D2DDEE"/>
              <w:right w:val="single" w:sz="6" w:space="0" w:color="D2DDEE"/>
            </w:tcBorders>
            <w:shd w:val="clear" w:color="auto" w:fill="548DD4"/>
            <w:vAlign w:val="center"/>
            <w:hideMark/>
          </w:tcPr>
          <w:bookmarkEnd w:id="1"/>
          <w:bookmarkEnd w:id="2"/>
          <w:bookmarkEnd w:id="3"/>
          <w:bookmarkEnd w:id="4"/>
          <w:bookmarkEnd w:id="5"/>
          <w:bookmarkEnd w:id="6"/>
          <w:p w14:paraId="522461DE"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Light" w:eastAsia="Times New Roman" w:hAnsi="Calibri Light" w:cs="Calibri Light"/>
                <w:b/>
                <w:bCs/>
                <w:color w:val="FFFFFF"/>
                <w:lang w:eastAsia="en-GB"/>
              </w:rPr>
              <w:t> Strategic Scheme</w:t>
            </w:r>
            <w:r w:rsidRPr="0064067C">
              <w:rPr>
                <w:rFonts w:ascii="Calibri Light" w:eastAsia="Times New Roman" w:hAnsi="Calibri Light" w:cs="Calibri Light"/>
                <w:color w:val="FFFFFF"/>
                <w:lang w:eastAsia="en-GB"/>
              </w:rPr>
              <w:t> </w:t>
            </w:r>
          </w:p>
        </w:tc>
        <w:tc>
          <w:tcPr>
            <w:tcW w:w="885" w:type="dxa"/>
            <w:tcBorders>
              <w:top w:val="single" w:sz="6" w:space="0" w:color="D2DDEE"/>
              <w:left w:val="nil"/>
              <w:bottom w:val="single" w:sz="6" w:space="0" w:color="D2DDEE"/>
              <w:right w:val="single" w:sz="6" w:space="0" w:color="D2DDEE"/>
            </w:tcBorders>
            <w:shd w:val="clear" w:color="auto" w:fill="548DD4"/>
            <w:vAlign w:val="center"/>
            <w:hideMark/>
          </w:tcPr>
          <w:p w14:paraId="58CB5498" w14:textId="77777777" w:rsidR="001262E9" w:rsidRPr="0064067C" w:rsidRDefault="001262E9" w:rsidP="00D7608E">
            <w:pPr>
              <w:jc w:val="center"/>
              <w:textAlignment w:val="baseline"/>
              <w:rPr>
                <w:rFonts w:ascii="Times New Roman" w:eastAsia="Times New Roman" w:hAnsi="Times New Roman" w:cs="Times New Roman"/>
                <w:szCs w:val="24"/>
                <w:lang w:eastAsia="en-GB"/>
              </w:rPr>
            </w:pPr>
            <w:r w:rsidRPr="0064067C">
              <w:rPr>
                <w:rFonts w:ascii="Calibri Light" w:eastAsia="Times New Roman" w:hAnsi="Calibri Light" w:cs="Calibri Light"/>
                <w:b/>
                <w:bCs/>
                <w:color w:val="FFFFFF"/>
                <w:lang w:eastAsia="en-GB"/>
              </w:rPr>
              <w:t>FY23-24 £000s</w:t>
            </w:r>
            <w:r w:rsidRPr="0064067C">
              <w:rPr>
                <w:rFonts w:ascii="Calibri Light" w:eastAsia="Times New Roman" w:hAnsi="Calibri Light" w:cs="Calibri Light"/>
                <w:color w:val="FFFFFF"/>
                <w:lang w:eastAsia="en-GB"/>
              </w:rPr>
              <w:t> </w:t>
            </w:r>
          </w:p>
        </w:tc>
        <w:tc>
          <w:tcPr>
            <w:tcW w:w="810" w:type="dxa"/>
            <w:tcBorders>
              <w:top w:val="single" w:sz="6" w:space="0" w:color="D2DDEE"/>
              <w:left w:val="nil"/>
              <w:bottom w:val="single" w:sz="6" w:space="0" w:color="D2DDEE"/>
              <w:right w:val="single" w:sz="6" w:space="0" w:color="D2DDEE"/>
            </w:tcBorders>
            <w:shd w:val="clear" w:color="auto" w:fill="548DD4"/>
            <w:vAlign w:val="center"/>
            <w:hideMark/>
          </w:tcPr>
          <w:p w14:paraId="0B7927FC" w14:textId="77777777" w:rsidR="001262E9" w:rsidRPr="0064067C" w:rsidRDefault="001262E9" w:rsidP="00D7608E">
            <w:pPr>
              <w:jc w:val="center"/>
              <w:textAlignment w:val="baseline"/>
              <w:rPr>
                <w:rFonts w:ascii="Times New Roman" w:eastAsia="Times New Roman" w:hAnsi="Times New Roman" w:cs="Times New Roman"/>
                <w:szCs w:val="24"/>
                <w:lang w:eastAsia="en-GB"/>
              </w:rPr>
            </w:pPr>
            <w:r w:rsidRPr="0064067C">
              <w:rPr>
                <w:rFonts w:ascii="Calibri Light" w:eastAsia="Times New Roman" w:hAnsi="Calibri Light" w:cs="Calibri Light"/>
                <w:b/>
                <w:bCs/>
                <w:color w:val="FFFFFF"/>
                <w:lang w:eastAsia="en-GB"/>
              </w:rPr>
              <w:t>FY24-25 £000s</w:t>
            </w:r>
            <w:r w:rsidRPr="0064067C">
              <w:rPr>
                <w:rFonts w:ascii="Calibri Light" w:eastAsia="Times New Roman" w:hAnsi="Calibri Light" w:cs="Calibri Light"/>
                <w:color w:val="FFFFFF"/>
                <w:lang w:eastAsia="en-GB"/>
              </w:rPr>
              <w:t> </w:t>
            </w:r>
          </w:p>
        </w:tc>
        <w:tc>
          <w:tcPr>
            <w:tcW w:w="825" w:type="dxa"/>
            <w:tcBorders>
              <w:top w:val="single" w:sz="6" w:space="0" w:color="D2DDEE"/>
              <w:left w:val="nil"/>
              <w:bottom w:val="single" w:sz="6" w:space="0" w:color="D2DDEE"/>
              <w:right w:val="single" w:sz="6" w:space="0" w:color="D2DDEE"/>
            </w:tcBorders>
            <w:shd w:val="clear" w:color="auto" w:fill="548DD4"/>
            <w:vAlign w:val="center"/>
            <w:hideMark/>
          </w:tcPr>
          <w:p w14:paraId="41FF9D14" w14:textId="77777777" w:rsidR="001262E9" w:rsidRPr="0064067C" w:rsidRDefault="001262E9" w:rsidP="00D7608E">
            <w:pPr>
              <w:jc w:val="center"/>
              <w:textAlignment w:val="baseline"/>
              <w:rPr>
                <w:rFonts w:ascii="Times New Roman" w:eastAsia="Times New Roman" w:hAnsi="Times New Roman" w:cs="Times New Roman"/>
                <w:szCs w:val="24"/>
                <w:lang w:eastAsia="en-GB"/>
              </w:rPr>
            </w:pPr>
            <w:r w:rsidRPr="0064067C">
              <w:rPr>
                <w:rFonts w:ascii="Calibri Light" w:eastAsia="Times New Roman" w:hAnsi="Calibri Light" w:cs="Calibri Light"/>
                <w:b/>
                <w:bCs/>
                <w:color w:val="FFFFFF"/>
                <w:lang w:eastAsia="en-GB"/>
              </w:rPr>
              <w:t>FY25-26 £000s</w:t>
            </w:r>
            <w:r w:rsidRPr="0064067C">
              <w:rPr>
                <w:rFonts w:ascii="Calibri Light" w:eastAsia="Times New Roman" w:hAnsi="Calibri Light" w:cs="Calibri Light"/>
                <w:color w:val="FFFFFF"/>
                <w:lang w:eastAsia="en-GB"/>
              </w:rPr>
              <w:t> </w:t>
            </w:r>
          </w:p>
        </w:tc>
      </w:tr>
      <w:tr w:rsidR="001262E9" w:rsidRPr="0064067C" w14:paraId="67C00491"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747BE4CC"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000000"/>
                <w:lang w:eastAsia="en-GB"/>
              </w:rPr>
              <w:t>Screening - Imaging Equipment in Breast Test Wales </w:t>
            </w:r>
          </w:p>
        </w:tc>
        <w:tc>
          <w:tcPr>
            <w:tcW w:w="885" w:type="dxa"/>
            <w:tcBorders>
              <w:top w:val="nil"/>
              <w:left w:val="nil"/>
              <w:bottom w:val="single" w:sz="6" w:space="0" w:color="D2DDEE"/>
              <w:right w:val="single" w:sz="6" w:space="0" w:color="D2DDEE"/>
            </w:tcBorders>
            <w:shd w:val="clear" w:color="auto" w:fill="auto"/>
            <w:vAlign w:val="center"/>
            <w:hideMark/>
          </w:tcPr>
          <w:p w14:paraId="50056856"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50 </w:t>
            </w:r>
          </w:p>
        </w:tc>
        <w:tc>
          <w:tcPr>
            <w:tcW w:w="810" w:type="dxa"/>
            <w:tcBorders>
              <w:top w:val="nil"/>
              <w:left w:val="nil"/>
              <w:bottom w:val="single" w:sz="6" w:space="0" w:color="D2DDEE"/>
              <w:right w:val="single" w:sz="6" w:space="0" w:color="D2DDEE"/>
            </w:tcBorders>
            <w:shd w:val="clear" w:color="auto" w:fill="auto"/>
            <w:vAlign w:val="center"/>
            <w:hideMark/>
          </w:tcPr>
          <w:p w14:paraId="7A807964"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0 </w:t>
            </w:r>
          </w:p>
        </w:tc>
        <w:tc>
          <w:tcPr>
            <w:tcW w:w="825" w:type="dxa"/>
            <w:tcBorders>
              <w:top w:val="nil"/>
              <w:left w:val="nil"/>
              <w:bottom w:val="single" w:sz="6" w:space="0" w:color="D2DDEE"/>
              <w:right w:val="single" w:sz="6" w:space="0" w:color="D2DDEE"/>
            </w:tcBorders>
            <w:shd w:val="clear" w:color="auto" w:fill="auto"/>
            <w:vAlign w:val="center"/>
            <w:hideMark/>
          </w:tcPr>
          <w:p w14:paraId="2DBDDC7A"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0 </w:t>
            </w:r>
          </w:p>
        </w:tc>
      </w:tr>
      <w:tr w:rsidR="001262E9" w:rsidRPr="0064067C" w14:paraId="4A4BB8F0"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4C7C1D1F"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000000"/>
                <w:lang w:eastAsia="en-GB"/>
              </w:rPr>
              <w:t>Fire Compliance Works (EFAB) - Work to Fire Doors </w:t>
            </w:r>
          </w:p>
        </w:tc>
        <w:tc>
          <w:tcPr>
            <w:tcW w:w="885" w:type="dxa"/>
            <w:tcBorders>
              <w:top w:val="nil"/>
              <w:left w:val="nil"/>
              <w:bottom w:val="single" w:sz="6" w:space="0" w:color="D2DDEE"/>
              <w:right w:val="single" w:sz="6" w:space="0" w:color="D2DDEE"/>
            </w:tcBorders>
            <w:shd w:val="clear" w:color="auto" w:fill="auto"/>
            <w:vAlign w:val="center"/>
            <w:hideMark/>
          </w:tcPr>
          <w:p w14:paraId="5075FE0F"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130 </w:t>
            </w:r>
          </w:p>
        </w:tc>
        <w:tc>
          <w:tcPr>
            <w:tcW w:w="810" w:type="dxa"/>
            <w:tcBorders>
              <w:top w:val="nil"/>
              <w:left w:val="nil"/>
              <w:bottom w:val="single" w:sz="6" w:space="0" w:color="D2DDEE"/>
              <w:right w:val="single" w:sz="6" w:space="0" w:color="D2DDEE"/>
            </w:tcBorders>
            <w:shd w:val="clear" w:color="auto" w:fill="auto"/>
            <w:vAlign w:val="center"/>
            <w:hideMark/>
          </w:tcPr>
          <w:p w14:paraId="59A07072"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c>
          <w:tcPr>
            <w:tcW w:w="825" w:type="dxa"/>
            <w:tcBorders>
              <w:top w:val="nil"/>
              <w:left w:val="nil"/>
              <w:bottom w:val="single" w:sz="6" w:space="0" w:color="D2DDEE"/>
              <w:right w:val="single" w:sz="6" w:space="0" w:color="D2DDEE"/>
            </w:tcBorders>
            <w:shd w:val="clear" w:color="auto" w:fill="auto"/>
            <w:vAlign w:val="center"/>
            <w:hideMark/>
          </w:tcPr>
          <w:p w14:paraId="7B06ADF0"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r>
      <w:tr w:rsidR="001262E9" w:rsidRPr="0064067C" w14:paraId="62C7329A"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5602A6A1"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000000"/>
                <w:lang w:eastAsia="en-GB"/>
              </w:rPr>
              <w:t>Decarbonisation Scheme (EFAB) - Replacement of AAA vehicles to EVs </w:t>
            </w:r>
          </w:p>
        </w:tc>
        <w:tc>
          <w:tcPr>
            <w:tcW w:w="885" w:type="dxa"/>
            <w:tcBorders>
              <w:top w:val="nil"/>
              <w:left w:val="nil"/>
              <w:bottom w:val="single" w:sz="6" w:space="0" w:color="D2DDEE"/>
              <w:right w:val="single" w:sz="6" w:space="0" w:color="D2DDEE"/>
            </w:tcBorders>
            <w:shd w:val="clear" w:color="auto" w:fill="auto"/>
            <w:vAlign w:val="center"/>
            <w:hideMark/>
          </w:tcPr>
          <w:p w14:paraId="3EBF475B"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238 </w:t>
            </w:r>
          </w:p>
        </w:tc>
        <w:tc>
          <w:tcPr>
            <w:tcW w:w="810" w:type="dxa"/>
            <w:tcBorders>
              <w:top w:val="nil"/>
              <w:left w:val="nil"/>
              <w:bottom w:val="single" w:sz="6" w:space="0" w:color="D2DDEE"/>
              <w:right w:val="single" w:sz="6" w:space="0" w:color="D2DDEE"/>
            </w:tcBorders>
            <w:shd w:val="clear" w:color="auto" w:fill="auto"/>
            <w:vAlign w:val="center"/>
            <w:hideMark/>
          </w:tcPr>
          <w:p w14:paraId="4B2131DE"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c>
          <w:tcPr>
            <w:tcW w:w="825" w:type="dxa"/>
            <w:tcBorders>
              <w:top w:val="nil"/>
              <w:left w:val="nil"/>
              <w:bottom w:val="single" w:sz="6" w:space="0" w:color="D2DDEE"/>
              <w:right w:val="single" w:sz="6" w:space="0" w:color="D2DDEE"/>
            </w:tcBorders>
            <w:shd w:val="clear" w:color="auto" w:fill="auto"/>
            <w:vAlign w:val="center"/>
            <w:hideMark/>
          </w:tcPr>
          <w:p w14:paraId="5382FA3F"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r>
      <w:tr w:rsidR="001262E9" w:rsidRPr="0064067C" w14:paraId="5DDA75F4"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D9E1F2"/>
            <w:vAlign w:val="center"/>
            <w:hideMark/>
          </w:tcPr>
          <w:p w14:paraId="0EED377B"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lang w:eastAsia="en-GB"/>
              </w:rPr>
              <w:t>Total Approved Strategic Schemes </w:t>
            </w:r>
          </w:p>
        </w:tc>
        <w:tc>
          <w:tcPr>
            <w:tcW w:w="885" w:type="dxa"/>
            <w:tcBorders>
              <w:top w:val="nil"/>
              <w:left w:val="nil"/>
              <w:bottom w:val="single" w:sz="6" w:space="0" w:color="D2DDEE"/>
              <w:right w:val="single" w:sz="6" w:space="0" w:color="D2DDEE"/>
            </w:tcBorders>
            <w:shd w:val="clear" w:color="auto" w:fill="D9E1F2"/>
            <w:vAlign w:val="center"/>
            <w:hideMark/>
          </w:tcPr>
          <w:p w14:paraId="3D7634FD"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lang w:eastAsia="en-GB"/>
              </w:rPr>
              <w:t>418 </w:t>
            </w:r>
          </w:p>
        </w:tc>
        <w:tc>
          <w:tcPr>
            <w:tcW w:w="810" w:type="dxa"/>
            <w:tcBorders>
              <w:top w:val="nil"/>
              <w:left w:val="nil"/>
              <w:bottom w:val="single" w:sz="6" w:space="0" w:color="D2DDEE"/>
              <w:right w:val="single" w:sz="6" w:space="0" w:color="D2DDEE"/>
            </w:tcBorders>
            <w:shd w:val="clear" w:color="auto" w:fill="D9E1F2"/>
            <w:vAlign w:val="center"/>
            <w:hideMark/>
          </w:tcPr>
          <w:p w14:paraId="7ADB9670"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lang w:eastAsia="en-GB"/>
              </w:rPr>
              <w:t>0 </w:t>
            </w:r>
          </w:p>
        </w:tc>
        <w:tc>
          <w:tcPr>
            <w:tcW w:w="825" w:type="dxa"/>
            <w:tcBorders>
              <w:top w:val="nil"/>
              <w:left w:val="nil"/>
              <w:bottom w:val="single" w:sz="6" w:space="0" w:color="D2DDEE"/>
              <w:right w:val="single" w:sz="6" w:space="0" w:color="D2DDEE"/>
            </w:tcBorders>
            <w:shd w:val="clear" w:color="auto" w:fill="D9E1F2"/>
            <w:vAlign w:val="center"/>
            <w:hideMark/>
          </w:tcPr>
          <w:p w14:paraId="5527404C"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lang w:eastAsia="en-GB"/>
              </w:rPr>
              <w:t>0 </w:t>
            </w:r>
          </w:p>
        </w:tc>
      </w:tr>
      <w:tr w:rsidR="001262E9" w:rsidRPr="0064067C" w14:paraId="63FA69D3"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20EC0362"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lang w:eastAsia="en-GB"/>
              </w:rPr>
              <w:t>Colposcopy &amp; Colonoscopy Imaging (unapproved) </w:t>
            </w:r>
          </w:p>
        </w:tc>
        <w:tc>
          <w:tcPr>
            <w:tcW w:w="885" w:type="dxa"/>
            <w:tcBorders>
              <w:top w:val="nil"/>
              <w:left w:val="nil"/>
              <w:bottom w:val="single" w:sz="6" w:space="0" w:color="D2DDEE"/>
              <w:right w:val="single" w:sz="6" w:space="0" w:color="D2DDEE"/>
            </w:tcBorders>
            <w:shd w:val="clear" w:color="auto" w:fill="auto"/>
            <w:vAlign w:val="center"/>
            <w:hideMark/>
          </w:tcPr>
          <w:p w14:paraId="194A961A"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lang w:eastAsia="en-GB"/>
              </w:rPr>
              <w:t>  </w:t>
            </w:r>
          </w:p>
        </w:tc>
        <w:tc>
          <w:tcPr>
            <w:tcW w:w="810" w:type="dxa"/>
            <w:tcBorders>
              <w:top w:val="nil"/>
              <w:left w:val="nil"/>
              <w:bottom w:val="single" w:sz="6" w:space="0" w:color="D2DDEE"/>
              <w:right w:val="single" w:sz="6" w:space="0" w:color="D2DDEE"/>
            </w:tcBorders>
            <w:shd w:val="clear" w:color="auto" w:fill="auto"/>
            <w:vAlign w:val="center"/>
            <w:hideMark/>
          </w:tcPr>
          <w:p w14:paraId="5D6D3291"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lang w:eastAsia="en-GB"/>
              </w:rPr>
              <w:t>  </w:t>
            </w:r>
          </w:p>
        </w:tc>
        <w:tc>
          <w:tcPr>
            <w:tcW w:w="825" w:type="dxa"/>
            <w:tcBorders>
              <w:top w:val="nil"/>
              <w:left w:val="nil"/>
              <w:bottom w:val="single" w:sz="6" w:space="0" w:color="D2DDEE"/>
              <w:right w:val="single" w:sz="6" w:space="0" w:color="D2DDEE"/>
            </w:tcBorders>
            <w:shd w:val="clear" w:color="auto" w:fill="auto"/>
            <w:vAlign w:val="center"/>
            <w:hideMark/>
          </w:tcPr>
          <w:p w14:paraId="4139DDAF"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1,100 </w:t>
            </w:r>
          </w:p>
        </w:tc>
      </w:tr>
      <w:tr w:rsidR="001262E9" w:rsidRPr="0064067C" w14:paraId="218E2364"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18BAA908"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000000"/>
                <w:lang w:eastAsia="en-GB"/>
              </w:rPr>
              <w:t>DESW Camera Replacement (unapproved) </w:t>
            </w:r>
          </w:p>
        </w:tc>
        <w:tc>
          <w:tcPr>
            <w:tcW w:w="885" w:type="dxa"/>
            <w:tcBorders>
              <w:top w:val="nil"/>
              <w:left w:val="nil"/>
              <w:bottom w:val="single" w:sz="6" w:space="0" w:color="D2DDEE"/>
              <w:right w:val="single" w:sz="6" w:space="0" w:color="D2DDEE"/>
            </w:tcBorders>
            <w:shd w:val="clear" w:color="auto" w:fill="auto"/>
            <w:vAlign w:val="center"/>
            <w:hideMark/>
          </w:tcPr>
          <w:p w14:paraId="4BF36887"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463 </w:t>
            </w:r>
          </w:p>
        </w:tc>
        <w:tc>
          <w:tcPr>
            <w:tcW w:w="810" w:type="dxa"/>
            <w:tcBorders>
              <w:top w:val="nil"/>
              <w:left w:val="nil"/>
              <w:bottom w:val="single" w:sz="6" w:space="0" w:color="D2DDEE"/>
              <w:right w:val="single" w:sz="6" w:space="0" w:color="D2DDEE"/>
            </w:tcBorders>
            <w:shd w:val="clear" w:color="auto" w:fill="auto"/>
            <w:vAlign w:val="center"/>
            <w:hideMark/>
          </w:tcPr>
          <w:p w14:paraId="53FDEDF7"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c>
          <w:tcPr>
            <w:tcW w:w="825" w:type="dxa"/>
            <w:tcBorders>
              <w:top w:val="nil"/>
              <w:left w:val="nil"/>
              <w:bottom w:val="single" w:sz="6" w:space="0" w:color="D2DDEE"/>
              <w:right w:val="single" w:sz="6" w:space="0" w:color="D2DDEE"/>
            </w:tcBorders>
            <w:shd w:val="clear" w:color="auto" w:fill="auto"/>
            <w:vAlign w:val="center"/>
            <w:hideMark/>
          </w:tcPr>
          <w:p w14:paraId="4F9EFE49"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r>
      <w:tr w:rsidR="001262E9" w:rsidRPr="0064067C" w14:paraId="11E8CC28"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64F08A3E"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000000"/>
                <w:lang w:eastAsia="en-GB"/>
              </w:rPr>
              <w:t>DESW Vans (Unapproved) </w:t>
            </w:r>
          </w:p>
        </w:tc>
        <w:tc>
          <w:tcPr>
            <w:tcW w:w="885" w:type="dxa"/>
            <w:tcBorders>
              <w:top w:val="nil"/>
              <w:left w:val="nil"/>
              <w:bottom w:val="single" w:sz="6" w:space="0" w:color="D2DDEE"/>
              <w:right w:val="single" w:sz="6" w:space="0" w:color="D2DDEE"/>
            </w:tcBorders>
            <w:shd w:val="clear" w:color="auto" w:fill="auto"/>
            <w:vAlign w:val="center"/>
            <w:hideMark/>
          </w:tcPr>
          <w:p w14:paraId="7AF46155"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750 </w:t>
            </w:r>
          </w:p>
        </w:tc>
        <w:tc>
          <w:tcPr>
            <w:tcW w:w="810" w:type="dxa"/>
            <w:tcBorders>
              <w:top w:val="nil"/>
              <w:left w:val="nil"/>
              <w:bottom w:val="single" w:sz="6" w:space="0" w:color="D2DDEE"/>
              <w:right w:val="single" w:sz="6" w:space="0" w:color="D2DDEE"/>
            </w:tcBorders>
            <w:shd w:val="clear" w:color="auto" w:fill="auto"/>
            <w:vAlign w:val="center"/>
            <w:hideMark/>
          </w:tcPr>
          <w:p w14:paraId="0C4700E7"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750 </w:t>
            </w:r>
          </w:p>
        </w:tc>
        <w:tc>
          <w:tcPr>
            <w:tcW w:w="825" w:type="dxa"/>
            <w:tcBorders>
              <w:top w:val="nil"/>
              <w:left w:val="nil"/>
              <w:bottom w:val="single" w:sz="6" w:space="0" w:color="D2DDEE"/>
              <w:right w:val="single" w:sz="6" w:space="0" w:color="D2DDEE"/>
            </w:tcBorders>
            <w:shd w:val="clear" w:color="auto" w:fill="auto"/>
            <w:vAlign w:val="center"/>
            <w:hideMark/>
          </w:tcPr>
          <w:p w14:paraId="1AFA5DAF"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r>
      <w:tr w:rsidR="001262E9" w:rsidRPr="0064067C" w14:paraId="4F2B2497"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2AECDC3F"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000000"/>
                <w:lang w:eastAsia="en-GB"/>
              </w:rPr>
              <w:t>Equipment Replacement (Unapproved) </w:t>
            </w:r>
          </w:p>
        </w:tc>
        <w:tc>
          <w:tcPr>
            <w:tcW w:w="885" w:type="dxa"/>
            <w:tcBorders>
              <w:top w:val="nil"/>
              <w:left w:val="nil"/>
              <w:bottom w:val="single" w:sz="6" w:space="0" w:color="D2DDEE"/>
              <w:right w:val="single" w:sz="6" w:space="0" w:color="D2DDEE"/>
            </w:tcBorders>
            <w:shd w:val="clear" w:color="auto" w:fill="auto"/>
            <w:vAlign w:val="center"/>
            <w:hideMark/>
          </w:tcPr>
          <w:p w14:paraId="5BCA1BD3"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0 </w:t>
            </w:r>
          </w:p>
        </w:tc>
        <w:tc>
          <w:tcPr>
            <w:tcW w:w="810" w:type="dxa"/>
            <w:tcBorders>
              <w:top w:val="nil"/>
              <w:left w:val="nil"/>
              <w:bottom w:val="single" w:sz="6" w:space="0" w:color="D2DDEE"/>
              <w:right w:val="single" w:sz="6" w:space="0" w:color="D2DDEE"/>
            </w:tcBorders>
            <w:shd w:val="clear" w:color="auto" w:fill="auto"/>
            <w:vAlign w:val="center"/>
            <w:hideMark/>
          </w:tcPr>
          <w:p w14:paraId="739A5DAB"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273 </w:t>
            </w:r>
          </w:p>
        </w:tc>
        <w:tc>
          <w:tcPr>
            <w:tcW w:w="825" w:type="dxa"/>
            <w:tcBorders>
              <w:top w:val="nil"/>
              <w:left w:val="nil"/>
              <w:bottom w:val="single" w:sz="6" w:space="0" w:color="D2DDEE"/>
              <w:right w:val="single" w:sz="6" w:space="0" w:color="D2DDEE"/>
            </w:tcBorders>
            <w:shd w:val="clear" w:color="auto" w:fill="auto"/>
            <w:vAlign w:val="center"/>
            <w:hideMark/>
          </w:tcPr>
          <w:p w14:paraId="0408582B"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1,717 </w:t>
            </w:r>
          </w:p>
        </w:tc>
      </w:tr>
      <w:tr w:rsidR="001262E9" w:rsidRPr="0064067C" w14:paraId="399463CC"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hideMark/>
          </w:tcPr>
          <w:p w14:paraId="45278CD2"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000000"/>
                <w:lang w:eastAsia="en-GB"/>
              </w:rPr>
              <w:t>Digital Priorities Investment Fund (DPIF) Cyber Security (Unapproved) </w:t>
            </w:r>
          </w:p>
        </w:tc>
        <w:tc>
          <w:tcPr>
            <w:tcW w:w="885" w:type="dxa"/>
            <w:tcBorders>
              <w:top w:val="nil"/>
              <w:left w:val="nil"/>
              <w:bottom w:val="single" w:sz="6" w:space="0" w:color="D2DDEE"/>
              <w:right w:val="single" w:sz="6" w:space="0" w:color="D2DDEE"/>
            </w:tcBorders>
            <w:shd w:val="clear" w:color="auto" w:fill="auto"/>
            <w:vAlign w:val="center"/>
            <w:hideMark/>
          </w:tcPr>
          <w:p w14:paraId="19523792"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c>
          <w:tcPr>
            <w:tcW w:w="810" w:type="dxa"/>
            <w:tcBorders>
              <w:top w:val="nil"/>
              <w:left w:val="nil"/>
              <w:bottom w:val="single" w:sz="6" w:space="0" w:color="D2DDEE"/>
              <w:right w:val="single" w:sz="6" w:space="0" w:color="D2DDEE"/>
            </w:tcBorders>
            <w:shd w:val="clear" w:color="auto" w:fill="auto"/>
            <w:vAlign w:val="center"/>
            <w:hideMark/>
          </w:tcPr>
          <w:p w14:paraId="022AA95F"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1,305 </w:t>
            </w:r>
          </w:p>
        </w:tc>
        <w:tc>
          <w:tcPr>
            <w:tcW w:w="825" w:type="dxa"/>
            <w:tcBorders>
              <w:top w:val="nil"/>
              <w:left w:val="nil"/>
              <w:bottom w:val="single" w:sz="6" w:space="0" w:color="D2DDEE"/>
              <w:right w:val="single" w:sz="6" w:space="0" w:color="D2DDEE"/>
            </w:tcBorders>
            <w:shd w:val="clear" w:color="auto" w:fill="auto"/>
            <w:vAlign w:val="center"/>
            <w:hideMark/>
          </w:tcPr>
          <w:p w14:paraId="39B04002"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color w:val="404040"/>
                <w:lang w:eastAsia="en-GB"/>
              </w:rPr>
              <w:t>  </w:t>
            </w:r>
          </w:p>
        </w:tc>
      </w:tr>
      <w:tr w:rsidR="001262E9" w:rsidRPr="0064067C" w14:paraId="2AB9FFFD"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tcPr>
          <w:p w14:paraId="0CC55624" w14:textId="77777777" w:rsidR="001262E9" w:rsidRPr="0064067C" w:rsidRDefault="001262E9" w:rsidP="00D7608E">
            <w:pPr>
              <w:textAlignment w:val="baseline"/>
              <w:rPr>
                <w:rFonts w:ascii="Calibri" w:eastAsia="Times New Roman" w:hAnsi="Calibri" w:cs="Calibri"/>
                <w:color w:val="000000"/>
                <w:lang w:eastAsia="en-GB"/>
              </w:rPr>
            </w:pPr>
            <w:r>
              <w:rPr>
                <w:rFonts w:ascii="Calibri" w:eastAsia="Times New Roman" w:hAnsi="Calibri" w:cs="Calibri"/>
                <w:color w:val="000000"/>
                <w:lang w:eastAsia="en-GB"/>
              </w:rPr>
              <w:t>10 Year Plan - Digital</w:t>
            </w:r>
          </w:p>
        </w:tc>
        <w:tc>
          <w:tcPr>
            <w:tcW w:w="885" w:type="dxa"/>
            <w:tcBorders>
              <w:top w:val="nil"/>
              <w:left w:val="nil"/>
              <w:bottom w:val="single" w:sz="6" w:space="0" w:color="D2DDEE"/>
              <w:right w:val="single" w:sz="6" w:space="0" w:color="D2DDEE"/>
            </w:tcBorders>
            <w:shd w:val="clear" w:color="auto" w:fill="auto"/>
            <w:vAlign w:val="center"/>
          </w:tcPr>
          <w:p w14:paraId="09864C11" w14:textId="77777777" w:rsidR="001262E9" w:rsidRPr="0064067C" w:rsidRDefault="001262E9" w:rsidP="00D7608E">
            <w:pPr>
              <w:jc w:val="right"/>
              <w:textAlignment w:val="baseline"/>
              <w:rPr>
                <w:rFonts w:ascii="Calibri" w:eastAsia="Times New Roman" w:hAnsi="Calibri" w:cs="Calibri"/>
                <w:color w:val="404040"/>
                <w:lang w:eastAsia="en-GB"/>
              </w:rPr>
            </w:pPr>
            <w:r>
              <w:rPr>
                <w:rFonts w:ascii="Calibri" w:eastAsia="Times New Roman" w:hAnsi="Calibri" w:cs="Calibri"/>
                <w:color w:val="404040"/>
                <w:lang w:eastAsia="en-GB"/>
              </w:rPr>
              <w:t>1,720</w:t>
            </w:r>
          </w:p>
        </w:tc>
        <w:tc>
          <w:tcPr>
            <w:tcW w:w="810" w:type="dxa"/>
            <w:tcBorders>
              <w:top w:val="nil"/>
              <w:left w:val="nil"/>
              <w:bottom w:val="single" w:sz="6" w:space="0" w:color="D2DDEE"/>
              <w:right w:val="single" w:sz="6" w:space="0" w:color="D2DDEE"/>
            </w:tcBorders>
            <w:shd w:val="clear" w:color="auto" w:fill="auto"/>
            <w:vAlign w:val="center"/>
          </w:tcPr>
          <w:p w14:paraId="0020E95E" w14:textId="77777777" w:rsidR="001262E9" w:rsidRPr="0064067C" w:rsidRDefault="001262E9" w:rsidP="00D7608E">
            <w:pPr>
              <w:jc w:val="right"/>
              <w:textAlignment w:val="baseline"/>
              <w:rPr>
                <w:rFonts w:ascii="Calibri" w:eastAsia="Times New Roman" w:hAnsi="Calibri" w:cs="Calibri"/>
                <w:color w:val="404040"/>
                <w:lang w:eastAsia="en-GB"/>
              </w:rPr>
            </w:pPr>
            <w:r>
              <w:rPr>
                <w:rFonts w:ascii="Calibri" w:eastAsia="Times New Roman" w:hAnsi="Calibri" w:cs="Calibri"/>
                <w:color w:val="404040"/>
                <w:lang w:eastAsia="en-GB"/>
              </w:rPr>
              <w:t>1,205</w:t>
            </w:r>
          </w:p>
        </w:tc>
        <w:tc>
          <w:tcPr>
            <w:tcW w:w="825" w:type="dxa"/>
            <w:tcBorders>
              <w:top w:val="nil"/>
              <w:left w:val="nil"/>
              <w:bottom w:val="single" w:sz="6" w:space="0" w:color="D2DDEE"/>
              <w:right w:val="single" w:sz="6" w:space="0" w:color="D2DDEE"/>
            </w:tcBorders>
            <w:shd w:val="clear" w:color="auto" w:fill="auto"/>
            <w:vAlign w:val="center"/>
          </w:tcPr>
          <w:p w14:paraId="09A56FAD" w14:textId="77777777" w:rsidR="001262E9" w:rsidRPr="0064067C" w:rsidRDefault="001262E9" w:rsidP="00D7608E">
            <w:pPr>
              <w:jc w:val="right"/>
              <w:textAlignment w:val="baseline"/>
              <w:rPr>
                <w:rFonts w:ascii="Calibri" w:eastAsia="Times New Roman" w:hAnsi="Calibri" w:cs="Calibri"/>
                <w:color w:val="404040"/>
                <w:lang w:eastAsia="en-GB"/>
              </w:rPr>
            </w:pPr>
            <w:r>
              <w:rPr>
                <w:rFonts w:ascii="Calibri" w:eastAsia="Times New Roman" w:hAnsi="Calibri" w:cs="Calibri"/>
                <w:color w:val="404040"/>
                <w:lang w:eastAsia="en-GB"/>
              </w:rPr>
              <w:t>665</w:t>
            </w:r>
          </w:p>
        </w:tc>
      </w:tr>
      <w:tr w:rsidR="001262E9" w:rsidRPr="0064067C" w14:paraId="5A7982EE"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auto"/>
            <w:vAlign w:val="center"/>
          </w:tcPr>
          <w:p w14:paraId="3C9E6158" w14:textId="77777777" w:rsidR="001262E9" w:rsidRPr="0064067C" w:rsidRDefault="001262E9" w:rsidP="00D7608E">
            <w:pPr>
              <w:textAlignment w:val="baseline"/>
              <w:rPr>
                <w:rFonts w:ascii="Calibri" w:eastAsia="Times New Roman" w:hAnsi="Calibri" w:cs="Calibri"/>
                <w:color w:val="000000"/>
                <w:lang w:eastAsia="en-GB"/>
              </w:rPr>
            </w:pPr>
            <w:r>
              <w:rPr>
                <w:rFonts w:ascii="Calibri" w:eastAsia="Times New Roman" w:hAnsi="Calibri" w:cs="Calibri"/>
                <w:color w:val="000000"/>
                <w:lang w:eastAsia="en-GB"/>
              </w:rPr>
              <w:t>10 Year Plan - Estates</w:t>
            </w:r>
          </w:p>
        </w:tc>
        <w:tc>
          <w:tcPr>
            <w:tcW w:w="885" w:type="dxa"/>
            <w:tcBorders>
              <w:top w:val="nil"/>
              <w:left w:val="nil"/>
              <w:bottom w:val="single" w:sz="6" w:space="0" w:color="D2DDEE"/>
              <w:right w:val="single" w:sz="6" w:space="0" w:color="D2DDEE"/>
            </w:tcBorders>
            <w:shd w:val="clear" w:color="auto" w:fill="auto"/>
            <w:vAlign w:val="center"/>
          </w:tcPr>
          <w:p w14:paraId="230952C3" w14:textId="77777777" w:rsidR="001262E9" w:rsidRPr="0064067C" w:rsidRDefault="001262E9" w:rsidP="00D7608E">
            <w:pPr>
              <w:jc w:val="right"/>
              <w:textAlignment w:val="baseline"/>
              <w:rPr>
                <w:rFonts w:ascii="Calibri" w:eastAsia="Times New Roman" w:hAnsi="Calibri" w:cs="Calibri"/>
                <w:color w:val="404040"/>
                <w:lang w:eastAsia="en-GB"/>
              </w:rPr>
            </w:pPr>
            <w:r>
              <w:rPr>
                <w:rFonts w:ascii="Calibri" w:eastAsia="Times New Roman" w:hAnsi="Calibri" w:cs="Calibri"/>
                <w:color w:val="404040"/>
                <w:lang w:eastAsia="en-GB"/>
              </w:rPr>
              <w:t>8,405</w:t>
            </w:r>
          </w:p>
        </w:tc>
        <w:tc>
          <w:tcPr>
            <w:tcW w:w="810" w:type="dxa"/>
            <w:tcBorders>
              <w:top w:val="nil"/>
              <w:left w:val="nil"/>
              <w:bottom w:val="single" w:sz="6" w:space="0" w:color="D2DDEE"/>
              <w:right w:val="single" w:sz="6" w:space="0" w:color="D2DDEE"/>
            </w:tcBorders>
            <w:shd w:val="clear" w:color="auto" w:fill="auto"/>
            <w:vAlign w:val="center"/>
          </w:tcPr>
          <w:p w14:paraId="37B8C048" w14:textId="77777777" w:rsidR="001262E9" w:rsidRPr="0064067C" w:rsidRDefault="001262E9" w:rsidP="00D7608E">
            <w:pPr>
              <w:jc w:val="right"/>
              <w:textAlignment w:val="baseline"/>
              <w:rPr>
                <w:rFonts w:ascii="Calibri" w:eastAsia="Times New Roman" w:hAnsi="Calibri" w:cs="Calibri"/>
                <w:color w:val="404040"/>
                <w:lang w:eastAsia="en-GB"/>
              </w:rPr>
            </w:pPr>
            <w:r>
              <w:rPr>
                <w:rFonts w:ascii="Calibri" w:eastAsia="Times New Roman" w:hAnsi="Calibri" w:cs="Calibri"/>
                <w:color w:val="404040"/>
                <w:lang w:eastAsia="en-GB"/>
              </w:rPr>
              <w:t>2,535</w:t>
            </w:r>
          </w:p>
        </w:tc>
        <w:tc>
          <w:tcPr>
            <w:tcW w:w="825" w:type="dxa"/>
            <w:tcBorders>
              <w:top w:val="nil"/>
              <w:left w:val="nil"/>
              <w:bottom w:val="single" w:sz="6" w:space="0" w:color="D2DDEE"/>
              <w:right w:val="single" w:sz="6" w:space="0" w:color="D2DDEE"/>
            </w:tcBorders>
            <w:shd w:val="clear" w:color="auto" w:fill="auto"/>
            <w:vAlign w:val="center"/>
          </w:tcPr>
          <w:p w14:paraId="45B561E6" w14:textId="77777777" w:rsidR="001262E9" w:rsidRPr="0064067C" w:rsidRDefault="001262E9" w:rsidP="00D7608E">
            <w:pPr>
              <w:jc w:val="right"/>
              <w:textAlignment w:val="baseline"/>
              <w:rPr>
                <w:rFonts w:ascii="Calibri" w:eastAsia="Times New Roman" w:hAnsi="Calibri" w:cs="Calibri"/>
                <w:color w:val="404040"/>
                <w:lang w:eastAsia="en-GB"/>
              </w:rPr>
            </w:pPr>
            <w:r>
              <w:rPr>
                <w:rFonts w:ascii="Calibri" w:eastAsia="Times New Roman" w:hAnsi="Calibri" w:cs="Calibri"/>
                <w:color w:val="404040"/>
                <w:lang w:eastAsia="en-GB"/>
              </w:rPr>
              <w:t>8,870</w:t>
            </w:r>
          </w:p>
        </w:tc>
      </w:tr>
      <w:tr w:rsidR="001262E9" w:rsidRPr="0064067C" w14:paraId="10717020"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D9E1F2"/>
            <w:vAlign w:val="center"/>
            <w:hideMark/>
          </w:tcPr>
          <w:p w14:paraId="02A0BE27"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b/>
                <w:bCs/>
                <w:color w:val="404040"/>
                <w:lang w:eastAsia="en-GB"/>
              </w:rPr>
              <w:t>Total Unapproved Strategic Schemes</w:t>
            </w:r>
            <w:r w:rsidRPr="0064067C">
              <w:rPr>
                <w:rFonts w:ascii="Calibri" w:eastAsia="Times New Roman" w:hAnsi="Calibri" w:cs="Calibri"/>
                <w:color w:val="404040"/>
                <w:lang w:eastAsia="en-GB"/>
              </w:rPr>
              <w:t> </w:t>
            </w:r>
          </w:p>
        </w:tc>
        <w:tc>
          <w:tcPr>
            <w:tcW w:w="885" w:type="dxa"/>
            <w:tcBorders>
              <w:top w:val="nil"/>
              <w:left w:val="nil"/>
              <w:bottom w:val="single" w:sz="6" w:space="0" w:color="D2DDEE"/>
              <w:right w:val="single" w:sz="6" w:space="0" w:color="D2DDEE"/>
            </w:tcBorders>
            <w:shd w:val="clear" w:color="auto" w:fill="D9E1F2"/>
            <w:vAlign w:val="center"/>
            <w:hideMark/>
          </w:tcPr>
          <w:p w14:paraId="6BABA1E7"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b/>
                <w:bCs/>
                <w:color w:val="404040"/>
                <w:lang w:eastAsia="en-GB"/>
              </w:rPr>
              <w:t>1</w:t>
            </w:r>
            <w:r>
              <w:rPr>
                <w:rFonts w:ascii="Calibri" w:eastAsia="Times New Roman" w:hAnsi="Calibri" w:cs="Calibri"/>
                <w:b/>
                <w:bCs/>
                <w:color w:val="404040"/>
                <w:lang w:eastAsia="en-GB"/>
              </w:rPr>
              <w:t>0</w:t>
            </w:r>
            <w:r w:rsidRPr="0064067C">
              <w:rPr>
                <w:rFonts w:ascii="Calibri" w:eastAsia="Times New Roman" w:hAnsi="Calibri" w:cs="Calibri"/>
                <w:b/>
                <w:bCs/>
                <w:color w:val="404040"/>
                <w:lang w:eastAsia="en-GB"/>
              </w:rPr>
              <w:t>,</w:t>
            </w:r>
            <w:r>
              <w:rPr>
                <w:rFonts w:ascii="Calibri" w:eastAsia="Times New Roman" w:hAnsi="Calibri" w:cs="Calibri"/>
                <w:b/>
                <w:bCs/>
                <w:color w:val="404040"/>
                <w:lang w:eastAsia="en-GB"/>
              </w:rPr>
              <w:t>125</w:t>
            </w:r>
            <w:r w:rsidRPr="0064067C">
              <w:rPr>
                <w:rFonts w:ascii="Calibri" w:eastAsia="Times New Roman" w:hAnsi="Calibri" w:cs="Calibri"/>
                <w:color w:val="404040"/>
                <w:lang w:eastAsia="en-GB"/>
              </w:rPr>
              <w:t> </w:t>
            </w:r>
          </w:p>
        </w:tc>
        <w:tc>
          <w:tcPr>
            <w:tcW w:w="810" w:type="dxa"/>
            <w:tcBorders>
              <w:top w:val="nil"/>
              <w:left w:val="nil"/>
              <w:bottom w:val="single" w:sz="6" w:space="0" w:color="D2DDEE"/>
              <w:right w:val="single" w:sz="6" w:space="0" w:color="D2DDEE"/>
            </w:tcBorders>
            <w:shd w:val="clear" w:color="auto" w:fill="D9E1F2"/>
            <w:vAlign w:val="center"/>
            <w:hideMark/>
          </w:tcPr>
          <w:p w14:paraId="326EFC8E"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Pr>
                <w:rFonts w:ascii="Calibri" w:eastAsia="Times New Roman" w:hAnsi="Calibri" w:cs="Calibri"/>
                <w:b/>
                <w:bCs/>
                <w:color w:val="404040"/>
                <w:lang w:eastAsia="en-GB"/>
              </w:rPr>
              <w:t>3</w:t>
            </w:r>
            <w:r w:rsidRPr="0064067C">
              <w:rPr>
                <w:rFonts w:ascii="Calibri" w:eastAsia="Times New Roman" w:hAnsi="Calibri" w:cs="Calibri"/>
                <w:b/>
                <w:bCs/>
                <w:color w:val="404040"/>
                <w:lang w:eastAsia="en-GB"/>
              </w:rPr>
              <w:t>,</w:t>
            </w:r>
            <w:r>
              <w:rPr>
                <w:rFonts w:ascii="Calibri" w:eastAsia="Times New Roman" w:hAnsi="Calibri" w:cs="Calibri"/>
                <w:b/>
                <w:bCs/>
                <w:color w:val="404040"/>
                <w:lang w:eastAsia="en-GB"/>
              </w:rPr>
              <w:t>740</w:t>
            </w:r>
            <w:r w:rsidRPr="0064067C">
              <w:rPr>
                <w:rFonts w:ascii="Calibri" w:eastAsia="Times New Roman" w:hAnsi="Calibri" w:cs="Calibri"/>
                <w:color w:val="404040"/>
                <w:lang w:eastAsia="en-GB"/>
              </w:rPr>
              <w:t> </w:t>
            </w:r>
          </w:p>
        </w:tc>
        <w:tc>
          <w:tcPr>
            <w:tcW w:w="825" w:type="dxa"/>
            <w:tcBorders>
              <w:top w:val="nil"/>
              <w:left w:val="nil"/>
              <w:bottom w:val="single" w:sz="6" w:space="0" w:color="D2DDEE"/>
              <w:right w:val="single" w:sz="6" w:space="0" w:color="D2DDEE"/>
            </w:tcBorders>
            <w:shd w:val="clear" w:color="auto" w:fill="D9E1F2"/>
            <w:vAlign w:val="center"/>
            <w:hideMark/>
          </w:tcPr>
          <w:p w14:paraId="66DB91B3"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Pr>
                <w:rFonts w:ascii="Calibri" w:eastAsia="Times New Roman" w:hAnsi="Calibri" w:cs="Calibri"/>
                <w:b/>
                <w:bCs/>
                <w:color w:val="404040"/>
                <w:lang w:eastAsia="en-GB"/>
              </w:rPr>
              <w:t>9,535</w:t>
            </w:r>
            <w:r w:rsidRPr="0064067C">
              <w:rPr>
                <w:rFonts w:ascii="Calibri" w:eastAsia="Times New Roman" w:hAnsi="Calibri" w:cs="Calibri"/>
                <w:color w:val="404040"/>
                <w:lang w:eastAsia="en-GB"/>
              </w:rPr>
              <w:t> </w:t>
            </w:r>
          </w:p>
        </w:tc>
      </w:tr>
      <w:tr w:rsidR="001262E9" w:rsidRPr="0064067C" w14:paraId="225FA286" w14:textId="77777777" w:rsidTr="00D7608E">
        <w:trPr>
          <w:trHeight w:val="300"/>
        </w:trPr>
        <w:tc>
          <w:tcPr>
            <w:tcW w:w="6450" w:type="dxa"/>
            <w:tcBorders>
              <w:top w:val="nil"/>
              <w:left w:val="single" w:sz="6" w:space="0" w:color="D2DDEE"/>
              <w:bottom w:val="single" w:sz="6" w:space="0" w:color="D2DDEE"/>
              <w:right w:val="single" w:sz="6" w:space="0" w:color="D2DDEE"/>
            </w:tcBorders>
            <w:shd w:val="clear" w:color="auto" w:fill="548DD4"/>
            <w:vAlign w:val="center"/>
            <w:hideMark/>
          </w:tcPr>
          <w:p w14:paraId="6AE724E8" w14:textId="77777777" w:rsidR="001262E9" w:rsidRPr="0064067C" w:rsidRDefault="001262E9" w:rsidP="00D7608E">
            <w:pPr>
              <w:textAlignment w:val="baseline"/>
              <w:rPr>
                <w:rFonts w:ascii="Times New Roman" w:eastAsia="Times New Roman" w:hAnsi="Times New Roman" w:cs="Times New Roman"/>
                <w:szCs w:val="24"/>
                <w:lang w:eastAsia="en-GB"/>
              </w:rPr>
            </w:pPr>
            <w:r w:rsidRPr="0064067C">
              <w:rPr>
                <w:rFonts w:ascii="Calibri" w:eastAsia="Times New Roman" w:hAnsi="Calibri" w:cs="Calibri"/>
                <w:b/>
                <w:bCs/>
                <w:color w:val="FFFFFF"/>
                <w:lang w:eastAsia="en-GB"/>
              </w:rPr>
              <w:t>Total Strategic Capital</w:t>
            </w:r>
            <w:r w:rsidRPr="0064067C">
              <w:rPr>
                <w:rFonts w:ascii="Calibri" w:eastAsia="Times New Roman" w:hAnsi="Calibri" w:cs="Calibri"/>
                <w:color w:val="FFFFFF"/>
                <w:lang w:eastAsia="en-GB"/>
              </w:rPr>
              <w:t> </w:t>
            </w:r>
          </w:p>
        </w:tc>
        <w:tc>
          <w:tcPr>
            <w:tcW w:w="885" w:type="dxa"/>
            <w:tcBorders>
              <w:top w:val="nil"/>
              <w:left w:val="nil"/>
              <w:bottom w:val="single" w:sz="6" w:space="0" w:color="D2DDEE"/>
              <w:right w:val="single" w:sz="6" w:space="0" w:color="D2DDEE"/>
            </w:tcBorders>
            <w:shd w:val="clear" w:color="auto" w:fill="548DD4"/>
            <w:vAlign w:val="center"/>
            <w:hideMark/>
          </w:tcPr>
          <w:p w14:paraId="407FDBB5"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sidRPr="0064067C">
              <w:rPr>
                <w:rFonts w:ascii="Calibri" w:eastAsia="Times New Roman" w:hAnsi="Calibri" w:cs="Calibri"/>
                <w:b/>
                <w:bCs/>
                <w:color w:val="FFFFFF"/>
                <w:lang w:eastAsia="en-GB"/>
              </w:rPr>
              <w:t>1</w:t>
            </w:r>
            <w:r>
              <w:rPr>
                <w:rFonts w:ascii="Calibri" w:eastAsia="Times New Roman" w:hAnsi="Calibri" w:cs="Calibri"/>
                <w:b/>
                <w:bCs/>
                <w:color w:val="FFFFFF"/>
                <w:lang w:eastAsia="en-GB"/>
              </w:rPr>
              <w:t>0</w:t>
            </w:r>
            <w:r w:rsidRPr="0064067C">
              <w:rPr>
                <w:rFonts w:ascii="Calibri" w:eastAsia="Times New Roman" w:hAnsi="Calibri" w:cs="Calibri"/>
                <w:b/>
                <w:bCs/>
                <w:color w:val="FFFFFF"/>
                <w:lang w:eastAsia="en-GB"/>
              </w:rPr>
              <w:t>,</w:t>
            </w:r>
            <w:r>
              <w:rPr>
                <w:rFonts w:ascii="Calibri" w:eastAsia="Times New Roman" w:hAnsi="Calibri" w:cs="Calibri"/>
                <w:b/>
                <w:bCs/>
                <w:color w:val="FFFFFF"/>
                <w:lang w:eastAsia="en-GB"/>
              </w:rPr>
              <w:t>543</w:t>
            </w:r>
            <w:r w:rsidRPr="0064067C">
              <w:rPr>
                <w:rFonts w:ascii="Calibri" w:eastAsia="Times New Roman" w:hAnsi="Calibri" w:cs="Calibri"/>
                <w:color w:val="FFFFFF"/>
                <w:lang w:eastAsia="en-GB"/>
              </w:rPr>
              <w:t> </w:t>
            </w:r>
          </w:p>
        </w:tc>
        <w:tc>
          <w:tcPr>
            <w:tcW w:w="810" w:type="dxa"/>
            <w:tcBorders>
              <w:top w:val="nil"/>
              <w:left w:val="nil"/>
              <w:bottom w:val="single" w:sz="6" w:space="0" w:color="D2DDEE"/>
              <w:right w:val="single" w:sz="6" w:space="0" w:color="D2DDEE"/>
            </w:tcBorders>
            <w:shd w:val="clear" w:color="auto" w:fill="548DD4"/>
            <w:vAlign w:val="center"/>
            <w:hideMark/>
          </w:tcPr>
          <w:p w14:paraId="041C7950"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Pr>
                <w:rFonts w:ascii="Calibri" w:eastAsia="Times New Roman" w:hAnsi="Calibri" w:cs="Calibri"/>
                <w:b/>
                <w:bCs/>
                <w:color w:val="FFFFFF"/>
                <w:lang w:eastAsia="en-GB"/>
              </w:rPr>
              <w:t>3</w:t>
            </w:r>
            <w:r w:rsidRPr="0064067C">
              <w:rPr>
                <w:rFonts w:ascii="Calibri" w:eastAsia="Times New Roman" w:hAnsi="Calibri" w:cs="Calibri"/>
                <w:b/>
                <w:bCs/>
                <w:color w:val="FFFFFF"/>
                <w:lang w:eastAsia="en-GB"/>
              </w:rPr>
              <w:t>,</w:t>
            </w:r>
            <w:r>
              <w:rPr>
                <w:rFonts w:ascii="Calibri" w:eastAsia="Times New Roman" w:hAnsi="Calibri" w:cs="Calibri"/>
                <w:b/>
                <w:bCs/>
                <w:color w:val="FFFFFF"/>
                <w:lang w:eastAsia="en-GB"/>
              </w:rPr>
              <w:t>740</w:t>
            </w:r>
            <w:r w:rsidRPr="0064067C">
              <w:rPr>
                <w:rFonts w:ascii="Calibri" w:eastAsia="Times New Roman" w:hAnsi="Calibri" w:cs="Calibri"/>
                <w:color w:val="FFFFFF"/>
                <w:lang w:eastAsia="en-GB"/>
              </w:rPr>
              <w:t> </w:t>
            </w:r>
          </w:p>
        </w:tc>
        <w:tc>
          <w:tcPr>
            <w:tcW w:w="825" w:type="dxa"/>
            <w:tcBorders>
              <w:top w:val="nil"/>
              <w:left w:val="nil"/>
              <w:bottom w:val="single" w:sz="6" w:space="0" w:color="D2DDEE"/>
              <w:right w:val="single" w:sz="6" w:space="0" w:color="D2DDEE"/>
            </w:tcBorders>
            <w:shd w:val="clear" w:color="auto" w:fill="548DD4"/>
            <w:vAlign w:val="center"/>
            <w:hideMark/>
          </w:tcPr>
          <w:p w14:paraId="53669B46" w14:textId="77777777" w:rsidR="001262E9" w:rsidRPr="0064067C" w:rsidRDefault="001262E9" w:rsidP="00D7608E">
            <w:pPr>
              <w:jc w:val="right"/>
              <w:textAlignment w:val="baseline"/>
              <w:rPr>
                <w:rFonts w:ascii="Times New Roman" w:eastAsia="Times New Roman" w:hAnsi="Times New Roman" w:cs="Times New Roman"/>
                <w:szCs w:val="24"/>
                <w:lang w:eastAsia="en-GB"/>
              </w:rPr>
            </w:pPr>
            <w:r>
              <w:rPr>
                <w:rFonts w:ascii="Calibri" w:eastAsia="Times New Roman" w:hAnsi="Calibri" w:cs="Calibri"/>
                <w:b/>
                <w:bCs/>
                <w:color w:val="FFFFFF"/>
                <w:lang w:eastAsia="en-GB"/>
              </w:rPr>
              <w:t>9</w:t>
            </w:r>
            <w:r w:rsidRPr="0064067C">
              <w:rPr>
                <w:rFonts w:ascii="Calibri" w:eastAsia="Times New Roman" w:hAnsi="Calibri" w:cs="Calibri"/>
                <w:b/>
                <w:bCs/>
                <w:color w:val="FFFFFF"/>
                <w:lang w:eastAsia="en-GB"/>
              </w:rPr>
              <w:t>,</w:t>
            </w:r>
            <w:r>
              <w:rPr>
                <w:rFonts w:ascii="Calibri" w:eastAsia="Times New Roman" w:hAnsi="Calibri" w:cs="Calibri"/>
                <w:b/>
                <w:bCs/>
                <w:color w:val="FFFFFF"/>
                <w:lang w:eastAsia="en-GB"/>
              </w:rPr>
              <w:t>535</w:t>
            </w:r>
            <w:r w:rsidRPr="0064067C">
              <w:rPr>
                <w:rFonts w:ascii="Calibri" w:eastAsia="Times New Roman" w:hAnsi="Calibri" w:cs="Calibri"/>
                <w:color w:val="FFFFFF"/>
                <w:lang w:eastAsia="en-GB"/>
              </w:rPr>
              <w:t> </w:t>
            </w:r>
          </w:p>
        </w:tc>
      </w:tr>
    </w:tbl>
    <w:p w14:paraId="6C8F57B3" w14:textId="77777777" w:rsidR="001262E9" w:rsidRDefault="001262E9" w:rsidP="27713507">
      <w:pPr>
        <w:pStyle w:val="NormalText"/>
        <w:rPr>
          <w:rFonts w:ascii="Verdana" w:hAnsi="Verdana"/>
        </w:rPr>
      </w:pPr>
    </w:p>
    <w:p w14:paraId="443A2BF0" w14:textId="3D9A893A" w:rsidR="00527234" w:rsidRDefault="00527234" w:rsidP="27713507">
      <w:pPr>
        <w:pStyle w:val="NormalText"/>
        <w:rPr>
          <w:rFonts w:ascii="Verdana" w:hAnsi="Verdana"/>
        </w:rPr>
      </w:pPr>
      <w:r w:rsidRPr="00527234">
        <w:rPr>
          <w:rFonts w:ascii="Verdana" w:hAnsi="Verdana"/>
        </w:rPr>
        <w:t xml:space="preserve">The Minister for Health and Social Services asked Welsh Government to develop a 10-year infrastructure plan in respect of Estates and Digital requirements for 2022/23. We have now reviewed and prioritised the requirements for 2023/24 and included updated values in </w:t>
      </w:r>
      <w:r w:rsidRPr="00527234">
        <w:rPr>
          <w:rFonts w:ascii="Verdana" w:hAnsi="Verdana"/>
          <w:b/>
          <w:bCs/>
        </w:rPr>
        <w:t>Table 12</w:t>
      </w:r>
      <w:r>
        <w:rPr>
          <w:rFonts w:ascii="Verdana" w:hAnsi="Verdana"/>
        </w:rPr>
        <w:t xml:space="preserve"> with a detailed schedule in </w:t>
      </w:r>
      <w:r w:rsidRPr="00527234">
        <w:rPr>
          <w:rFonts w:ascii="Verdana" w:hAnsi="Verdana"/>
          <w:b/>
          <w:bCs/>
        </w:rPr>
        <w:t xml:space="preserve">Appendix </w:t>
      </w:r>
      <w:r>
        <w:rPr>
          <w:rFonts w:ascii="Verdana" w:hAnsi="Verdana"/>
          <w:b/>
          <w:bCs/>
        </w:rPr>
        <w:t>One</w:t>
      </w:r>
      <w:r w:rsidRPr="00527234">
        <w:rPr>
          <w:rFonts w:ascii="Verdana" w:hAnsi="Verdana"/>
        </w:rPr>
        <w:t>.</w:t>
      </w:r>
    </w:p>
    <w:p w14:paraId="3B55CF74" w14:textId="507313A1" w:rsidR="00611283" w:rsidRPr="00611283" w:rsidRDefault="00527234" w:rsidP="00527234">
      <w:pPr>
        <w:pStyle w:val="NormalText"/>
        <w:rPr>
          <w:highlight w:val="magenta"/>
          <w:lang w:val="en-US" w:bidi="en-US"/>
        </w:rPr>
      </w:pPr>
      <w:r w:rsidRPr="00527234">
        <w:rPr>
          <w:rFonts w:ascii="Verdana" w:hAnsi="Verdana"/>
        </w:rPr>
        <w:t xml:space="preserve">The estates plan contains laboratory modernisation of £8m in 2023/24, £1m in 2024/25 and £8m in 2025/26. </w:t>
      </w:r>
      <w:r>
        <w:rPr>
          <w:rFonts w:ascii="Verdana" w:hAnsi="Verdana"/>
        </w:rPr>
        <w:t xml:space="preserve">This requires further development and discussion with Welsh Government colleagues given the challenging funding situation. </w:t>
      </w:r>
      <w:r w:rsidRPr="00527234">
        <w:rPr>
          <w:rFonts w:ascii="Verdana" w:hAnsi="Verdana"/>
        </w:rPr>
        <w:t xml:space="preserve">The most critical item in 2023/24 is £400k for firewall replacements </w:t>
      </w:r>
      <w:r>
        <w:rPr>
          <w:rFonts w:ascii="Verdana" w:hAnsi="Verdana"/>
        </w:rPr>
        <w:t>which is essential for our digital infrastructure</w:t>
      </w:r>
      <w:r w:rsidRPr="00527234">
        <w:rPr>
          <w:rFonts w:ascii="Verdana" w:hAnsi="Verdana"/>
        </w:rPr>
        <w:t>.</w:t>
      </w:r>
    </w:p>
    <w:p w14:paraId="66046B28" w14:textId="77777777" w:rsidR="00776541" w:rsidRPr="00752386" w:rsidRDefault="62CD457D" w:rsidP="27713507">
      <w:pPr>
        <w:pStyle w:val="Quote"/>
        <w:tabs>
          <w:tab w:val="clear" w:pos="1361"/>
        </w:tabs>
        <w:spacing w:before="120" w:after="120"/>
        <w:ind w:left="0" w:firstLine="0"/>
        <w:rPr>
          <w:rFonts w:ascii="Calibri Light" w:hAnsi="Calibri Light"/>
          <w:b w:val="0"/>
          <w:color w:val="325083"/>
          <w:spacing w:val="0"/>
          <w:sz w:val="32"/>
          <w:szCs w:val="32"/>
        </w:rPr>
      </w:pPr>
      <w:r w:rsidRPr="00752386">
        <w:rPr>
          <w:rFonts w:ascii="Calibri Light" w:hAnsi="Calibri Light"/>
          <w:b w:val="0"/>
          <w:color w:val="325083"/>
          <w:spacing w:val="0"/>
          <w:sz w:val="32"/>
          <w:szCs w:val="32"/>
        </w:rPr>
        <w:t>Discretionary Capital</w:t>
      </w:r>
    </w:p>
    <w:p w14:paraId="528FCB73" w14:textId="77777777" w:rsidR="00752386" w:rsidRPr="00752386" w:rsidRDefault="00C21BD2" w:rsidP="27713507">
      <w:pPr>
        <w:pStyle w:val="NormalText"/>
        <w:rPr>
          <w:rFonts w:ascii="Verdana" w:hAnsi="Verdana"/>
        </w:rPr>
      </w:pPr>
      <w:r>
        <w:rPr>
          <w:rFonts w:ascii="Verdana" w:hAnsi="Verdana"/>
        </w:rPr>
        <w:t>Followin</w:t>
      </w:r>
      <w:r w:rsidR="00DE5ED3">
        <w:rPr>
          <w:rFonts w:ascii="Verdana" w:hAnsi="Verdana"/>
        </w:rPr>
        <w:t>g</w:t>
      </w:r>
      <w:r>
        <w:rPr>
          <w:rFonts w:ascii="Verdana" w:hAnsi="Verdana"/>
        </w:rPr>
        <w:t xml:space="preserve"> a 24% reduction in discretionary capital in 2022/23, o</w:t>
      </w:r>
      <w:r w:rsidR="1186F42D" w:rsidRPr="00752386">
        <w:rPr>
          <w:rFonts w:ascii="Verdana" w:hAnsi="Verdana"/>
        </w:rPr>
        <w:t xml:space="preserve">ur </w:t>
      </w:r>
      <w:r w:rsidR="00DE5ED3">
        <w:rPr>
          <w:rFonts w:ascii="Verdana" w:hAnsi="Verdana"/>
        </w:rPr>
        <w:t>allocation</w:t>
      </w:r>
      <w:r w:rsidR="00752386" w:rsidRPr="00752386">
        <w:rPr>
          <w:rFonts w:ascii="Verdana" w:hAnsi="Verdana"/>
        </w:rPr>
        <w:t xml:space="preserve"> has increased by 12</w:t>
      </w:r>
      <w:r w:rsidR="1186F42D" w:rsidRPr="00752386">
        <w:rPr>
          <w:rFonts w:ascii="Verdana" w:hAnsi="Verdana"/>
        </w:rPr>
        <w:t>%</w:t>
      </w:r>
      <w:r w:rsidR="00752386" w:rsidRPr="00752386">
        <w:rPr>
          <w:rFonts w:ascii="Verdana" w:hAnsi="Verdana"/>
        </w:rPr>
        <w:t xml:space="preserve"> </w:t>
      </w:r>
      <w:r w:rsidR="1186F42D" w:rsidRPr="00752386">
        <w:rPr>
          <w:rFonts w:ascii="Verdana" w:hAnsi="Verdana"/>
        </w:rPr>
        <w:t>for 202</w:t>
      </w:r>
      <w:r w:rsidR="00752386" w:rsidRPr="00752386">
        <w:rPr>
          <w:rFonts w:ascii="Verdana" w:hAnsi="Verdana"/>
        </w:rPr>
        <w:t>3</w:t>
      </w:r>
      <w:r w:rsidR="1186F42D" w:rsidRPr="00752386">
        <w:rPr>
          <w:rFonts w:ascii="Verdana" w:hAnsi="Verdana"/>
        </w:rPr>
        <w:t>/2</w:t>
      </w:r>
      <w:r w:rsidR="00752386" w:rsidRPr="00752386">
        <w:rPr>
          <w:rFonts w:ascii="Verdana" w:hAnsi="Verdana"/>
        </w:rPr>
        <w:t>4</w:t>
      </w:r>
      <w:r w:rsidR="1186F42D" w:rsidRPr="00752386">
        <w:rPr>
          <w:rFonts w:ascii="Verdana" w:hAnsi="Verdana"/>
        </w:rPr>
        <w:t xml:space="preserve"> from £1.</w:t>
      </w:r>
      <w:r w:rsidR="00752386" w:rsidRPr="00752386">
        <w:rPr>
          <w:rFonts w:ascii="Verdana" w:hAnsi="Verdana"/>
        </w:rPr>
        <w:t>202</w:t>
      </w:r>
      <w:r w:rsidR="1186F42D" w:rsidRPr="00752386">
        <w:rPr>
          <w:rFonts w:ascii="Verdana" w:hAnsi="Verdana"/>
        </w:rPr>
        <w:t xml:space="preserve">m </w:t>
      </w:r>
      <w:r w:rsidR="00752386" w:rsidRPr="00752386">
        <w:rPr>
          <w:rFonts w:ascii="Verdana" w:hAnsi="Verdana"/>
        </w:rPr>
        <w:t>to £1.391</w:t>
      </w:r>
      <w:r w:rsidR="1186F42D" w:rsidRPr="00752386">
        <w:rPr>
          <w:rFonts w:ascii="Verdana" w:hAnsi="Verdana"/>
        </w:rPr>
        <w:t>m</w:t>
      </w:r>
      <w:r w:rsidR="00752386" w:rsidRPr="00752386">
        <w:rPr>
          <w:rFonts w:ascii="Verdana" w:hAnsi="Verdana"/>
        </w:rPr>
        <w:t>.</w:t>
      </w:r>
      <w:r w:rsidR="1186F42D" w:rsidRPr="00752386">
        <w:rPr>
          <w:rFonts w:ascii="Verdana" w:hAnsi="Verdana"/>
        </w:rPr>
        <w:t xml:space="preserve"> </w:t>
      </w:r>
    </w:p>
    <w:p w14:paraId="717CE686" w14:textId="77777777" w:rsidR="00776541" w:rsidRPr="00752386" w:rsidRDefault="62CD457D" w:rsidP="27713507">
      <w:pPr>
        <w:pStyle w:val="NormalText"/>
        <w:rPr>
          <w:rFonts w:ascii="Verdana" w:hAnsi="Verdana"/>
        </w:rPr>
      </w:pPr>
      <w:r w:rsidRPr="00752386">
        <w:rPr>
          <w:rFonts w:ascii="Verdana" w:hAnsi="Verdana"/>
        </w:rPr>
        <w:t xml:space="preserve">The draft plans for the discretionary capital are set out in </w:t>
      </w:r>
      <w:r w:rsidR="5A8503E3" w:rsidRPr="00752386">
        <w:rPr>
          <w:rFonts w:ascii="Verdana" w:hAnsi="Verdana"/>
          <w:b/>
          <w:bCs/>
        </w:rPr>
        <w:t>T</w:t>
      </w:r>
      <w:r w:rsidRPr="00752386">
        <w:rPr>
          <w:rFonts w:ascii="Verdana" w:hAnsi="Verdana"/>
          <w:b/>
          <w:bCs/>
        </w:rPr>
        <w:t xml:space="preserve">able </w:t>
      </w:r>
      <w:r w:rsidR="00752386" w:rsidRPr="00752386">
        <w:rPr>
          <w:rFonts w:ascii="Verdana" w:hAnsi="Verdana"/>
          <w:b/>
          <w:bCs/>
        </w:rPr>
        <w:t>1</w:t>
      </w:r>
      <w:r w:rsidR="00BB20FF">
        <w:rPr>
          <w:rFonts w:ascii="Verdana" w:hAnsi="Verdana"/>
          <w:b/>
          <w:bCs/>
        </w:rPr>
        <w:t>3</w:t>
      </w:r>
      <w:r w:rsidRPr="00752386">
        <w:rPr>
          <w:rFonts w:ascii="Verdana" w:hAnsi="Verdana"/>
        </w:rPr>
        <w:t xml:space="preserve"> below. </w:t>
      </w:r>
    </w:p>
    <w:p w14:paraId="5FA48429" w14:textId="77777777" w:rsidR="00F037CD" w:rsidRPr="00752386" w:rsidRDefault="5801A978" w:rsidP="00752386">
      <w:pPr>
        <w:pStyle w:val="NormalText"/>
        <w:spacing w:after="0"/>
        <w:rPr>
          <w:rFonts w:ascii="Verdana" w:hAnsi="Verdana"/>
          <w:b/>
          <w:bCs/>
        </w:rPr>
      </w:pPr>
      <w:r w:rsidRPr="00752386">
        <w:rPr>
          <w:rFonts w:ascii="Verdana" w:hAnsi="Verdana"/>
          <w:b/>
          <w:bCs/>
        </w:rPr>
        <w:t xml:space="preserve">Table </w:t>
      </w:r>
      <w:r w:rsidR="00752386" w:rsidRPr="00752386">
        <w:rPr>
          <w:rFonts w:ascii="Verdana" w:hAnsi="Verdana"/>
          <w:b/>
          <w:bCs/>
        </w:rPr>
        <w:t>1</w:t>
      </w:r>
      <w:r w:rsidR="00BB20FF">
        <w:rPr>
          <w:rFonts w:ascii="Verdana" w:hAnsi="Verdana"/>
          <w:b/>
          <w:bCs/>
        </w:rPr>
        <w:t>3</w:t>
      </w:r>
    </w:p>
    <w:tbl>
      <w:tblPr>
        <w:tblW w:w="9339" w:type="dxa"/>
        <w:tblLook w:val="04A0" w:firstRow="1" w:lastRow="0" w:firstColumn="1" w:lastColumn="0" w:noHBand="0" w:noVBand="1"/>
      </w:tblPr>
      <w:tblGrid>
        <w:gridCol w:w="6675"/>
        <w:gridCol w:w="930"/>
        <w:gridCol w:w="855"/>
        <w:gridCol w:w="879"/>
      </w:tblGrid>
      <w:tr w:rsidR="00752386" w:rsidRPr="00752386" w14:paraId="7ADA67F5" w14:textId="77777777" w:rsidTr="3C7A6D14">
        <w:trPr>
          <w:trHeight w:val="598"/>
        </w:trPr>
        <w:tc>
          <w:tcPr>
            <w:tcW w:w="6675" w:type="dxa"/>
            <w:tcBorders>
              <w:top w:val="single" w:sz="8" w:space="0" w:color="D2DDEE"/>
              <w:left w:val="single" w:sz="8" w:space="0" w:color="D2DDEE"/>
              <w:bottom w:val="single" w:sz="8" w:space="0" w:color="D2DDEE"/>
              <w:right w:val="single" w:sz="8" w:space="0" w:color="D2DDEE"/>
            </w:tcBorders>
            <w:shd w:val="clear" w:color="auto" w:fill="548DD4" w:themeFill="text2" w:themeFillTint="99"/>
            <w:noWrap/>
            <w:vAlign w:val="center"/>
            <w:hideMark/>
          </w:tcPr>
          <w:p w14:paraId="456EFEDF" w14:textId="77777777" w:rsidR="00752386" w:rsidRPr="00752386" w:rsidRDefault="00752386" w:rsidP="00752386">
            <w:pPr>
              <w:rPr>
                <w:rFonts w:ascii="Calibri Light" w:eastAsia="Times New Roman" w:hAnsi="Calibri Light" w:cs="Times New Roman"/>
                <w:b/>
                <w:bCs/>
                <w:color w:val="FFFFFF"/>
                <w:sz w:val="22"/>
                <w:lang w:eastAsia="en-GB"/>
              </w:rPr>
            </w:pPr>
            <w:r w:rsidRPr="00752386">
              <w:rPr>
                <w:rFonts w:ascii="Calibri Light" w:eastAsia="Times New Roman" w:hAnsi="Calibri Light" w:cs="Times New Roman"/>
                <w:b/>
                <w:bCs/>
                <w:color w:val="FFFFFF"/>
                <w:sz w:val="22"/>
                <w:lang w:eastAsia="en-GB"/>
              </w:rPr>
              <w:t>Discretionary Funding</w:t>
            </w:r>
          </w:p>
        </w:tc>
        <w:tc>
          <w:tcPr>
            <w:tcW w:w="930" w:type="dxa"/>
            <w:tcBorders>
              <w:top w:val="single" w:sz="8" w:space="0" w:color="D2DDEE"/>
              <w:left w:val="nil"/>
              <w:bottom w:val="single" w:sz="8" w:space="0" w:color="D2DDEE"/>
              <w:right w:val="single" w:sz="8" w:space="0" w:color="D2DDEE"/>
            </w:tcBorders>
            <w:shd w:val="clear" w:color="auto" w:fill="548DD4" w:themeFill="text2" w:themeFillTint="99"/>
            <w:vAlign w:val="center"/>
            <w:hideMark/>
          </w:tcPr>
          <w:p w14:paraId="4E349304" w14:textId="77777777" w:rsidR="00752386" w:rsidRPr="00752386" w:rsidRDefault="00752386" w:rsidP="00752386">
            <w:pPr>
              <w:jc w:val="center"/>
              <w:rPr>
                <w:rFonts w:ascii="Calibri Light" w:eastAsia="Times New Roman" w:hAnsi="Calibri Light" w:cs="Times New Roman"/>
                <w:b/>
                <w:bCs/>
                <w:color w:val="FFFFFF"/>
                <w:sz w:val="22"/>
                <w:lang w:eastAsia="en-GB"/>
              </w:rPr>
            </w:pPr>
            <w:r w:rsidRPr="00752386">
              <w:rPr>
                <w:rFonts w:ascii="Calibri Light" w:eastAsia="Times New Roman" w:hAnsi="Calibri Light" w:cs="Times New Roman"/>
                <w:b/>
                <w:bCs/>
                <w:color w:val="FFFFFF"/>
                <w:sz w:val="22"/>
                <w:lang w:eastAsia="en-GB"/>
              </w:rPr>
              <w:t>FY23-24 £000s</w:t>
            </w:r>
          </w:p>
        </w:tc>
        <w:tc>
          <w:tcPr>
            <w:tcW w:w="855" w:type="dxa"/>
            <w:tcBorders>
              <w:top w:val="single" w:sz="8" w:space="0" w:color="D2DDEE"/>
              <w:left w:val="nil"/>
              <w:bottom w:val="single" w:sz="8" w:space="0" w:color="D2DDEE"/>
              <w:right w:val="single" w:sz="8" w:space="0" w:color="D2DDEE"/>
            </w:tcBorders>
            <w:shd w:val="clear" w:color="auto" w:fill="548DD4" w:themeFill="text2" w:themeFillTint="99"/>
            <w:vAlign w:val="center"/>
            <w:hideMark/>
          </w:tcPr>
          <w:p w14:paraId="51F8F0C5" w14:textId="77777777" w:rsidR="00752386" w:rsidRPr="00752386" w:rsidRDefault="00752386" w:rsidP="00752386">
            <w:pPr>
              <w:jc w:val="center"/>
              <w:rPr>
                <w:rFonts w:ascii="Calibri Light" w:eastAsia="Times New Roman" w:hAnsi="Calibri Light" w:cs="Times New Roman"/>
                <w:b/>
                <w:bCs/>
                <w:color w:val="FFFFFF"/>
                <w:sz w:val="22"/>
                <w:lang w:eastAsia="en-GB"/>
              </w:rPr>
            </w:pPr>
            <w:r w:rsidRPr="00752386">
              <w:rPr>
                <w:rFonts w:ascii="Calibri Light" w:eastAsia="Times New Roman" w:hAnsi="Calibri Light" w:cs="Times New Roman"/>
                <w:b/>
                <w:bCs/>
                <w:color w:val="FFFFFF"/>
                <w:sz w:val="22"/>
                <w:lang w:eastAsia="en-GB"/>
              </w:rPr>
              <w:t>FY24-25              £000s</w:t>
            </w:r>
          </w:p>
        </w:tc>
        <w:tc>
          <w:tcPr>
            <w:tcW w:w="879" w:type="dxa"/>
            <w:tcBorders>
              <w:top w:val="single" w:sz="8" w:space="0" w:color="D2DDEE"/>
              <w:left w:val="nil"/>
              <w:bottom w:val="single" w:sz="8" w:space="0" w:color="D2DDEE"/>
              <w:right w:val="single" w:sz="8" w:space="0" w:color="D2DDEE"/>
            </w:tcBorders>
            <w:shd w:val="clear" w:color="auto" w:fill="548DD4" w:themeFill="text2" w:themeFillTint="99"/>
            <w:vAlign w:val="center"/>
            <w:hideMark/>
          </w:tcPr>
          <w:p w14:paraId="56399A1F" w14:textId="77777777" w:rsidR="00752386" w:rsidRPr="00752386" w:rsidRDefault="00752386" w:rsidP="00752386">
            <w:pPr>
              <w:jc w:val="center"/>
              <w:rPr>
                <w:rFonts w:ascii="Calibri Light" w:eastAsia="Times New Roman" w:hAnsi="Calibri Light" w:cs="Times New Roman"/>
                <w:b/>
                <w:bCs/>
                <w:color w:val="FFFFFF"/>
                <w:sz w:val="22"/>
                <w:lang w:eastAsia="en-GB"/>
              </w:rPr>
            </w:pPr>
            <w:r w:rsidRPr="00752386">
              <w:rPr>
                <w:rFonts w:ascii="Calibri Light" w:eastAsia="Times New Roman" w:hAnsi="Calibri Light" w:cs="Times New Roman"/>
                <w:b/>
                <w:bCs/>
                <w:color w:val="FFFFFF"/>
                <w:sz w:val="22"/>
                <w:lang w:eastAsia="en-GB"/>
              </w:rPr>
              <w:t>FY25-26 £000s</w:t>
            </w:r>
          </w:p>
        </w:tc>
      </w:tr>
      <w:tr w:rsidR="00752386" w:rsidRPr="00752386" w14:paraId="7D95DF7C"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FFFFFF" w:themeFill="background1"/>
            <w:noWrap/>
            <w:vAlign w:val="center"/>
            <w:hideMark/>
          </w:tcPr>
          <w:p w14:paraId="27D313E6" w14:textId="77777777" w:rsidR="00752386" w:rsidRPr="00752386" w:rsidRDefault="00752386" w:rsidP="00752386">
            <w:pP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Breast Screening Select</w:t>
            </w:r>
          </w:p>
        </w:tc>
        <w:tc>
          <w:tcPr>
            <w:tcW w:w="930" w:type="dxa"/>
            <w:tcBorders>
              <w:top w:val="nil"/>
              <w:left w:val="nil"/>
              <w:bottom w:val="single" w:sz="8" w:space="0" w:color="D2DDEE"/>
              <w:right w:val="single" w:sz="8" w:space="0" w:color="D2DDEE"/>
            </w:tcBorders>
            <w:shd w:val="clear" w:color="auto" w:fill="FFFFFF" w:themeFill="background1"/>
            <w:vAlign w:val="center"/>
            <w:hideMark/>
          </w:tcPr>
          <w:p w14:paraId="67AF15A0"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257</w:t>
            </w:r>
          </w:p>
        </w:tc>
        <w:tc>
          <w:tcPr>
            <w:tcW w:w="855" w:type="dxa"/>
            <w:tcBorders>
              <w:top w:val="nil"/>
              <w:left w:val="nil"/>
              <w:bottom w:val="single" w:sz="8" w:space="0" w:color="D2DDEE"/>
              <w:right w:val="single" w:sz="8" w:space="0" w:color="D2DDEE"/>
            </w:tcBorders>
            <w:shd w:val="clear" w:color="auto" w:fill="FFFFFF" w:themeFill="background1"/>
            <w:noWrap/>
            <w:vAlign w:val="center"/>
            <w:hideMark/>
          </w:tcPr>
          <w:p w14:paraId="42DD885F"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0</w:t>
            </w:r>
          </w:p>
        </w:tc>
        <w:tc>
          <w:tcPr>
            <w:tcW w:w="879" w:type="dxa"/>
            <w:tcBorders>
              <w:top w:val="nil"/>
              <w:left w:val="nil"/>
              <w:bottom w:val="single" w:sz="8" w:space="0" w:color="D2DDEE"/>
              <w:right w:val="single" w:sz="8" w:space="0" w:color="D2DDEE"/>
            </w:tcBorders>
            <w:shd w:val="clear" w:color="auto" w:fill="FFFFFF" w:themeFill="background1"/>
            <w:noWrap/>
            <w:vAlign w:val="center"/>
            <w:hideMark/>
          </w:tcPr>
          <w:p w14:paraId="47C577E8"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0</w:t>
            </w:r>
          </w:p>
        </w:tc>
      </w:tr>
      <w:tr w:rsidR="00752386" w:rsidRPr="00752386" w14:paraId="1A21ABD9"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EFF5FB"/>
            <w:noWrap/>
            <w:vAlign w:val="center"/>
            <w:hideMark/>
          </w:tcPr>
          <w:p w14:paraId="79ABA0F0" w14:textId="77777777" w:rsidR="00752386" w:rsidRPr="00752386" w:rsidRDefault="00752386" w:rsidP="00752386">
            <w:pP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Fire Compliance Works (EFAB) - Work to Fire Doors</w:t>
            </w:r>
          </w:p>
        </w:tc>
        <w:tc>
          <w:tcPr>
            <w:tcW w:w="930" w:type="dxa"/>
            <w:tcBorders>
              <w:top w:val="nil"/>
              <w:left w:val="nil"/>
              <w:bottom w:val="single" w:sz="8" w:space="0" w:color="D2DDEE"/>
              <w:right w:val="single" w:sz="8" w:space="0" w:color="D2DDEE"/>
            </w:tcBorders>
            <w:shd w:val="clear" w:color="auto" w:fill="EFF5FB"/>
            <w:vAlign w:val="center"/>
            <w:hideMark/>
          </w:tcPr>
          <w:p w14:paraId="484A11FF"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56</w:t>
            </w:r>
          </w:p>
        </w:tc>
        <w:tc>
          <w:tcPr>
            <w:tcW w:w="855" w:type="dxa"/>
            <w:tcBorders>
              <w:top w:val="nil"/>
              <w:left w:val="nil"/>
              <w:bottom w:val="single" w:sz="8" w:space="0" w:color="D2DDEE"/>
              <w:right w:val="single" w:sz="8" w:space="0" w:color="D2DDEE"/>
            </w:tcBorders>
            <w:shd w:val="clear" w:color="auto" w:fill="EFF5FB"/>
            <w:noWrap/>
            <w:vAlign w:val="center"/>
            <w:hideMark/>
          </w:tcPr>
          <w:p w14:paraId="5CA13263"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0</w:t>
            </w:r>
          </w:p>
        </w:tc>
        <w:tc>
          <w:tcPr>
            <w:tcW w:w="879" w:type="dxa"/>
            <w:tcBorders>
              <w:top w:val="nil"/>
              <w:left w:val="nil"/>
              <w:bottom w:val="single" w:sz="8" w:space="0" w:color="D2DDEE"/>
              <w:right w:val="single" w:sz="8" w:space="0" w:color="D2DDEE"/>
            </w:tcBorders>
            <w:shd w:val="clear" w:color="auto" w:fill="EFF5FB"/>
            <w:noWrap/>
            <w:vAlign w:val="center"/>
            <w:hideMark/>
          </w:tcPr>
          <w:p w14:paraId="2F16D622"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0</w:t>
            </w:r>
          </w:p>
        </w:tc>
      </w:tr>
      <w:tr w:rsidR="00752386" w:rsidRPr="00752386" w14:paraId="1712E5DF"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FFFFFF" w:themeFill="background1"/>
            <w:noWrap/>
            <w:vAlign w:val="center"/>
            <w:hideMark/>
          </w:tcPr>
          <w:p w14:paraId="18CA60FA" w14:textId="77777777" w:rsidR="00752386" w:rsidRPr="00752386" w:rsidRDefault="00752386" w:rsidP="00752386">
            <w:pP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Decarbonisation Scheme (EFAB) - Replacement of AAA vehicles to EVs</w:t>
            </w:r>
          </w:p>
        </w:tc>
        <w:tc>
          <w:tcPr>
            <w:tcW w:w="930" w:type="dxa"/>
            <w:tcBorders>
              <w:top w:val="nil"/>
              <w:left w:val="nil"/>
              <w:bottom w:val="single" w:sz="8" w:space="0" w:color="D2DDEE"/>
              <w:right w:val="single" w:sz="8" w:space="0" w:color="D2DDEE"/>
            </w:tcBorders>
            <w:shd w:val="clear" w:color="auto" w:fill="FFFFFF" w:themeFill="background1"/>
            <w:vAlign w:val="center"/>
            <w:hideMark/>
          </w:tcPr>
          <w:p w14:paraId="26F712B1"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102</w:t>
            </w:r>
          </w:p>
        </w:tc>
        <w:tc>
          <w:tcPr>
            <w:tcW w:w="855" w:type="dxa"/>
            <w:tcBorders>
              <w:top w:val="nil"/>
              <w:left w:val="nil"/>
              <w:bottom w:val="single" w:sz="8" w:space="0" w:color="D2DDEE"/>
              <w:right w:val="single" w:sz="8" w:space="0" w:color="D2DDEE"/>
            </w:tcBorders>
            <w:shd w:val="clear" w:color="auto" w:fill="FFFFFF" w:themeFill="background1"/>
            <w:noWrap/>
            <w:vAlign w:val="center"/>
            <w:hideMark/>
          </w:tcPr>
          <w:p w14:paraId="6F94C8CB"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0</w:t>
            </w:r>
          </w:p>
        </w:tc>
        <w:tc>
          <w:tcPr>
            <w:tcW w:w="879" w:type="dxa"/>
            <w:tcBorders>
              <w:top w:val="nil"/>
              <w:left w:val="nil"/>
              <w:bottom w:val="single" w:sz="8" w:space="0" w:color="D2DDEE"/>
              <w:right w:val="single" w:sz="8" w:space="0" w:color="D2DDEE"/>
            </w:tcBorders>
            <w:shd w:val="clear" w:color="auto" w:fill="FFFFFF" w:themeFill="background1"/>
            <w:noWrap/>
            <w:vAlign w:val="center"/>
            <w:hideMark/>
          </w:tcPr>
          <w:p w14:paraId="39E8124D"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0</w:t>
            </w:r>
          </w:p>
        </w:tc>
      </w:tr>
      <w:tr w:rsidR="00752386" w:rsidRPr="00752386" w14:paraId="198F2A90"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EFF5FB"/>
            <w:noWrap/>
            <w:vAlign w:val="center"/>
            <w:hideMark/>
          </w:tcPr>
          <w:p w14:paraId="4B0963F1" w14:textId="77777777" w:rsidR="00752386" w:rsidRPr="00752386" w:rsidRDefault="00752386" w:rsidP="00752386">
            <w:pP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IT Requirements</w:t>
            </w:r>
          </w:p>
        </w:tc>
        <w:tc>
          <w:tcPr>
            <w:tcW w:w="930" w:type="dxa"/>
            <w:tcBorders>
              <w:top w:val="nil"/>
              <w:left w:val="nil"/>
              <w:bottom w:val="single" w:sz="8" w:space="0" w:color="D2DDEE"/>
              <w:right w:val="single" w:sz="8" w:space="0" w:color="D2DDEE"/>
            </w:tcBorders>
            <w:shd w:val="clear" w:color="auto" w:fill="EFF5FB"/>
            <w:vAlign w:val="center"/>
            <w:hideMark/>
          </w:tcPr>
          <w:p w14:paraId="424BFCC7"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215</w:t>
            </w:r>
          </w:p>
        </w:tc>
        <w:tc>
          <w:tcPr>
            <w:tcW w:w="855" w:type="dxa"/>
            <w:tcBorders>
              <w:top w:val="nil"/>
              <w:left w:val="nil"/>
              <w:bottom w:val="single" w:sz="8" w:space="0" w:color="D2DDEE"/>
              <w:right w:val="single" w:sz="8" w:space="0" w:color="D2DDEE"/>
            </w:tcBorders>
            <w:shd w:val="clear" w:color="auto" w:fill="EFF5FB"/>
            <w:noWrap/>
            <w:vAlign w:val="center"/>
            <w:hideMark/>
          </w:tcPr>
          <w:p w14:paraId="782D2B2B"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306</w:t>
            </w:r>
          </w:p>
        </w:tc>
        <w:tc>
          <w:tcPr>
            <w:tcW w:w="879" w:type="dxa"/>
            <w:tcBorders>
              <w:top w:val="nil"/>
              <w:left w:val="nil"/>
              <w:bottom w:val="single" w:sz="8" w:space="0" w:color="D2DDEE"/>
              <w:right w:val="single" w:sz="8" w:space="0" w:color="D2DDEE"/>
            </w:tcBorders>
            <w:shd w:val="clear" w:color="auto" w:fill="EFF5FB"/>
            <w:noWrap/>
            <w:vAlign w:val="center"/>
            <w:hideMark/>
          </w:tcPr>
          <w:p w14:paraId="77DDF865"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306</w:t>
            </w:r>
          </w:p>
        </w:tc>
      </w:tr>
      <w:tr w:rsidR="00752386" w:rsidRPr="00752386" w14:paraId="426784C6"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FFFFFF" w:themeFill="background1"/>
            <w:noWrap/>
            <w:vAlign w:val="center"/>
            <w:hideMark/>
          </w:tcPr>
          <w:p w14:paraId="24609122" w14:textId="77777777" w:rsidR="00752386" w:rsidRPr="00752386" w:rsidRDefault="00752386" w:rsidP="00752386">
            <w:pP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Estates &amp; Statutory Compliance</w:t>
            </w:r>
          </w:p>
        </w:tc>
        <w:tc>
          <w:tcPr>
            <w:tcW w:w="930" w:type="dxa"/>
            <w:tcBorders>
              <w:top w:val="nil"/>
              <w:left w:val="nil"/>
              <w:bottom w:val="single" w:sz="8" w:space="0" w:color="D2DDEE"/>
              <w:right w:val="single" w:sz="8" w:space="0" w:color="D2DDEE"/>
            </w:tcBorders>
            <w:shd w:val="clear" w:color="auto" w:fill="FFFFFF" w:themeFill="background1"/>
            <w:vAlign w:val="center"/>
            <w:hideMark/>
          </w:tcPr>
          <w:p w14:paraId="27AC8F62"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234</w:t>
            </w:r>
          </w:p>
        </w:tc>
        <w:tc>
          <w:tcPr>
            <w:tcW w:w="855" w:type="dxa"/>
            <w:tcBorders>
              <w:top w:val="nil"/>
              <w:left w:val="nil"/>
              <w:bottom w:val="single" w:sz="8" w:space="0" w:color="D2DDEE"/>
              <w:right w:val="single" w:sz="8" w:space="0" w:color="D2DDEE"/>
            </w:tcBorders>
            <w:shd w:val="clear" w:color="auto" w:fill="FFFFFF" w:themeFill="background1"/>
            <w:noWrap/>
            <w:vAlign w:val="center"/>
            <w:hideMark/>
          </w:tcPr>
          <w:p w14:paraId="220567C3"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334</w:t>
            </w:r>
          </w:p>
        </w:tc>
        <w:tc>
          <w:tcPr>
            <w:tcW w:w="879" w:type="dxa"/>
            <w:tcBorders>
              <w:top w:val="nil"/>
              <w:left w:val="nil"/>
              <w:bottom w:val="single" w:sz="8" w:space="0" w:color="D2DDEE"/>
              <w:right w:val="single" w:sz="8" w:space="0" w:color="D2DDEE"/>
            </w:tcBorders>
            <w:shd w:val="clear" w:color="auto" w:fill="FFFFFF" w:themeFill="background1"/>
            <w:noWrap/>
            <w:vAlign w:val="center"/>
            <w:hideMark/>
          </w:tcPr>
          <w:p w14:paraId="446A706B"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334</w:t>
            </w:r>
          </w:p>
        </w:tc>
      </w:tr>
      <w:tr w:rsidR="00752386" w:rsidRPr="00752386" w14:paraId="3A63D2E6"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EFF5FB"/>
            <w:noWrap/>
            <w:vAlign w:val="center"/>
            <w:hideMark/>
          </w:tcPr>
          <w:p w14:paraId="185D79D9" w14:textId="77777777" w:rsidR="00752386" w:rsidRPr="00752386" w:rsidRDefault="00752386" w:rsidP="00752386">
            <w:pP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Equipment Replacement</w:t>
            </w:r>
          </w:p>
        </w:tc>
        <w:tc>
          <w:tcPr>
            <w:tcW w:w="930" w:type="dxa"/>
            <w:tcBorders>
              <w:top w:val="nil"/>
              <w:left w:val="nil"/>
              <w:bottom w:val="single" w:sz="8" w:space="0" w:color="D2DDEE"/>
              <w:right w:val="single" w:sz="8" w:space="0" w:color="D2DDEE"/>
            </w:tcBorders>
            <w:shd w:val="clear" w:color="auto" w:fill="EFF5FB"/>
            <w:vAlign w:val="center"/>
            <w:hideMark/>
          </w:tcPr>
          <w:p w14:paraId="55182C1C"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371</w:t>
            </w:r>
          </w:p>
        </w:tc>
        <w:tc>
          <w:tcPr>
            <w:tcW w:w="855" w:type="dxa"/>
            <w:tcBorders>
              <w:top w:val="nil"/>
              <w:left w:val="nil"/>
              <w:bottom w:val="single" w:sz="8" w:space="0" w:color="D2DDEE"/>
              <w:right w:val="single" w:sz="8" w:space="0" w:color="D2DDEE"/>
            </w:tcBorders>
            <w:shd w:val="clear" w:color="auto" w:fill="EFF5FB"/>
            <w:noWrap/>
            <w:vAlign w:val="center"/>
            <w:hideMark/>
          </w:tcPr>
          <w:p w14:paraId="1B610371"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529</w:t>
            </w:r>
          </w:p>
        </w:tc>
        <w:tc>
          <w:tcPr>
            <w:tcW w:w="879" w:type="dxa"/>
            <w:tcBorders>
              <w:top w:val="nil"/>
              <w:left w:val="nil"/>
              <w:bottom w:val="single" w:sz="8" w:space="0" w:color="D2DDEE"/>
              <w:right w:val="single" w:sz="8" w:space="0" w:color="D2DDEE"/>
            </w:tcBorders>
            <w:shd w:val="clear" w:color="auto" w:fill="EFF5FB"/>
            <w:noWrap/>
            <w:vAlign w:val="center"/>
            <w:hideMark/>
          </w:tcPr>
          <w:p w14:paraId="73CDD4A6"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529</w:t>
            </w:r>
          </w:p>
        </w:tc>
      </w:tr>
      <w:tr w:rsidR="00752386" w:rsidRPr="00752386" w14:paraId="24228E58"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FFFFFF" w:themeFill="background1"/>
            <w:noWrap/>
            <w:vAlign w:val="center"/>
            <w:hideMark/>
          </w:tcPr>
          <w:p w14:paraId="229E9F4B" w14:textId="77777777" w:rsidR="00752386" w:rsidRPr="00752386" w:rsidRDefault="00752386" w:rsidP="00752386">
            <w:pP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Contingency</w:t>
            </w:r>
          </w:p>
        </w:tc>
        <w:tc>
          <w:tcPr>
            <w:tcW w:w="930" w:type="dxa"/>
            <w:tcBorders>
              <w:top w:val="nil"/>
              <w:left w:val="nil"/>
              <w:bottom w:val="single" w:sz="8" w:space="0" w:color="D2DDEE"/>
              <w:right w:val="single" w:sz="8" w:space="0" w:color="D2DDEE"/>
            </w:tcBorders>
            <w:shd w:val="clear" w:color="auto" w:fill="FFFFFF" w:themeFill="background1"/>
            <w:vAlign w:val="center"/>
            <w:hideMark/>
          </w:tcPr>
          <w:p w14:paraId="3A51BCA4"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156</w:t>
            </w:r>
          </w:p>
        </w:tc>
        <w:tc>
          <w:tcPr>
            <w:tcW w:w="855" w:type="dxa"/>
            <w:tcBorders>
              <w:top w:val="nil"/>
              <w:left w:val="nil"/>
              <w:bottom w:val="single" w:sz="8" w:space="0" w:color="D2DDEE"/>
              <w:right w:val="single" w:sz="8" w:space="0" w:color="D2DDEE"/>
            </w:tcBorders>
            <w:shd w:val="clear" w:color="auto" w:fill="FFFFFF" w:themeFill="background1"/>
            <w:noWrap/>
            <w:vAlign w:val="center"/>
            <w:hideMark/>
          </w:tcPr>
          <w:p w14:paraId="6CBEA27D"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223</w:t>
            </w:r>
          </w:p>
        </w:tc>
        <w:tc>
          <w:tcPr>
            <w:tcW w:w="879" w:type="dxa"/>
            <w:tcBorders>
              <w:top w:val="nil"/>
              <w:left w:val="nil"/>
              <w:bottom w:val="single" w:sz="8" w:space="0" w:color="D2DDEE"/>
              <w:right w:val="single" w:sz="8" w:space="0" w:color="D2DDEE"/>
            </w:tcBorders>
            <w:shd w:val="clear" w:color="auto" w:fill="FFFFFF" w:themeFill="background1"/>
            <w:noWrap/>
            <w:vAlign w:val="center"/>
            <w:hideMark/>
          </w:tcPr>
          <w:p w14:paraId="686C771D" w14:textId="77777777" w:rsidR="00752386" w:rsidRPr="00752386" w:rsidRDefault="00752386" w:rsidP="00752386">
            <w:pPr>
              <w:jc w:val="center"/>
              <w:rPr>
                <w:rFonts w:ascii="Calibri Light" w:eastAsia="Times New Roman" w:hAnsi="Calibri Light" w:cs="Times New Roman"/>
                <w:color w:val="333333"/>
                <w:szCs w:val="24"/>
                <w:lang w:eastAsia="en-GB"/>
              </w:rPr>
            </w:pPr>
            <w:r w:rsidRPr="00752386">
              <w:rPr>
                <w:rFonts w:ascii="Calibri Light" w:eastAsia="Times New Roman" w:hAnsi="Calibri Light" w:cs="Times New Roman"/>
                <w:color w:val="333333"/>
                <w:szCs w:val="24"/>
                <w:lang w:eastAsia="en-GB"/>
              </w:rPr>
              <w:t>223</w:t>
            </w:r>
          </w:p>
        </w:tc>
      </w:tr>
      <w:tr w:rsidR="00752386" w:rsidRPr="00752386" w14:paraId="4090B5B7"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548DD4" w:themeFill="text2" w:themeFillTint="99"/>
            <w:noWrap/>
            <w:vAlign w:val="center"/>
            <w:hideMark/>
          </w:tcPr>
          <w:p w14:paraId="5CBB94A4" w14:textId="77777777" w:rsidR="00752386" w:rsidRPr="00752386" w:rsidRDefault="00752386" w:rsidP="00752386">
            <w:pP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Grand Total</w:t>
            </w:r>
          </w:p>
        </w:tc>
        <w:tc>
          <w:tcPr>
            <w:tcW w:w="930" w:type="dxa"/>
            <w:tcBorders>
              <w:top w:val="nil"/>
              <w:left w:val="nil"/>
              <w:bottom w:val="single" w:sz="8" w:space="0" w:color="D2DDEE"/>
              <w:right w:val="single" w:sz="8" w:space="0" w:color="D2DDEE"/>
            </w:tcBorders>
            <w:shd w:val="clear" w:color="auto" w:fill="548DD4" w:themeFill="text2" w:themeFillTint="99"/>
            <w:noWrap/>
            <w:vAlign w:val="center"/>
            <w:hideMark/>
          </w:tcPr>
          <w:p w14:paraId="23424D25" w14:textId="77777777" w:rsidR="00752386" w:rsidRPr="00752386" w:rsidRDefault="00752386" w:rsidP="00752386">
            <w:pPr>
              <w:jc w:val="cente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1,391</w:t>
            </w:r>
          </w:p>
        </w:tc>
        <w:tc>
          <w:tcPr>
            <w:tcW w:w="855" w:type="dxa"/>
            <w:tcBorders>
              <w:top w:val="nil"/>
              <w:left w:val="nil"/>
              <w:bottom w:val="single" w:sz="8" w:space="0" w:color="D2DDEE"/>
              <w:right w:val="single" w:sz="8" w:space="0" w:color="D2DDEE"/>
            </w:tcBorders>
            <w:shd w:val="clear" w:color="auto" w:fill="548DD4" w:themeFill="text2" w:themeFillTint="99"/>
            <w:noWrap/>
            <w:vAlign w:val="center"/>
            <w:hideMark/>
          </w:tcPr>
          <w:p w14:paraId="419637B1" w14:textId="77777777" w:rsidR="00752386" w:rsidRPr="00752386" w:rsidRDefault="00752386" w:rsidP="00752386">
            <w:pPr>
              <w:jc w:val="cente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1,391</w:t>
            </w:r>
          </w:p>
        </w:tc>
        <w:tc>
          <w:tcPr>
            <w:tcW w:w="879" w:type="dxa"/>
            <w:tcBorders>
              <w:top w:val="nil"/>
              <w:left w:val="nil"/>
              <w:bottom w:val="single" w:sz="8" w:space="0" w:color="D2DDEE"/>
              <w:right w:val="single" w:sz="8" w:space="0" w:color="D2DDEE"/>
            </w:tcBorders>
            <w:shd w:val="clear" w:color="auto" w:fill="548DD4" w:themeFill="text2" w:themeFillTint="99"/>
            <w:noWrap/>
            <w:vAlign w:val="center"/>
            <w:hideMark/>
          </w:tcPr>
          <w:p w14:paraId="3AE3646E" w14:textId="77777777" w:rsidR="00752386" w:rsidRPr="00752386" w:rsidRDefault="00752386" w:rsidP="00752386">
            <w:pPr>
              <w:jc w:val="cente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1,391</w:t>
            </w:r>
          </w:p>
        </w:tc>
      </w:tr>
      <w:tr w:rsidR="00752386" w:rsidRPr="00752386" w14:paraId="4DD541EA"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FFFFFF" w:themeFill="background1"/>
            <w:noWrap/>
            <w:vAlign w:val="center"/>
            <w:hideMark/>
          </w:tcPr>
          <w:p w14:paraId="0A97FA96" w14:textId="77777777" w:rsidR="00752386" w:rsidRPr="00752386" w:rsidRDefault="00752386" w:rsidP="00752386">
            <w:pPr>
              <w:rPr>
                <w:rFonts w:ascii="Calibri Light" w:eastAsia="Times New Roman" w:hAnsi="Calibri Light" w:cs="Times New Roman"/>
                <w:b/>
                <w:bCs/>
                <w:color w:val="404040"/>
                <w:szCs w:val="24"/>
                <w:lang w:eastAsia="en-GB"/>
              </w:rPr>
            </w:pPr>
            <w:r w:rsidRPr="00752386">
              <w:rPr>
                <w:rFonts w:ascii="Calibri Light" w:eastAsia="Times New Roman" w:hAnsi="Calibri Light" w:cs="Times New Roman"/>
                <w:b/>
                <w:bCs/>
                <w:color w:val="404040"/>
                <w:szCs w:val="24"/>
                <w:lang w:eastAsia="en-GB"/>
              </w:rPr>
              <w:t>Discretionary Funding</w:t>
            </w:r>
          </w:p>
        </w:tc>
        <w:tc>
          <w:tcPr>
            <w:tcW w:w="930" w:type="dxa"/>
            <w:tcBorders>
              <w:top w:val="nil"/>
              <w:left w:val="nil"/>
              <w:bottom w:val="single" w:sz="8" w:space="0" w:color="D2DDEE"/>
              <w:right w:val="single" w:sz="8" w:space="0" w:color="D2DDEE"/>
            </w:tcBorders>
            <w:shd w:val="clear" w:color="auto" w:fill="FFFFFF" w:themeFill="background1"/>
            <w:noWrap/>
            <w:vAlign w:val="center"/>
            <w:hideMark/>
          </w:tcPr>
          <w:p w14:paraId="0374FC73" w14:textId="77777777" w:rsidR="00752386" w:rsidRPr="00752386" w:rsidRDefault="00752386" w:rsidP="00752386">
            <w:pPr>
              <w:jc w:val="cente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1,391</w:t>
            </w:r>
          </w:p>
        </w:tc>
        <w:tc>
          <w:tcPr>
            <w:tcW w:w="855" w:type="dxa"/>
            <w:tcBorders>
              <w:top w:val="nil"/>
              <w:left w:val="nil"/>
              <w:bottom w:val="single" w:sz="8" w:space="0" w:color="D2DDEE"/>
              <w:right w:val="single" w:sz="8" w:space="0" w:color="D2DDEE"/>
            </w:tcBorders>
            <w:shd w:val="clear" w:color="auto" w:fill="FFFFFF" w:themeFill="background1"/>
            <w:noWrap/>
            <w:vAlign w:val="center"/>
            <w:hideMark/>
          </w:tcPr>
          <w:p w14:paraId="3A0584D8" w14:textId="77777777" w:rsidR="00752386" w:rsidRPr="00752386" w:rsidRDefault="00752386" w:rsidP="00752386">
            <w:pPr>
              <w:jc w:val="cente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1,391</w:t>
            </w:r>
          </w:p>
        </w:tc>
        <w:tc>
          <w:tcPr>
            <w:tcW w:w="879" w:type="dxa"/>
            <w:tcBorders>
              <w:top w:val="nil"/>
              <w:left w:val="nil"/>
              <w:bottom w:val="single" w:sz="8" w:space="0" w:color="D2DDEE"/>
              <w:right w:val="single" w:sz="8" w:space="0" w:color="D2DDEE"/>
            </w:tcBorders>
            <w:shd w:val="clear" w:color="auto" w:fill="FFFFFF" w:themeFill="background1"/>
            <w:noWrap/>
            <w:vAlign w:val="center"/>
            <w:hideMark/>
          </w:tcPr>
          <w:p w14:paraId="00C62DBC" w14:textId="77777777" w:rsidR="00752386" w:rsidRPr="00752386" w:rsidRDefault="00752386" w:rsidP="00752386">
            <w:pPr>
              <w:jc w:val="center"/>
              <w:rPr>
                <w:rFonts w:ascii="Calibri Light" w:eastAsia="Times New Roman" w:hAnsi="Calibri Light" w:cs="Times New Roman"/>
                <w:color w:val="404040"/>
                <w:szCs w:val="24"/>
                <w:lang w:eastAsia="en-GB"/>
              </w:rPr>
            </w:pPr>
            <w:r w:rsidRPr="00752386">
              <w:rPr>
                <w:rFonts w:ascii="Calibri Light" w:eastAsia="Times New Roman" w:hAnsi="Calibri Light" w:cs="Times New Roman"/>
                <w:color w:val="404040"/>
                <w:szCs w:val="24"/>
                <w:lang w:eastAsia="en-GB"/>
              </w:rPr>
              <w:t>1,391</w:t>
            </w:r>
          </w:p>
        </w:tc>
      </w:tr>
      <w:tr w:rsidR="00752386" w:rsidRPr="00752386" w14:paraId="575EBDEB" w14:textId="77777777" w:rsidTr="3C7A6D14">
        <w:trPr>
          <w:trHeight w:val="312"/>
        </w:trPr>
        <w:tc>
          <w:tcPr>
            <w:tcW w:w="6675" w:type="dxa"/>
            <w:tcBorders>
              <w:top w:val="nil"/>
              <w:left w:val="single" w:sz="8" w:space="0" w:color="D2DDEE"/>
              <w:bottom w:val="single" w:sz="8" w:space="0" w:color="D2DDEE"/>
              <w:right w:val="single" w:sz="8" w:space="0" w:color="D2DDEE"/>
            </w:tcBorders>
            <w:shd w:val="clear" w:color="auto" w:fill="548DD4" w:themeFill="text2" w:themeFillTint="99"/>
            <w:noWrap/>
            <w:vAlign w:val="center"/>
            <w:hideMark/>
          </w:tcPr>
          <w:p w14:paraId="094E85D4" w14:textId="77777777" w:rsidR="00752386" w:rsidRPr="00752386" w:rsidRDefault="00752386" w:rsidP="00752386">
            <w:pP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Shortfall / (Surplus)</w:t>
            </w:r>
          </w:p>
        </w:tc>
        <w:tc>
          <w:tcPr>
            <w:tcW w:w="930" w:type="dxa"/>
            <w:tcBorders>
              <w:top w:val="nil"/>
              <w:left w:val="nil"/>
              <w:bottom w:val="single" w:sz="8" w:space="0" w:color="D2DDEE"/>
              <w:right w:val="single" w:sz="8" w:space="0" w:color="D2DDEE"/>
            </w:tcBorders>
            <w:shd w:val="clear" w:color="auto" w:fill="548DD4" w:themeFill="text2" w:themeFillTint="99"/>
            <w:noWrap/>
            <w:vAlign w:val="center"/>
            <w:hideMark/>
          </w:tcPr>
          <w:p w14:paraId="2470D076" w14:textId="77777777" w:rsidR="00752386" w:rsidRPr="00752386" w:rsidRDefault="00752386" w:rsidP="00752386">
            <w:pPr>
              <w:jc w:val="cente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0</w:t>
            </w:r>
          </w:p>
        </w:tc>
        <w:tc>
          <w:tcPr>
            <w:tcW w:w="855" w:type="dxa"/>
            <w:tcBorders>
              <w:top w:val="nil"/>
              <w:left w:val="nil"/>
              <w:bottom w:val="single" w:sz="8" w:space="0" w:color="D2DDEE"/>
              <w:right w:val="single" w:sz="8" w:space="0" w:color="D2DDEE"/>
            </w:tcBorders>
            <w:shd w:val="clear" w:color="auto" w:fill="548DD4" w:themeFill="text2" w:themeFillTint="99"/>
            <w:noWrap/>
            <w:vAlign w:val="center"/>
            <w:hideMark/>
          </w:tcPr>
          <w:p w14:paraId="16FA0C6C" w14:textId="77777777" w:rsidR="00752386" w:rsidRPr="00752386" w:rsidRDefault="00752386" w:rsidP="00752386">
            <w:pPr>
              <w:jc w:val="cente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0</w:t>
            </w:r>
          </w:p>
        </w:tc>
        <w:tc>
          <w:tcPr>
            <w:tcW w:w="879" w:type="dxa"/>
            <w:tcBorders>
              <w:top w:val="nil"/>
              <w:left w:val="nil"/>
              <w:bottom w:val="single" w:sz="8" w:space="0" w:color="D2DDEE"/>
              <w:right w:val="single" w:sz="8" w:space="0" w:color="D2DDEE"/>
            </w:tcBorders>
            <w:shd w:val="clear" w:color="auto" w:fill="548DD4" w:themeFill="text2" w:themeFillTint="99"/>
            <w:noWrap/>
            <w:vAlign w:val="center"/>
            <w:hideMark/>
          </w:tcPr>
          <w:p w14:paraId="11BB3EA3" w14:textId="77777777" w:rsidR="00752386" w:rsidRPr="00752386" w:rsidRDefault="00752386" w:rsidP="00752386">
            <w:pPr>
              <w:jc w:val="center"/>
              <w:rPr>
                <w:rFonts w:ascii="Calibri Light" w:eastAsia="Times New Roman" w:hAnsi="Calibri Light" w:cs="Times New Roman"/>
                <w:b/>
                <w:bCs/>
                <w:color w:val="FFFFFF"/>
                <w:szCs w:val="24"/>
                <w:lang w:eastAsia="en-GB"/>
              </w:rPr>
            </w:pPr>
            <w:r w:rsidRPr="00752386">
              <w:rPr>
                <w:rFonts w:ascii="Calibri Light" w:eastAsia="Times New Roman" w:hAnsi="Calibri Light" w:cs="Times New Roman"/>
                <w:b/>
                <w:bCs/>
                <w:color w:val="FFFFFF"/>
                <w:szCs w:val="24"/>
                <w:lang w:eastAsia="en-GB"/>
              </w:rPr>
              <w:t>0</w:t>
            </w:r>
          </w:p>
        </w:tc>
      </w:tr>
    </w:tbl>
    <w:p w14:paraId="68A8BDE1" w14:textId="77777777" w:rsidR="00776541" w:rsidRPr="008079F7" w:rsidRDefault="00776541" w:rsidP="27713507">
      <w:pPr>
        <w:rPr>
          <w:highlight w:val="magenta"/>
        </w:rPr>
      </w:pPr>
    </w:p>
    <w:p w14:paraId="2C8954F4" w14:textId="77777777" w:rsidR="006458A3" w:rsidRDefault="00471382" w:rsidP="27713507">
      <w:pPr>
        <w:pStyle w:val="NormalText"/>
        <w:rPr>
          <w:rFonts w:ascii="Verdana" w:hAnsi="Verdana"/>
        </w:rPr>
      </w:pPr>
      <w:r>
        <w:rPr>
          <w:rFonts w:ascii="Verdana" w:hAnsi="Verdana"/>
        </w:rPr>
        <w:t>Plans to deliver the Breast Screenin</w:t>
      </w:r>
      <w:r w:rsidR="00DF2E92">
        <w:rPr>
          <w:rFonts w:ascii="Verdana" w:hAnsi="Verdana"/>
        </w:rPr>
        <w:t>g</w:t>
      </w:r>
      <w:r>
        <w:rPr>
          <w:rFonts w:ascii="Verdana" w:hAnsi="Verdana"/>
        </w:rPr>
        <w:t xml:space="preserve"> Select </w:t>
      </w:r>
      <w:r w:rsidR="00F708F7">
        <w:rPr>
          <w:rFonts w:ascii="Verdana" w:hAnsi="Verdana"/>
        </w:rPr>
        <w:t xml:space="preserve">development in 2022/23 were delayed by NHS England resulting in a </w:t>
      </w:r>
      <w:r w:rsidR="00EE0BF7">
        <w:rPr>
          <w:rFonts w:ascii="Verdana" w:hAnsi="Verdana"/>
        </w:rPr>
        <w:t>return of strategic capital funding to Welsh Government in 2022/23</w:t>
      </w:r>
      <w:r w:rsidR="00DF2E92">
        <w:rPr>
          <w:rFonts w:ascii="Verdana" w:hAnsi="Verdana"/>
        </w:rPr>
        <w:t xml:space="preserve">. Welsh Government </w:t>
      </w:r>
      <w:r w:rsidR="009DEBCF" w:rsidRPr="3C7A6D14">
        <w:rPr>
          <w:rFonts w:ascii="Verdana" w:hAnsi="Verdana"/>
        </w:rPr>
        <w:t xml:space="preserve">do not </w:t>
      </w:r>
      <w:r w:rsidR="00DF2E92">
        <w:rPr>
          <w:rFonts w:ascii="Verdana" w:hAnsi="Verdana"/>
        </w:rPr>
        <w:t xml:space="preserve">have </w:t>
      </w:r>
      <w:r w:rsidR="00D76EA5">
        <w:rPr>
          <w:rFonts w:ascii="Verdana" w:hAnsi="Verdana"/>
        </w:rPr>
        <w:t>strategic capital funding for this national programme available in 2023/24</w:t>
      </w:r>
      <w:r w:rsidR="0005786D">
        <w:rPr>
          <w:rFonts w:ascii="Verdana" w:hAnsi="Verdana"/>
        </w:rPr>
        <w:t>. Therefore</w:t>
      </w:r>
      <w:r w:rsidR="732D0430" w:rsidRPr="3C7A6D14">
        <w:rPr>
          <w:rFonts w:ascii="Verdana" w:hAnsi="Verdana"/>
        </w:rPr>
        <w:t>,</w:t>
      </w:r>
      <w:r w:rsidR="0005786D">
        <w:rPr>
          <w:rFonts w:ascii="Verdana" w:hAnsi="Verdana"/>
        </w:rPr>
        <w:t xml:space="preserve"> Public Heath Wales are required to fund £257k for this development from our discretionary allocation.</w:t>
      </w:r>
    </w:p>
    <w:p w14:paraId="2B8CE3EB" w14:textId="3E2619BD" w:rsidR="00E8649D" w:rsidRDefault="00C07275" w:rsidP="27713507">
      <w:pPr>
        <w:pStyle w:val="NormalText"/>
        <w:rPr>
          <w:rFonts w:ascii="Verdana" w:hAnsi="Verdana"/>
        </w:rPr>
      </w:pPr>
      <w:r w:rsidRPr="00C07275">
        <w:rPr>
          <w:rFonts w:ascii="Verdana" w:hAnsi="Verdana"/>
        </w:rPr>
        <w:t>Estates Funding Advisory Board (</w:t>
      </w:r>
      <w:r w:rsidR="00752386" w:rsidRPr="00C07275">
        <w:rPr>
          <w:rFonts w:ascii="Verdana" w:hAnsi="Verdana"/>
        </w:rPr>
        <w:t>EFAB</w:t>
      </w:r>
      <w:r w:rsidRPr="00C07275">
        <w:rPr>
          <w:rFonts w:ascii="Verdana" w:hAnsi="Verdana"/>
        </w:rPr>
        <w:t xml:space="preserve">) has been reinstated for 2023/24 and 2024/25. £20m is to be made available </w:t>
      </w:r>
      <w:r w:rsidR="005D33CF">
        <w:rPr>
          <w:rFonts w:ascii="Verdana" w:hAnsi="Verdana"/>
        </w:rPr>
        <w:t>ac</w:t>
      </w:r>
      <w:r w:rsidR="00C27083">
        <w:rPr>
          <w:rFonts w:ascii="Verdana" w:hAnsi="Verdana"/>
        </w:rPr>
        <w:t>r</w:t>
      </w:r>
      <w:r w:rsidR="005D33CF">
        <w:rPr>
          <w:rFonts w:ascii="Verdana" w:hAnsi="Verdana"/>
        </w:rPr>
        <w:t xml:space="preserve">oss Wales </w:t>
      </w:r>
      <w:r w:rsidRPr="00C07275">
        <w:rPr>
          <w:rFonts w:ascii="Verdana" w:hAnsi="Verdana"/>
        </w:rPr>
        <w:t>for each of the two years with funding to be provided to cover Infrastructure and Mental Health; Fire Compliance works and Decarbonisation schemes.</w:t>
      </w:r>
      <w:r>
        <w:rPr>
          <w:rFonts w:ascii="Verdana" w:hAnsi="Verdana"/>
        </w:rPr>
        <w:t xml:space="preserve">  </w:t>
      </w:r>
      <w:r w:rsidR="00E8649D">
        <w:rPr>
          <w:rFonts w:ascii="Verdana" w:hAnsi="Verdana"/>
        </w:rPr>
        <w:t xml:space="preserve">Organisations are required to make a 30% contribution to all schemes supported through EFAB from discretionary allocations. </w:t>
      </w:r>
      <w:r w:rsidR="00B75B09">
        <w:rPr>
          <w:rFonts w:ascii="Verdana" w:hAnsi="Verdana"/>
        </w:rPr>
        <w:t xml:space="preserve">Public Health Wales were successful in bidding </w:t>
      </w:r>
      <w:r w:rsidR="00E8649D">
        <w:rPr>
          <w:rFonts w:ascii="Verdana" w:hAnsi="Verdana"/>
        </w:rPr>
        <w:t>£340</w:t>
      </w:r>
      <w:r w:rsidR="0054077C">
        <w:rPr>
          <w:rFonts w:ascii="Verdana" w:hAnsi="Verdana"/>
        </w:rPr>
        <w:t xml:space="preserve">k </w:t>
      </w:r>
      <w:r w:rsidR="00727374">
        <w:rPr>
          <w:rFonts w:ascii="Verdana" w:hAnsi="Verdana"/>
        </w:rPr>
        <w:t>for decarbonisation schemes</w:t>
      </w:r>
      <w:r w:rsidR="00E8649D">
        <w:rPr>
          <w:rFonts w:ascii="Verdana" w:hAnsi="Verdana"/>
        </w:rPr>
        <w:t xml:space="preserve"> and £185k for fire compliance works</w:t>
      </w:r>
      <w:r w:rsidR="00C45AE8">
        <w:rPr>
          <w:rFonts w:ascii="Verdana" w:hAnsi="Verdana"/>
        </w:rPr>
        <w:t xml:space="preserve">. </w:t>
      </w:r>
      <w:r>
        <w:rPr>
          <w:rFonts w:ascii="Verdana" w:hAnsi="Verdana"/>
        </w:rPr>
        <w:t xml:space="preserve">As set up out in </w:t>
      </w:r>
      <w:r w:rsidRPr="00C27083">
        <w:rPr>
          <w:rFonts w:ascii="Verdana" w:hAnsi="Verdana"/>
          <w:b/>
          <w:bCs/>
        </w:rPr>
        <w:t>Table 1</w:t>
      </w:r>
      <w:r w:rsidR="00C27083" w:rsidRPr="00C27083">
        <w:rPr>
          <w:rFonts w:ascii="Verdana" w:hAnsi="Verdana"/>
          <w:b/>
          <w:bCs/>
        </w:rPr>
        <w:t>3</w:t>
      </w:r>
      <w:r>
        <w:rPr>
          <w:rFonts w:ascii="Verdana" w:hAnsi="Verdana"/>
        </w:rPr>
        <w:t xml:space="preserve"> above, Public Health Wales have committed £158k of discretionary allocation to </w:t>
      </w:r>
      <w:r w:rsidR="00E8649D">
        <w:rPr>
          <w:rFonts w:ascii="Verdana" w:hAnsi="Verdana"/>
        </w:rPr>
        <w:t xml:space="preserve">the successful </w:t>
      </w:r>
      <w:r>
        <w:rPr>
          <w:rFonts w:ascii="Verdana" w:hAnsi="Verdana"/>
        </w:rPr>
        <w:t>EFAB schemes</w:t>
      </w:r>
      <w:r w:rsidR="00E8649D">
        <w:rPr>
          <w:rFonts w:ascii="Verdana" w:hAnsi="Verdana"/>
        </w:rPr>
        <w:t>.</w:t>
      </w:r>
    </w:p>
    <w:p w14:paraId="35ACB21F" w14:textId="1FAF67E1" w:rsidR="003B6001" w:rsidRPr="003B6001" w:rsidRDefault="003B6001" w:rsidP="003B6001">
      <w:pPr>
        <w:pStyle w:val="NormalText"/>
        <w:rPr>
          <w:rFonts w:ascii="Verdana" w:hAnsi="Verdana"/>
        </w:rPr>
      </w:pPr>
      <w:r w:rsidRPr="003B6001">
        <w:rPr>
          <w:rFonts w:ascii="Verdana" w:hAnsi="Verdana"/>
        </w:rPr>
        <w:t xml:space="preserve">Following the introduction of the new accounting standard, IFRS 16 Leases, in 2022-23, new leases and lease renewals which fall within the scope of </w:t>
      </w:r>
      <w:r w:rsidRPr="003B6001">
        <w:rPr>
          <w:rFonts w:ascii="Verdana" w:hAnsi="Verdana"/>
          <w:b/>
          <w:bCs/>
        </w:rPr>
        <w:t>IFRS 16</w:t>
      </w:r>
      <w:r w:rsidRPr="003B6001">
        <w:rPr>
          <w:rFonts w:ascii="Verdana" w:hAnsi="Verdana"/>
        </w:rPr>
        <w:t xml:space="preserve"> will be funded by capital. A Right of Use Asset is created on the balance sheet which reflects the item being leased. This asset is depreciated in the same way owned assets are depreciated. The requirements of the new accounting standard mean </w:t>
      </w:r>
      <w:r>
        <w:rPr>
          <w:rFonts w:ascii="Verdana" w:hAnsi="Verdana"/>
        </w:rPr>
        <w:t>Public Health Wales</w:t>
      </w:r>
      <w:r w:rsidRPr="003B6001">
        <w:rPr>
          <w:rFonts w:ascii="Verdana" w:hAnsi="Verdana"/>
        </w:rPr>
        <w:t xml:space="preserve"> accounts for leased assets in a similar way to owned assets, given the right of use and control of owned and leased assets is comparable. </w:t>
      </w:r>
    </w:p>
    <w:p w14:paraId="3D3A0FED" w14:textId="77777777" w:rsidR="003B6001" w:rsidRPr="003B6001" w:rsidRDefault="003B6001" w:rsidP="003B6001">
      <w:pPr>
        <w:pStyle w:val="NormalText"/>
        <w:rPr>
          <w:rFonts w:ascii="Verdana" w:hAnsi="Verdana"/>
        </w:rPr>
      </w:pPr>
    </w:p>
    <w:p w14:paraId="7781C791" w14:textId="0437C125" w:rsidR="003B6001" w:rsidRPr="003B6001" w:rsidRDefault="003B6001" w:rsidP="003B6001">
      <w:pPr>
        <w:pStyle w:val="NormalText"/>
        <w:rPr>
          <w:rFonts w:ascii="Verdana" w:hAnsi="Verdana"/>
        </w:rPr>
      </w:pPr>
      <w:r w:rsidRPr="003B6001">
        <w:rPr>
          <w:rFonts w:ascii="Verdana" w:hAnsi="Verdana"/>
        </w:rPr>
        <w:t xml:space="preserve">During 2023-24 </w:t>
      </w:r>
      <w:r>
        <w:rPr>
          <w:rFonts w:ascii="Verdana" w:hAnsi="Verdana"/>
        </w:rPr>
        <w:t>Public Health Wales</w:t>
      </w:r>
      <w:r w:rsidRPr="003B6001">
        <w:rPr>
          <w:rFonts w:ascii="Verdana" w:hAnsi="Verdana"/>
        </w:rPr>
        <w:t xml:space="preserve"> has property leases expiring, for which renewal leases would require capital funding. However, plans to renew these property leases are currently being considered in the wider context of the overall </w:t>
      </w:r>
      <w:r>
        <w:rPr>
          <w:rFonts w:ascii="Verdana" w:hAnsi="Verdana"/>
        </w:rPr>
        <w:t>Public health Wales</w:t>
      </w:r>
      <w:r w:rsidRPr="003B6001">
        <w:rPr>
          <w:rFonts w:ascii="Verdana" w:hAnsi="Verdana"/>
        </w:rPr>
        <w:t xml:space="preserve"> estate. In addition, there are contracts within Health Protection and Screening Services which are due for renewal. These contracts will include the provision of equipment and are likely to fall within the scope of IFRS 16 and therefore will require capital funding.</w:t>
      </w:r>
    </w:p>
    <w:p w14:paraId="48D20906" w14:textId="77777777" w:rsidR="003B6001" w:rsidRPr="003B6001" w:rsidRDefault="003B6001" w:rsidP="003B6001">
      <w:pPr>
        <w:pStyle w:val="NormalText"/>
        <w:rPr>
          <w:rFonts w:ascii="Verdana" w:hAnsi="Verdana"/>
        </w:rPr>
      </w:pPr>
    </w:p>
    <w:p w14:paraId="56B63330" w14:textId="168BCF50" w:rsidR="003B6001" w:rsidRDefault="003B6001" w:rsidP="003B6001">
      <w:pPr>
        <w:pStyle w:val="NormalText"/>
        <w:rPr>
          <w:rFonts w:ascii="Verdana" w:hAnsi="Verdana"/>
        </w:rPr>
      </w:pPr>
      <w:r>
        <w:rPr>
          <w:rFonts w:ascii="Verdana" w:hAnsi="Verdana"/>
        </w:rPr>
        <w:t>Public Health Wales</w:t>
      </w:r>
      <w:r w:rsidRPr="003B6001">
        <w:rPr>
          <w:rFonts w:ascii="Verdana" w:hAnsi="Verdana"/>
        </w:rPr>
        <w:t xml:space="preserve"> works closely with Welsh Government to communicate funding requirements for leases via a quarterly return. This is the current mechanism for acquiring capital funding approval for new and renewal leases.</w:t>
      </w:r>
    </w:p>
    <w:p w14:paraId="341DB367" w14:textId="77777777" w:rsidR="003B6001" w:rsidRPr="00E8649D" w:rsidRDefault="003B6001" w:rsidP="003B6001">
      <w:pPr>
        <w:pStyle w:val="NormalText"/>
        <w:rPr>
          <w:rFonts w:ascii="Verdana" w:hAnsi="Verdana"/>
        </w:rPr>
      </w:pPr>
    </w:p>
    <w:p w14:paraId="2B8947DE" w14:textId="77777777" w:rsidR="00656705" w:rsidRPr="00A123F0" w:rsidRDefault="00656705" w:rsidP="00656705">
      <w:pPr>
        <w:pStyle w:val="ListParagraph"/>
        <w:numPr>
          <w:ilvl w:val="0"/>
          <w:numId w:val="23"/>
        </w:numPr>
        <w:ind w:left="426" w:hanging="426"/>
        <w:rPr>
          <w:lang w:val="en-US"/>
        </w:rPr>
      </w:pPr>
      <w:r w:rsidRPr="00A123F0">
        <w:rPr>
          <w:b/>
          <w:bCs/>
        </w:rPr>
        <w:t>Financial Risk</w:t>
      </w:r>
    </w:p>
    <w:p w14:paraId="4C96CF69" w14:textId="77777777" w:rsidR="00656705" w:rsidRPr="00A123F0" w:rsidRDefault="00656705" w:rsidP="00656705">
      <w:pPr>
        <w:rPr>
          <w:lang w:val="en-US"/>
        </w:rPr>
      </w:pPr>
    </w:p>
    <w:p w14:paraId="509FDF16" w14:textId="77777777" w:rsidR="00656705" w:rsidRPr="00E71728" w:rsidRDefault="00656705" w:rsidP="00656705">
      <w:pPr>
        <w:jc w:val="both"/>
        <w:rPr>
          <w:lang w:val="en-US"/>
        </w:rPr>
      </w:pPr>
      <w:r w:rsidRPr="00E71728">
        <w:rPr>
          <w:lang w:val="en-US"/>
        </w:rPr>
        <w:t xml:space="preserve">We are currently anticipating a breakeven position, in line with the 2023/24 budget setting process and detailed work of the IMTP.  However, it is worth noting that a number of risks </w:t>
      </w:r>
      <w:r>
        <w:rPr>
          <w:lang w:val="en-US"/>
        </w:rPr>
        <w:t xml:space="preserve">exist </w:t>
      </w:r>
      <w:r w:rsidRPr="00E71728">
        <w:rPr>
          <w:lang w:val="en-US"/>
        </w:rPr>
        <w:t>as set out below</w:t>
      </w:r>
      <w:r>
        <w:rPr>
          <w:lang w:val="en-US"/>
        </w:rPr>
        <w:t>.</w:t>
      </w:r>
    </w:p>
    <w:p w14:paraId="203E3712" w14:textId="77777777" w:rsidR="00656705" w:rsidRPr="00E71728" w:rsidRDefault="00656705" w:rsidP="00656705">
      <w:pPr>
        <w:jc w:val="both"/>
        <w:rPr>
          <w:lang w:val="en-US"/>
        </w:rPr>
      </w:pPr>
    </w:p>
    <w:p w14:paraId="0DD36C7B" w14:textId="77777777" w:rsidR="00656705" w:rsidRPr="00E71728" w:rsidRDefault="00656705" w:rsidP="00656705">
      <w:pPr>
        <w:jc w:val="both"/>
        <w:rPr>
          <w:lang w:val="en-US"/>
        </w:rPr>
      </w:pPr>
      <w:r w:rsidRPr="00E71728">
        <w:rPr>
          <w:lang w:val="en-US"/>
        </w:rPr>
        <w:t>Our key financial risks identified for 2023/24 include:</w:t>
      </w:r>
    </w:p>
    <w:p w14:paraId="02F57458" w14:textId="77777777" w:rsidR="00656705" w:rsidRPr="00E71728" w:rsidRDefault="00656705" w:rsidP="00656705">
      <w:pPr>
        <w:pStyle w:val="ListParagraph"/>
        <w:numPr>
          <w:ilvl w:val="0"/>
          <w:numId w:val="37"/>
        </w:numPr>
        <w:jc w:val="both"/>
        <w:rPr>
          <w:lang w:val="en-US"/>
        </w:rPr>
      </w:pPr>
      <w:r w:rsidRPr="00E71728">
        <w:rPr>
          <w:lang w:val="en-US"/>
        </w:rPr>
        <w:t>Screening recovery funding not yet confirmed;</w:t>
      </w:r>
    </w:p>
    <w:p w14:paraId="1D7CF64A" w14:textId="77777777" w:rsidR="00656705" w:rsidRPr="00E71728" w:rsidRDefault="00656705" w:rsidP="00656705">
      <w:pPr>
        <w:pStyle w:val="ListParagraph"/>
        <w:numPr>
          <w:ilvl w:val="0"/>
          <w:numId w:val="37"/>
        </w:numPr>
        <w:jc w:val="both"/>
        <w:rPr>
          <w:lang w:val="en-US"/>
        </w:rPr>
      </w:pPr>
      <w:r w:rsidRPr="00E71728">
        <w:rPr>
          <w:lang w:val="en-US"/>
        </w:rPr>
        <w:t>Other Welsh Government anticipated funding yet to be confirmed;</w:t>
      </w:r>
    </w:p>
    <w:p w14:paraId="5E012FB4" w14:textId="77777777" w:rsidR="00656705" w:rsidRPr="00E71728" w:rsidRDefault="00656705" w:rsidP="00656705">
      <w:pPr>
        <w:pStyle w:val="ListParagraph"/>
        <w:numPr>
          <w:ilvl w:val="0"/>
          <w:numId w:val="37"/>
        </w:numPr>
        <w:jc w:val="both"/>
        <w:rPr>
          <w:lang w:val="en-US"/>
        </w:rPr>
      </w:pPr>
      <w:r w:rsidRPr="00E71728">
        <w:rPr>
          <w:lang w:val="en-US"/>
        </w:rPr>
        <w:t>COVID costs incurred during 2023/24 breach the £16.93m funding cap;</w:t>
      </w:r>
    </w:p>
    <w:p w14:paraId="6E8FED6C" w14:textId="77777777" w:rsidR="00656705" w:rsidRPr="00E71728" w:rsidRDefault="00656705" w:rsidP="00656705">
      <w:pPr>
        <w:pStyle w:val="ListParagraph"/>
        <w:numPr>
          <w:ilvl w:val="0"/>
          <w:numId w:val="37"/>
        </w:numPr>
        <w:jc w:val="both"/>
        <w:rPr>
          <w:lang w:val="en-US"/>
        </w:rPr>
      </w:pPr>
      <w:r>
        <w:rPr>
          <w:lang w:val="en-US"/>
        </w:rPr>
        <w:t>Ris</w:t>
      </w:r>
      <w:r w:rsidRPr="00E71728">
        <w:rPr>
          <w:lang w:val="en-US"/>
        </w:rPr>
        <w:t>k that recurrent elements of the £16.93m COVID costs are not funded after 2023/24;</w:t>
      </w:r>
    </w:p>
    <w:p w14:paraId="22942AB1" w14:textId="77777777" w:rsidR="00656705" w:rsidRPr="00E71728" w:rsidRDefault="00656705" w:rsidP="00656705">
      <w:pPr>
        <w:pStyle w:val="ListParagraph"/>
        <w:numPr>
          <w:ilvl w:val="0"/>
          <w:numId w:val="37"/>
        </w:numPr>
        <w:jc w:val="both"/>
        <w:rPr>
          <w:lang w:val="en-US"/>
        </w:rPr>
      </w:pPr>
      <w:r w:rsidRPr="00E71728">
        <w:rPr>
          <w:lang w:val="en-US"/>
        </w:rPr>
        <w:t>Recurrent commitments against time-limited non-recurrent grants e.g. Obesity, Early Years Prevention;</w:t>
      </w:r>
    </w:p>
    <w:p w14:paraId="293695DA" w14:textId="33238D8E" w:rsidR="00656705" w:rsidRPr="00E71728" w:rsidRDefault="00656705" w:rsidP="00656705">
      <w:pPr>
        <w:pStyle w:val="ListParagraph"/>
        <w:numPr>
          <w:ilvl w:val="0"/>
          <w:numId w:val="37"/>
        </w:numPr>
        <w:jc w:val="both"/>
        <w:rPr>
          <w:lang w:val="en-US"/>
        </w:rPr>
      </w:pPr>
      <w:r w:rsidRPr="00E71728">
        <w:rPr>
          <w:lang w:val="en-US"/>
        </w:rPr>
        <w:t>Managing the set-up of the NHS Executive within funded resources</w:t>
      </w:r>
      <w:r w:rsidR="00527234">
        <w:rPr>
          <w:lang w:val="en-US"/>
        </w:rPr>
        <w:t>;</w:t>
      </w:r>
    </w:p>
    <w:p w14:paraId="2E1FA5F6" w14:textId="77AF3988" w:rsidR="00656705" w:rsidRDefault="00656705" w:rsidP="00656705">
      <w:pPr>
        <w:pStyle w:val="ListParagraph"/>
        <w:numPr>
          <w:ilvl w:val="0"/>
          <w:numId w:val="37"/>
        </w:numPr>
        <w:jc w:val="both"/>
        <w:rPr>
          <w:lang w:val="en-US"/>
        </w:rPr>
      </w:pPr>
      <w:r w:rsidRPr="00E71728">
        <w:rPr>
          <w:lang w:val="en-US"/>
        </w:rPr>
        <w:t>Public Inquiry resource requirements exceed current funded plan</w:t>
      </w:r>
      <w:r w:rsidR="00527234">
        <w:rPr>
          <w:lang w:val="en-US"/>
        </w:rPr>
        <w:t xml:space="preserve"> and</w:t>
      </w:r>
    </w:p>
    <w:p w14:paraId="41B19D6E" w14:textId="2FEB1AF5" w:rsidR="00527234" w:rsidRPr="00E71728" w:rsidRDefault="00527234" w:rsidP="00656705">
      <w:pPr>
        <w:pStyle w:val="ListParagraph"/>
        <w:numPr>
          <w:ilvl w:val="0"/>
          <w:numId w:val="37"/>
        </w:numPr>
        <w:jc w:val="both"/>
        <w:rPr>
          <w:lang w:val="en-US"/>
        </w:rPr>
      </w:pPr>
      <w:r>
        <w:rPr>
          <w:lang w:val="en-US"/>
        </w:rPr>
        <w:t>Availability of strategic capital funding to support the replacement of digital firewalls and other strategic capital priorities.</w:t>
      </w:r>
    </w:p>
    <w:p w14:paraId="0F2E9913" w14:textId="77777777" w:rsidR="00656705" w:rsidRPr="00E71728" w:rsidRDefault="00656705" w:rsidP="00656705">
      <w:pPr>
        <w:jc w:val="both"/>
        <w:rPr>
          <w:b/>
          <w:highlight w:val="magenta"/>
          <w:lang w:val="en-US"/>
        </w:rPr>
      </w:pPr>
    </w:p>
    <w:p w14:paraId="09B3250E" w14:textId="77777777" w:rsidR="00656705" w:rsidRDefault="00656705" w:rsidP="00656705">
      <w:pPr>
        <w:jc w:val="both"/>
        <w:rPr>
          <w:lang w:val="en-US"/>
        </w:rPr>
      </w:pPr>
    </w:p>
    <w:p w14:paraId="38A13193" w14:textId="77777777" w:rsidR="00656705" w:rsidRPr="007370DF" w:rsidRDefault="00656705" w:rsidP="00656705">
      <w:pPr>
        <w:jc w:val="both"/>
        <w:rPr>
          <w:lang w:val="en-US"/>
        </w:rPr>
      </w:pPr>
      <w:r w:rsidRPr="007370DF">
        <w:rPr>
          <w:lang w:val="en-US"/>
        </w:rPr>
        <w:t xml:space="preserve">We manage our financial risk through monthly scrutiny of the financial position and forecast expenditure plans. Finance Business Partners will work with Directorate and Divisional senior management teams to ensure that any changes to forecast plans are included in the detailed projections and that assumptions and risks associated with the figures are captured.  This ensures that monthly changes to plans can be monitored closely, and reported to each senior management team as part of routine financial performance reporting.  </w:t>
      </w:r>
    </w:p>
    <w:p w14:paraId="1AF7A3AE" w14:textId="77777777" w:rsidR="0CFA33A0" w:rsidRDefault="0CFA33A0" w:rsidP="0CFA33A0">
      <w:pPr>
        <w:pStyle w:val="NormalText"/>
        <w:rPr>
          <w:rFonts w:ascii="Verdana" w:hAnsi="Verdana"/>
        </w:rPr>
      </w:pPr>
    </w:p>
    <w:p w14:paraId="294F046F" w14:textId="77777777" w:rsidR="006458A3" w:rsidRPr="008079F7" w:rsidRDefault="006458A3" w:rsidP="27713507">
      <w:pPr>
        <w:rPr>
          <w:highlight w:val="magenta"/>
        </w:rPr>
      </w:pPr>
    </w:p>
    <w:p w14:paraId="5769CEF8" w14:textId="77777777" w:rsidR="00776541" w:rsidRPr="002229FD" w:rsidRDefault="7ABEBB8D" w:rsidP="27713507">
      <w:pPr>
        <w:pStyle w:val="ListParagraph"/>
        <w:numPr>
          <w:ilvl w:val="0"/>
          <w:numId w:val="23"/>
        </w:numPr>
        <w:ind w:left="567" w:hanging="567"/>
        <w:rPr>
          <w:b/>
          <w:bCs/>
        </w:rPr>
      </w:pPr>
      <w:r w:rsidRPr="002229FD">
        <w:rPr>
          <w:b/>
          <w:bCs/>
        </w:rPr>
        <w:t>Recommendation</w:t>
      </w:r>
    </w:p>
    <w:p w14:paraId="1135E639" w14:textId="77777777" w:rsidR="00446143" w:rsidRPr="002229FD" w:rsidRDefault="00446143" w:rsidP="27713507">
      <w:pPr>
        <w:rPr>
          <w:b/>
          <w:bCs/>
        </w:rPr>
      </w:pPr>
    </w:p>
    <w:p w14:paraId="5BCDE249" w14:textId="77777777" w:rsidR="000C1EAD" w:rsidRPr="002229FD" w:rsidRDefault="514CB236" w:rsidP="27713507">
      <w:pPr>
        <w:jc w:val="both"/>
      </w:pPr>
      <w:r w:rsidRPr="002229FD">
        <w:t>The Business Executive Team is asked to approve the 202</w:t>
      </w:r>
      <w:r w:rsidR="002229FD" w:rsidRPr="002229FD">
        <w:t>3</w:t>
      </w:r>
      <w:r w:rsidRPr="002229FD">
        <w:t>/2</w:t>
      </w:r>
      <w:r w:rsidR="002229FD" w:rsidRPr="002229FD">
        <w:t>4</w:t>
      </w:r>
      <w:r w:rsidRPr="002229FD">
        <w:t xml:space="preserve"> </w:t>
      </w:r>
      <w:r w:rsidR="21226F11" w:rsidRPr="002229FD">
        <w:t>– 202</w:t>
      </w:r>
      <w:r w:rsidR="002229FD" w:rsidRPr="002229FD">
        <w:t>5</w:t>
      </w:r>
      <w:r w:rsidR="21226F11" w:rsidRPr="002229FD">
        <w:t>/2</w:t>
      </w:r>
      <w:r w:rsidR="002229FD" w:rsidRPr="002229FD">
        <w:t>6</w:t>
      </w:r>
      <w:r w:rsidR="21226F11" w:rsidRPr="002229FD">
        <w:t xml:space="preserve"> </w:t>
      </w:r>
      <w:r w:rsidRPr="002229FD">
        <w:t xml:space="preserve">Financial Plan and budgetary control framework noting the ongoing review and scrutiny process. </w:t>
      </w:r>
    </w:p>
    <w:p w14:paraId="046EF299" w14:textId="77777777" w:rsidR="000C1EAD" w:rsidRPr="008079F7" w:rsidRDefault="000C1EAD" w:rsidP="27713507">
      <w:pPr>
        <w:spacing w:after="200" w:line="276" w:lineRule="auto"/>
        <w:rPr>
          <w:highlight w:val="magenta"/>
        </w:rPr>
      </w:pPr>
    </w:p>
    <w:sectPr w:rsidR="000C1EAD" w:rsidRPr="008079F7" w:rsidSect="00E24001">
      <w:footerReference w:type="even"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2D7276" w14:textId="77777777" w:rsidR="006B4EF7" w:rsidRDefault="006B4EF7" w:rsidP="00497F39">
      <w:r>
        <w:separator/>
      </w:r>
    </w:p>
  </w:endnote>
  <w:endnote w:type="continuationSeparator" w:id="0">
    <w:p w14:paraId="34812D55" w14:textId="77777777" w:rsidR="006B4EF7" w:rsidRDefault="006B4EF7" w:rsidP="00497F39">
      <w:r>
        <w:continuationSeparator/>
      </w:r>
    </w:p>
  </w:endnote>
  <w:endnote w:type="continuationNotice" w:id="1">
    <w:p w14:paraId="6638873C" w14:textId="77777777" w:rsidR="006B4EF7" w:rsidRDefault="006B4E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A60F5F" w14:textId="77777777" w:rsidR="006B4EF7" w:rsidRDefault="006B4EF7">
    <w:pPr>
      <w:pStyle w:val="Footer"/>
    </w:pPr>
  </w:p>
  <w:p w14:paraId="7FA89CC1" w14:textId="77777777" w:rsidR="006B4EF7" w:rsidRDefault="006B4EF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6B4EF7" w:rsidRPr="00511AFF" w14:paraId="4CA1AE98" w14:textId="77777777" w:rsidTr="003B7361">
      <w:tc>
        <w:tcPr>
          <w:tcW w:w="3100" w:type="dxa"/>
        </w:tcPr>
        <w:p w14:paraId="4BF2F84B" w14:textId="77777777" w:rsidR="006B4EF7" w:rsidRPr="00D47E5C" w:rsidRDefault="006B4EF7" w:rsidP="009318D8">
          <w:pPr>
            <w:pStyle w:val="Footer"/>
            <w:tabs>
              <w:tab w:val="right" w:pos="9090"/>
            </w:tabs>
            <w:jc w:val="center"/>
            <w:rPr>
              <w:b/>
              <w:sz w:val="20"/>
            </w:rPr>
          </w:pPr>
          <w:r w:rsidRPr="00D47E5C">
            <w:rPr>
              <w:b/>
              <w:sz w:val="20"/>
            </w:rPr>
            <w:t xml:space="preserve">Date: </w:t>
          </w:r>
          <w:r w:rsidRPr="00D47E5C">
            <w:rPr>
              <w:sz w:val="20"/>
            </w:rPr>
            <w:t xml:space="preserve"> </w:t>
          </w:r>
          <w:r>
            <w:rPr>
              <w:sz w:val="20"/>
            </w:rPr>
            <w:t>7</w:t>
          </w:r>
          <w:r w:rsidRPr="00D47E5C">
            <w:rPr>
              <w:sz w:val="20"/>
            </w:rPr>
            <w:t xml:space="preserve"> </w:t>
          </w:r>
          <w:r>
            <w:rPr>
              <w:sz w:val="20"/>
            </w:rPr>
            <w:t>March 2023</w:t>
          </w:r>
        </w:p>
      </w:tc>
      <w:tc>
        <w:tcPr>
          <w:tcW w:w="3100" w:type="dxa"/>
        </w:tcPr>
        <w:p w14:paraId="432C3EBF" w14:textId="77777777" w:rsidR="006B4EF7" w:rsidRPr="00D47E5C" w:rsidRDefault="006B4EF7" w:rsidP="00D47E5C">
          <w:pPr>
            <w:pStyle w:val="Footer"/>
            <w:tabs>
              <w:tab w:val="center" w:pos="1433"/>
              <w:tab w:val="right" w:pos="2866"/>
              <w:tab w:val="right" w:pos="9090"/>
            </w:tabs>
            <w:jc w:val="center"/>
            <w:rPr>
              <w:b/>
              <w:sz w:val="20"/>
            </w:rPr>
          </w:pPr>
          <w:r w:rsidRPr="00D47E5C">
            <w:rPr>
              <w:b/>
              <w:sz w:val="20"/>
            </w:rPr>
            <w:t>Version:</w:t>
          </w:r>
          <w:r w:rsidRPr="00D47E5C">
            <w:rPr>
              <w:sz w:val="20"/>
            </w:rPr>
            <w:t xml:space="preserve"> </w:t>
          </w:r>
          <w:r>
            <w:rPr>
              <w:sz w:val="20"/>
            </w:rPr>
            <w:t>0d</w:t>
          </w:r>
        </w:p>
      </w:tc>
      <w:tc>
        <w:tcPr>
          <w:tcW w:w="3101" w:type="dxa"/>
        </w:tcPr>
        <w:p w14:paraId="13700CA4" w14:textId="47C602D2" w:rsidR="006B4EF7" w:rsidRPr="00D47E5C" w:rsidRDefault="006B4EF7" w:rsidP="003B7361">
          <w:pPr>
            <w:pStyle w:val="Footer"/>
            <w:tabs>
              <w:tab w:val="clear" w:pos="4513"/>
              <w:tab w:val="center" w:pos="4500"/>
              <w:tab w:val="right" w:pos="9090"/>
            </w:tabs>
            <w:jc w:val="center"/>
            <w:rPr>
              <w:b/>
              <w:sz w:val="20"/>
            </w:rPr>
          </w:pPr>
          <w:r w:rsidRPr="00D47E5C">
            <w:rPr>
              <w:b/>
              <w:sz w:val="20"/>
            </w:rPr>
            <w:t xml:space="preserve">Page: </w:t>
          </w:r>
          <w:r w:rsidRPr="00D47E5C">
            <w:rPr>
              <w:rStyle w:val="PageNumber"/>
              <w:sz w:val="20"/>
            </w:rPr>
            <w:fldChar w:fldCharType="begin"/>
          </w:r>
          <w:r w:rsidRPr="00D47E5C">
            <w:rPr>
              <w:rStyle w:val="PageNumber"/>
              <w:sz w:val="20"/>
            </w:rPr>
            <w:instrText xml:space="preserve"> PAGE </w:instrText>
          </w:r>
          <w:r w:rsidRPr="00D47E5C">
            <w:rPr>
              <w:rStyle w:val="PageNumber"/>
              <w:sz w:val="20"/>
            </w:rPr>
            <w:fldChar w:fldCharType="separate"/>
          </w:r>
          <w:r w:rsidR="00767CFE">
            <w:rPr>
              <w:rStyle w:val="PageNumber"/>
              <w:noProof/>
              <w:sz w:val="20"/>
            </w:rPr>
            <w:t>2</w:t>
          </w:r>
          <w:r w:rsidRPr="00D47E5C">
            <w:rPr>
              <w:rStyle w:val="PageNumber"/>
              <w:sz w:val="20"/>
            </w:rPr>
            <w:fldChar w:fldCharType="end"/>
          </w:r>
          <w:r w:rsidRPr="00D47E5C">
            <w:rPr>
              <w:rStyle w:val="PageNumber"/>
              <w:sz w:val="20"/>
            </w:rPr>
            <w:t xml:space="preserve"> of </w:t>
          </w:r>
          <w:r w:rsidRPr="00D47E5C">
            <w:rPr>
              <w:rStyle w:val="PageNumber"/>
              <w:sz w:val="20"/>
            </w:rPr>
            <w:fldChar w:fldCharType="begin"/>
          </w:r>
          <w:r w:rsidRPr="00D47E5C">
            <w:rPr>
              <w:rStyle w:val="PageNumber"/>
              <w:sz w:val="20"/>
            </w:rPr>
            <w:instrText xml:space="preserve"> NUMPAGES </w:instrText>
          </w:r>
          <w:r w:rsidRPr="00D47E5C">
            <w:rPr>
              <w:rStyle w:val="PageNumber"/>
              <w:sz w:val="20"/>
            </w:rPr>
            <w:fldChar w:fldCharType="separate"/>
          </w:r>
          <w:r w:rsidR="00767CFE">
            <w:rPr>
              <w:rStyle w:val="PageNumber"/>
              <w:noProof/>
              <w:sz w:val="20"/>
            </w:rPr>
            <w:t>15</w:t>
          </w:r>
          <w:r w:rsidRPr="00D47E5C">
            <w:rPr>
              <w:rStyle w:val="PageNumber"/>
              <w:sz w:val="20"/>
            </w:rPr>
            <w:fldChar w:fldCharType="end"/>
          </w:r>
        </w:p>
      </w:tc>
    </w:tr>
  </w:tbl>
  <w:p w14:paraId="71B3CDD7" w14:textId="77777777" w:rsidR="006B4EF7" w:rsidRPr="00FA7943" w:rsidRDefault="006B4EF7">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967016" w14:textId="77777777" w:rsidR="006B4EF7" w:rsidRDefault="006B4EF7" w:rsidP="00497F39">
      <w:r>
        <w:separator/>
      </w:r>
    </w:p>
  </w:footnote>
  <w:footnote w:type="continuationSeparator" w:id="0">
    <w:p w14:paraId="65BE72F1" w14:textId="77777777" w:rsidR="006B4EF7" w:rsidRDefault="006B4EF7" w:rsidP="00497F39">
      <w:r>
        <w:continuationSeparator/>
      </w:r>
    </w:p>
  </w:footnote>
  <w:footnote w:type="continuationNotice" w:id="1">
    <w:p w14:paraId="5090ADD4" w14:textId="77777777" w:rsidR="006B4EF7" w:rsidRDefault="006B4EF7"/>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A7501"/>
    <w:multiLevelType w:val="hybridMultilevel"/>
    <w:tmpl w:val="BD24A26A"/>
    <w:lvl w:ilvl="0" w:tplc="9E640C6C">
      <w:start w:val="1"/>
      <w:numFmt w:val="bullet"/>
      <w:lvlText w:val="•"/>
      <w:lvlJc w:val="left"/>
      <w:pPr>
        <w:tabs>
          <w:tab w:val="num" w:pos="720"/>
        </w:tabs>
        <w:ind w:left="720" w:hanging="360"/>
      </w:pPr>
      <w:rPr>
        <w:rFonts w:ascii="Arial" w:hAnsi="Arial" w:hint="default"/>
      </w:rPr>
    </w:lvl>
    <w:lvl w:ilvl="1" w:tplc="D1F40158" w:tentative="1">
      <w:start w:val="1"/>
      <w:numFmt w:val="bullet"/>
      <w:lvlText w:val="•"/>
      <w:lvlJc w:val="left"/>
      <w:pPr>
        <w:tabs>
          <w:tab w:val="num" w:pos="1440"/>
        </w:tabs>
        <w:ind w:left="1440" w:hanging="360"/>
      </w:pPr>
      <w:rPr>
        <w:rFonts w:ascii="Arial" w:hAnsi="Arial" w:hint="default"/>
      </w:rPr>
    </w:lvl>
    <w:lvl w:ilvl="2" w:tplc="E3AE08A4" w:tentative="1">
      <w:start w:val="1"/>
      <w:numFmt w:val="bullet"/>
      <w:lvlText w:val="•"/>
      <w:lvlJc w:val="left"/>
      <w:pPr>
        <w:tabs>
          <w:tab w:val="num" w:pos="2160"/>
        </w:tabs>
        <w:ind w:left="2160" w:hanging="360"/>
      </w:pPr>
      <w:rPr>
        <w:rFonts w:ascii="Arial" w:hAnsi="Arial" w:hint="default"/>
      </w:rPr>
    </w:lvl>
    <w:lvl w:ilvl="3" w:tplc="BF967010" w:tentative="1">
      <w:start w:val="1"/>
      <w:numFmt w:val="bullet"/>
      <w:lvlText w:val="•"/>
      <w:lvlJc w:val="left"/>
      <w:pPr>
        <w:tabs>
          <w:tab w:val="num" w:pos="2880"/>
        </w:tabs>
        <w:ind w:left="2880" w:hanging="360"/>
      </w:pPr>
      <w:rPr>
        <w:rFonts w:ascii="Arial" w:hAnsi="Arial" w:hint="default"/>
      </w:rPr>
    </w:lvl>
    <w:lvl w:ilvl="4" w:tplc="ACA6ED04" w:tentative="1">
      <w:start w:val="1"/>
      <w:numFmt w:val="bullet"/>
      <w:lvlText w:val="•"/>
      <w:lvlJc w:val="left"/>
      <w:pPr>
        <w:tabs>
          <w:tab w:val="num" w:pos="3600"/>
        </w:tabs>
        <w:ind w:left="3600" w:hanging="360"/>
      </w:pPr>
      <w:rPr>
        <w:rFonts w:ascii="Arial" w:hAnsi="Arial" w:hint="default"/>
      </w:rPr>
    </w:lvl>
    <w:lvl w:ilvl="5" w:tplc="3924A320" w:tentative="1">
      <w:start w:val="1"/>
      <w:numFmt w:val="bullet"/>
      <w:lvlText w:val="•"/>
      <w:lvlJc w:val="left"/>
      <w:pPr>
        <w:tabs>
          <w:tab w:val="num" w:pos="4320"/>
        </w:tabs>
        <w:ind w:left="4320" w:hanging="360"/>
      </w:pPr>
      <w:rPr>
        <w:rFonts w:ascii="Arial" w:hAnsi="Arial" w:hint="default"/>
      </w:rPr>
    </w:lvl>
    <w:lvl w:ilvl="6" w:tplc="B3E4B0CC" w:tentative="1">
      <w:start w:val="1"/>
      <w:numFmt w:val="bullet"/>
      <w:lvlText w:val="•"/>
      <w:lvlJc w:val="left"/>
      <w:pPr>
        <w:tabs>
          <w:tab w:val="num" w:pos="5040"/>
        </w:tabs>
        <w:ind w:left="5040" w:hanging="360"/>
      </w:pPr>
      <w:rPr>
        <w:rFonts w:ascii="Arial" w:hAnsi="Arial" w:hint="default"/>
      </w:rPr>
    </w:lvl>
    <w:lvl w:ilvl="7" w:tplc="1A98AC06" w:tentative="1">
      <w:start w:val="1"/>
      <w:numFmt w:val="bullet"/>
      <w:lvlText w:val="•"/>
      <w:lvlJc w:val="left"/>
      <w:pPr>
        <w:tabs>
          <w:tab w:val="num" w:pos="5760"/>
        </w:tabs>
        <w:ind w:left="5760" w:hanging="360"/>
      </w:pPr>
      <w:rPr>
        <w:rFonts w:ascii="Arial" w:hAnsi="Arial" w:hint="default"/>
      </w:rPr>
    </w:lvl>
    <w:lvl w:ilvl="8" w:tplc="F184E11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6645DC5"/>
    <w:multiLevelType w:val="hybridMultilevel"/>
    <w:tmpl w:val="48F4099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64609E7"/>
    <w:multiLevelType w:val="hybridMultilevel"/>
    <w:tmpl w:val="4FA4AFD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6F24E4"/>
    <w:multiLevelType w:val="hybridMultilevel"/>
    <w:tmpl w:val="F940A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8772EF"/>
    <w:multiLevelType w:val="hybridMultilevel"/>
    <w:tmpl w:val="0D00F7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D155A6"/>
    <w:multiLevelType w:val="hybridMultilevel"/>
    <w:tmpl w:val="8FDA0BBC"/>
    <w:lvl w:ilvl="0" w:tplc="0809000D">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5"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30A32959"/>
    <w:multiLevelType w:val="hybridMultilevel"/>
    <w:tmpl w:val="031EE22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6F55A5"/>
    <w:multiLevelType w:val="hybridMultilevel"/>
    <w:tmpl w:val="A71C751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DF30A1"/>
    <w:multiLevelType w:val="hybridMultilevel"/>
    <w:tmpl w:val="884E796E"/>
    <w:lvl w:ilvl="0" w:tplc="08D070EA">
      <w:start w:val="1"/>
      <w:numFmt w:val="bullet"/>
      <w:lvlText w:val="•"/>
      <w:lvlJc w:val="left"/>
      <w:pPr>
        <w:tabs>
          <w:tab w:val="num" w:pos="720"/>
        </w:tabs>
        <w:ind w:left="720" w:hanging="360"/>
      </w:pPr>
      <w:rPr>
        <w:rFonts w:ascii="Arial" w:hAnsi="Arial" w:hint="default"/>
      </w:rPr>
    </w:lvl>
    <w:lvl w:ilvl="1" w:tplc="401A874C" w:tentative="1">
      <w:start w:val="1"/>
      <w:numFmt w:val="bullet"/>
      <w:lvlText w:val="•"/>
      <w:lvlJc w:val="left"/>
      <w:pPr>
        <w:tabs>
          <w:tab w:val="num" w:pos="1440"/>
        </w:tabs>
        <w:ind w:left="1440" w:hanging="360"/>
      </w:pPr>
      <w:rPr>
        <w:rFonts w:ascii="Arial" w:hAnsi="Arial" w:hint="default"/>
      </w:rPr>
    </w:lvl>
    <w:lvl w:ilvl="2" w:tplc="06DC889A" w:tentative="1">
      <w:start w:val="1"/>
      <w:numFmt w:val="bullet"/>
      <w:lvlText w:val="•"/>
      <w:lvlJc w:val="left"/>
      <w:pPr>
        <w:tabs>
          <w:tab w:val="num" w:pos="2160"/>
        </w:tabs>
        <w:ind w:left="2160" w:hanging="360"/>
      </w:pPr>
      <w:rPr>
        <w:rFonts w:ascii="Arial" w:hAnsi="Arial" w:hint="default"/>
      </w:rPr>
    </w:lvl>
    <w:lvl w:ilvl="3" w:tplc="163AFE7A" w:tentative="1">
      <w:start w:val="1"/>
      <w:numFmt w:val="bullet"/>
      <w:lvlText w:val="•"/>
      <w:lvlJc w:val="left"/>
      <w:pPr>
        <w:tabs>
          <w:tab w:val="num" w:pos="2880"/>
        </w:tabs>
        <w:ind w:left="2880" w:hanging="360"/>
      </w:pPr>
      <w:rPr>
        <w:rFonts w:ascii="Arial" w:hAnsi="Arial" w:hint="default"/>
      </w:rPr>
    </w:lvl>
    <w:lvl w:ilvl="4" w:tplc="4930097E" w:tentative="1">
      <w:start w:val="1"/>
      <w:numFmt w:val="bullet"/>
      <w:lvlText w:val="•"/>
      <w:lvlJc w:val="left"/>
      <w:pPr>
        <w:tabs>
          <w:tab w:val="num" w:pos="3600"/>
        </w:tabs>
        <w:ind w:left="3600" w:hanging="360"/>
      </w:pPr>
      <w:rPr>
        <w:rFonts w:ascii="Arial" w:hAnsi="Arial" w:hint="default"/>
      </w:rPr>
    </w:lvl>
    <w:lvl w:ilvl="5" w:tplc="71C0373C" w:tentative="1">
      <w:start w:val="1"/>
      <w:numFmt w:val="bullet"/>
      <w:lvlText w:val="•"/>
      <w:lvlJc w:val="left"/>
      <w:pPr>
        <w:tabs>
          <w:tab w:val="num" w:pos="4320"/>
        </w:tabs>
        <w:ind w:left="4320" w:hanging="360"/>
      </w:pPr>
      <w:rPr>
        <w:rFonts w:ascii="Arial" w:hAnsi="Arial" w:hint="default"/>
      </w:rPr>
    </w:lvl>
    <w:lvl w:ilvl="6" w:tplc="48984F8E" w:tentative="1">
      <w:start w:val="1"/>
      <w:numFmt w:val="bullet"/>
      <w:lvlText w:val="•"/>
      <w:lvlJc w:val="left"/>
      <w:pPr>
        <w:tabs>
          <w:tab w:val="num" w:pos="5040"/>
        </w:tabs>
        <w:ind w:left="5040" w:hanging="360"/>
      </w:pPr>
      <w:rPr>
        <w:rFonts w:ascii="Arial" w:hAnsi="Arial" w:hint="default"/>
      </w:rPr>
    </w:lvl>
    <w:lvl w:ilvl="7" w:tplc="8FBE018C" w:tentative="1">
      <w:start w:val="1"/>
      <w:numFmt w:val="bullet"/>
      <w:lvlText w:val="•"/>
      <w:lvlJc w:val="left"/>
      <w:pPr>
        <w:tabs>
          <w:tab w:val="num" w:pos="5760"/>
        </w:tabs>
        <w:ind w:left="5760" w:hanging="360"/>
      </w:pPr>
      <w:rPr>
        <w:rFonts w:ascii="Arial" w:hAnsi="Arial" w:hint="default"/>
      </w:rPr>
    </w:lvl>
    <w:lvl w:ilvl="8" w:tplc="AD201C5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FD5106C"/>
    <w:multiLevelType w:val="hybridMultilevel"/>
    <w:tmpl w:val="4C4E9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E2145C"/>
    <w:multiLevelType w:val="multilevel"/>
    <w:tmpl w:val="A22609D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2" w15:restartNumberingAfterBreak="0">
    <w:nsid w:val="46277BFF"/>
    <w:multiLevelType w:val="hybridMultilevel"/>
    <w:tmpl w:val="25E29B04"/>
    <w:lvl w:ilvl="0" w:tplc="66DEE930">
      <w:start w:val="1"/>
      <w:numFmt w:val="bullet"/>
      <w:lvlText w:val=""/>
      <w:lvlJc w:val="left"/>
      <w:pPr>
        <w:ind w:left="720" w:hanging="360"/>
      </w:pPr>
      <w:rPr>
        <w:rFonts w:ascii="Wingdings" w:hAnsi="Wingdings"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D8F3AB1"/>
    <w:multiLevelType w:val="hybridMultilevel"/>
    <w:tmpl w:val="3538EC7E"/>
    <w:lvl w:ilvl="0" w:tplc="22C2B330">
      <w:start w:val="1"/>
      <w:numFmt w:val="bullet"/>
      <w:lvlText w:val=""/>
      <w:lvlJc w:val="left"/>
      <w:pPr>
        <w:ind w:left="720" w:hanging="360"/>
      </w:pPr>
      <w:rPr>
        <w:rFonts w:ascii="Wingdings" w:hAnsi="Wingdings"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73E1E1D"/>
    <w:multiLevelType w:val="hybridMultilevel"/>
    <w:tmpl w:val="EC121A8E"/>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5DCD5D3C"/>
    <w:multiLevelType w:val="hybridMultilevel"/>
    <w:tmpl w:val="18F836F4"/>
    <w:lvl w:ilvl="0" w:tplc="0809000D">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8" w15:restartNumberingAfterBreak="0">
    <w:nsid w:val="601A132D"/>
    <w:multiLevelType w:val="hybridMultilevel"/>
    <w:tmpl w:val="B75E3F7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A2168E"/>
    <w:multiLevelType w:val="hybridMultilevel"/>
    <w:tmpl w:val="E36C6246"/>
    <w:lvl w:ilvl="0" w:tplc="86BA14EA">
      <w:start w:val="1"/>
      <w:numFmt w:val="bullet"/>
      <w:lvlText w:val=""/>
      <w:lvlJc w:val="left"/>
      <w:pPr>
        <w:ind w:left="720" w:hanging="360"/>
      </w:pPr>
      <w:rPr>
        <w:rFonts w:ascii="Symbol" w:hAnsi="Symbol" w:hint="default"/>
        <w:color w:val="325083"/>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3"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5" w15:restartNumberingAfterBreak="0">
    <w:nsid w:val="75CF4F0D"/>
    <w:multiLevelType w:val="hybridMultilevel"/>
    <w:tmpl w:val="91A027F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79C7C1D"/>
    <w:multiLevelType w:val="hybridMultilevel"/>
    <w:tmpl w:val="80281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9"/>
  </w:num>
  <w:num w:numId="3">
    <w:abstractNumId w:val="37"/>
  </w:num>
  <w:num w:numId="4">
    <w:abstractNumId w:val="25"/>
  </w:num>
  <w:num w:numId="5">
    <w:abstractNumId w:val="2"/>
  </w:num>
  <w:num w:numId="6">
    <w:abstractNumId w:val="8"/>
  </w:num>
  <w:num w:numId="7">
    <w:abstractNumId w:val="7"/>
  </w:num>
  <w:num w:numId="8">
    <w:abstractNumId w:val="24"/>
  </w:num>
  <w:num w:numId="9">
    <w:abstractNumId w:val="29"/>
  </w:num>
  <w:num w:numId="10">
    <w:abstractNumId w:val="6"/>
  </w:num>
  <w:num w:numId="11">
    <w:abstractNumId w:val="31"/>
  </w:num>
  <w:num w:numId="12">
    <w:abstractNumId w:val="5"/>
  </w:num>
  <w:num w:numId="13">
    <w:abstractNumId w:val="12"/>
  </w:num>
  <w:num w:numId="14">
    <w:abstractNumId w:val="16"/>
  </w:num>
  <w:num w:numId="15">
    <w:abstractNumId w:val="4"/>
  </w:num>
  <w:num w:numId="16">
    <w:abstractNumId w:val="34"/>
  </w:num>
  <w:num w:numId="17">
    <w:abstractNumId w:val="28"/>
  </w:num>
  <w:num w:numId="18">
    <w:abstractNumId w:val="33"/>
  </w:num>
  <w:num w:numId="19">
    <w:abstractNumId w:val="32"/>
  </w:num>
  <w:num w:numId="20">
    <w:abstractNumId w:val="3"/>
  </w:num>
  <w:num w:numId="21">
    <w:abstractNumId w:val="11"/>
  </w:num>
  <w:num w:numId="22">
    <w:abstractNumId w:val="20"/>
  </w:num>
  <w:num w:numId="23">
    <w:abstractNumId w:val="21"/>
  </w:num>
  <w:num w:numId="24">
    <w:abstractNumId w:val="1"/>
  </w:num>
  <w:num w:numId="25">
    <w:abstractNumId w:val="0"/>
  </w:num>
  <w:num w:numId="26">
    <w:abstractNumId w:val="19"/>
  </w:num>
  <w:num w:numId="27">
    <w:abstractNumId w:val="10"/>
  </w:num>
  <w:num w:numId="28">
    <w:abstractNumId w:val="26"/>
  </w:num>
  <w:num w:numId="29">
    <w:abstractNumId w:val="22"/>
  </w:num>
  <w:num w:numId="30">
    <w:abstractNumId w:val="23"/>
  </w:num>
  <w:num w:numId="31">
    <w:abstractNumId w:val="14"/>
  </w:num>
  <w:num w:numId="32">
    <w:abstractNumId w:val="27"/>
  </w:num>
  <w:num w:numId="33">
    <w:abstractNumId w:val="30"/>
  </w:num>
  <w:num w:numId="34">
    <w:abstractNumId w:val="35"/>
  </w:num>
  <w:num w:numId="35">
    <w:abstractNumId w:val="36"/>
  </w:num>
  <w:num w:numId="36">
    <w:abstractNumId w:val="17"/>
  </w:num>
  <w:num w:numId="37">
    <w:abstractNumId w:val="18"/>
  </w:num>
  <w:num w:numId="3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documentProtection w:edit="forms" w:enforcement="0"/>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088"/>
    <w:rsid w:val="000037FD"/>
    <w:rsid w:val="0000459C"/>
    <w:rsid w:val="0000561A"/>
    <w:rsid w:val="000063FA"/>
    <w:rsid w:val="000112E7"/>
    <w:rsid w:val="00014923"/>
    <w:rsid w:val="00023345"/>
    <w:rsid w:val="000339B7"/>
    <w:rsid w:val="00040013"/>
    <w:rsid w:val="00040E86"/>
    <w:rsid w:val="00043271"/>
    <w:rsid w:val="00051029"/>
    <w:rsid w:val="00051CDC"/>
    <w:rsid w:val="00051E3F"/>
    <w:rsid w:val="00051E74"/>
    <w:rsid w:val="000544C4"/>
    <w:rsid w:val="0005502D"/>
    <w:rsid w:val="0005786D"/>
    <w:rsid w:val="00057CFB"/>
    <w:rsid w:val="000655D1"/>
    <w:rsid w:val="00070C25"/>
    <w:rsid w:val="0007126C"/>
    <w:rsid w:val="0007172D"/>
    <w:rsid w:val="00076FA1"/>
    <w:rsid w:val="0008018E"/>
    <w:rsid w:val="00080C3A"/>
    <w:rsid w:val="00084D5E"/>
    <w:rsid w:val="00094C94"/>
    <w:rsid w:val="00097ACD"/>
    <w:rsid w:val="000A1C5A"/>
    <w:rsid w:val="000A378F"/>
    <w:rsid w:val="000B306B"/>
    <w:rsid w:val="000B570A"/>
    <w:rsid w:val="000C1EAD"/>
    <w:rsid w:val="000D75F9"/>
    <w:rsid w:val="000E2317"/>
    <w:rsid w:val="000E7CB9"/>
    <w:rsid w:val="000F46F4"/>
    <w:rsid w:val="000F5A72"/>
    <w:rsid w:val="00101606"/>
    <w:rsid w:val="001107EE"/>
    <w:rsid w:val="00121679"/>
    <w:rsid w:val="00123B05"/>
    <w:rsid w:val="00123FD2"/>
    <w:rsid w:val="001262E9"/>
    <w:rsid w:val="00126327"/>
    <w:rsid w:val="001272F6"/>
    <w:rsid w:val="0013075E"/>
    <w:rsid w:val="00133373"/>
    <w:rsid w:val="001371A0"/>
    <w:rsid w:val="001411B2"/>
    <w:rsid w:val="00141FC5"/>
    <w:rsid w:val="00143DE9"/>
    <w:rsid w:val="00146ECB"/>
    <w:rsid w:val="00147651"/>
    <w:rsid w:val="001508EE"/>
    <w:rsid w:val="00172DE7"/>
    <w:rsid w:val="0017393E"/>
    <w:rsid w:val="00180C9F"/>
    <w:rsid w:val="00183EB5"/>
    <w:rsid w:val="00193655"/>
    <w:rsid w:val="00197134"/>
    <w:rsid w:val="001A7D56"/>
    <w:rsid w:val="001B2A97"/>
    <w:rsid w:val="001B3428"/>
    <w:rsid w:val="001B681D"/>
    <w:rsid w:val="001C02C6"/>
    <w:rsid w:val="001C305C"/>
    <w:rsid w:val="001C4319"/>
    <w:rsid w:val="001C60B5"/>
    <w:rsid w:val="001C655B"/>
    <w:rsid w:val="001D4447"/>
    <w:rsid w:val="001E1DAF"/>
    <w:rsid w:val="001E5B78"/>
    <w:rsid w:val="001F0B0B"/>
    <w:rsid w:val="001F6CF6"/>
    <w:rsid w:val="00202AB8"/>
    <w:rsid w:val="00211B9D"/>
    <w:rsid w:val="00214255"/>
    <w:rsid w:val="00214BA4"/>
    <w:rsid w:val="002217CA"/>
    <w:rsid w:val="002229FD"/>
    <w:rsid w:val="00222D17"/>
    <w:rsid w:val="002237AC"/>
    <w:rsid w:val="00223D56"/>
    <w:rsid w:val="002256E6"/>
    <w:rsid w:val="0022713F"/>
    <w:rsid w:val="00227825"/>
    <w:rsid w:val="00230E7C"/>
    <w:rsid w:val="00232307"/>
    <w:rsid w:val="00232DCF"/>
    <w:rsid w:val="00234FAE"/>
    <w:rsid w:val="00242D96"/>
    <w:rsid w:val="00246060"/>
    <w:rsid w:val="00250088"/>
    <w:rsid w:val="00252B85"/>
    <w:rsid w:val="00253025"/>
    <w:rsid w:val="00255796"/>
    <w:rsid w:val="00257CD2"/>
    <w:rsid w:val="00260B99"/>
    <w:rsid w:val="00273D26"/>
    <w:rsid w:val="0028144C"/>
    <w:rsid w:val="00285134"/>
    <w:rsid w:val="00294083"/>
    <w:rsid w:val="002A77FF"/>
    <w:rsid w:val="002B0BC9"/>
    <w:rsid w:val="002B449D"/>
    <w:rsid w:val="002B712E"/>
    <w:rsid w:val="002B78D0"/>
    <w:rsid w:val="002C0A83"/>
    <w:rsid w:val="002C170B"/>
    <w:rsid w:val="002C4378"/>
    <w:rsid w:val="002D11B1"/>
    <w:rsid w:val="002D6CC0"/>
    <w:rsid w:val="002D7350"/>
    <w:rsid w:val="002E6258"/>
    <w:rsid w:val="002E696B"/>
    <w:rsid w:val="002F6108"/>
    <w:rsid w:val="003018F5"/>
    <w:rsid w:val="003036C4"/>
    <w:rsid w:val="003045C6"/>
    <w:rsid w:val="00304FD0"/>
    <w:rsid w:val="00305721"/>
    <w:rsid w:val="00307286"/>
    <w:rsid w:val="0030790C"/>
    <w:rsid w:val="00307A2D"/>
    <w:rsid w:val="00307D74"/>
    <w:rsid w:val="003118E2"/>
    <w:rsid w:val="00321371"/>
    <w:rsid w:val="00322D2E"/>
    <w:rsid w:val="00326DEC"/>
    <w:rsid w:val="00326EC6"/>
    <w:rsid w:val="0032735F"/>
    <w:rsid w:val="00330875"/>
    <w:rsid w:val="00337864"/>
    <w:rsid w:val="00341AE4"/>
    <w:rsid w:val="0034592F"/>
    <w:rsid w:val="00345CAF"/>
    <w:rsid w:val="003461AF"/>
    <w:rsid w:val="00362080"/>
    <w:rsid w:val="0036741F"/>
    <w:rsid w:val="0037038E"/>
    <w:rsid w:val="003713CE"/>
    <w:rsid w:val="00371966"/>
    <w:rsid w:val="00381A16"/>
    <w:rsid w:val="003971E2"/>
    <w:rsid w:val="003A3414"/>
    <w:rsid w:val="003A660A"/>
    <w:rsid w:val="003B3AFD"/>
    <w:rsid w:val="003B40BB"/>
    <w:rsid w:val="003B4A68"/>
    <w:rsid w:val="003B54D6"/>
    <w:rsid w:val="003B6001"/>
    <w:rsid w:val="003B7361"/>
    <w:rsid w:val="003B7838"/>
    <w:rsid w:val="003B7B09"/>
    <w:rsid w:val="003C2609"/>
    <w:rsid w:val="003C3299"/>
    <w:rsid w:val="003C378A"/>
    <w:rsid w:val="003C6952"/>
    <w:rsid w:val="003D450D"/>
    <w:rsid w:val="003D5F1F"/>
    <w:rsid w:val="003D6292"/>
    <w:rsid w:val="003E2FDB"/>
    <w:rsid w:val="003E4D13"/>
    <w:rsid w:val="003E7657"/>
    <w:rsid w:val="003F1640"/>
    <w:rsid w:val="003F16D7"/>
    <w:rsid w:val="003F3D59"/>
    <w:rsid w:val="003F3E7F"/>
    <w:rsid w:val="003F65C2"/>
    <w:rsid w:val="003F6756"/>
    <w:rsid w:val="0040037A"/>
    <w:rsid w:val="00404E4B"/>
    <w:rsid w:val="00407604"/>
    <w:rsid w:val="00426294"/>
    <w:rsid w:val="00427779"/>
    <w:rsid w:val="0043484C"/>
    <w:rsid w:val="004375CA"/>
    <w:rsid w:val="004427AC"/>
    <w:rsid w:val="0044331B"/>
    <w:rsid w:val="00445CE0"/>
    <w:rsid w:val="00446143"/>
    <w:rsid w:val="00450304"/>
    <w:rsid w:val="0046169C"/>
    <w:rsid w:val="00467213"/>
    <w:rsid w:val="00471382"/>
    <w:rsid w:val="0047681B"/>
    <w:rsid w:val="00477C48"/>
    <w:rsid w:val="00480353"/>
    <w:rsid w:val="004939C2"/>
    <w:rsid w:val="00497124"/>
    <w:rsid w:val="00497F39"/>
    <w:rsid w:val="004A17A6"/>
    <w:rsid w:val="004A2B11"/>
    <w:rsid w:val="004A3722"/>
    <w:rsid w:val="004A393E"/>
    <w:rsid w:val="004A4626"/>
    <w:rsid w:val="004A490A"/>
    <w:rsid w:val="004A4C93"/>
    <w:rsid w:val="004A6253"/>
    <w:rsid w:val="004B31A5"/>
    <w:rsid w:val="004B3E6A"/>
    <w:rsid w:val="004B6693"/>
    <w:rsid w:val="004C7888"/>
    <w:rsid w:val="004D3BBC"/>
    <w:rsid w:val="004D632B"/>
    <w:rsid w:val="004E19D3"/>
    <w:rsid w:val="004E4876"/>
    <w:rsid w:val="004E5E62"/>
    <w:rsid w:val="004F24A1"/>
    <w:rsid w:val="004F63F6"/>
    <w:rsid w:val="004F7570"/>
    <w:rsid w:val="00504A87"/>
    <w:rsid w:val="00505697"/>
    <w:rsid w:val="00506013"/>
    <w:rsid w:val="00506701"/>
    <w:rsid w:val="00506C55"/>
    <w:rsid w:val="005224CE"/>
    <w:rsid w:val="0052328C"/>
    <w:rsid w:val="00527234"/>
    <w:rsid w:val="00536FA4"/>
    <w:rsid w:val="0054077C"/>
    <w:rsid w:val="00541B08"/>
    <w:rsid w:val="0054418A"/>
    <w:rsid w:val="00544C9E"/>
    <w:rsid w:val="00544DA8"/>
    <w:rsid w:val="00554429"/>
    <w:rsid w:val="0055720E"/>
    <w:rsid w:val="00560356"/>
    <w:rsid w:val="00564789"/>
    <w:rsid w:val="00572395"/>
    <w:rsid w:val="005753E5"/>
    <w:rsid w:val="005767ED"/>
    <w:rsid w:val="00577744"/>
    <w:rsid w:val="00581587"/>
    <w:rsid w:val="005847F1"/>
    <w:rsid w:val="005877E5"/>
    <w:rsid w:val="00590736"/>
    <w:rsid w:val="005926BC"/>
    <w:rsid w:val="005957FF"/>
    <w:rsid w:val="005A3A4A"/>
    <w:rsid w:val="005B4E75"/>
    <w:rsid w:val="005C1708"/>
    <w:rsid w:val="005C6866"/>
    <w:rsid w:val="005C7D40"/>
    <w:rsid w:val="005D0C96"/>
    <w:rsid w:val="005D33CF"/>
    <w:rsid w:val="005D3C87"/>
    <w:rsid w:val="005D5FC4"/>
    <w:rsid w:val="005E29CF"/>
    <w:rsid w:val="005E33CB"/>
    <w:rsid w:val="005E3EE3"/>
    <w:rsid w:val="005F37C7"/>
    <w:rsid w:val="00601558"/>
    <w:rsid w:val="006063F6"/>
    <w:rsid w:val="00607476"/>
    <w:rsid w:val="00611283"/>
    <w:rsid w:val="00611958"/>
    <w:rsid w:val="00620767"/>
    <w:rsid w:val="00621226"/>
    <w:rsid w:val="006253D3"/>
    <w:rsid w:val="006310BB"/>
    <w:rsid w:val="0063604D"/>
    <w:rsid w:val="00637A18"/>
    <w:rsid w:val="006458A3"/>
    <w:rsid w:val="00656705"/>
    <w:rsid w:val="00657B25"/>
    <w:rsid w:val="00660772"/>
    <w:rsid w:val="00660B4F"/>
    <w:rsid w:val="0066317E"/>
    <w:rsid w:val="00671A05"/>
    <w:rsid w:val="00672175"/>
    <w:rsid w:val="00672560"/>
    <w:rsid w:val="00674ADC"/>
    <w:rsid w:val="00680248"/>
    <w:rsid w:val="00680CAE"/>
    <w:rsid w:val="0068275A"/>
    <w:rsid w:val="00682A68"/>
    <w:rsid w:val="0068334E"/>
    <w:rsid w:val="00687BF8"/>
    <w:rsid w:val="0069134E"/>
    <w:rsid w:val="0069535A"/>
    <w:rsid w:val="006A4720"/>
    <w:rsid w:val="006B342E"/>
    <w:rsid w:val="006B4EF7"/>
    <w:rsid w:val="006B709C"/>
    <w:rsid w:val="006C4A51"/>
    <w:rsid w:val="006C4E0D"/>
    <w:rsid w:val="006D0542"/>
    <w:rsid w:val="006D3D83"/>
    <w:rsid w:val="006D5819"/>
    <w:rsid w:val="006E7EA5"/>
    <w:rsid w:val="006F43EE"/>
    <w:rsid w:val="006F4A35"/>
    <w:rsid w:val="006F654D"/>
    <w:rsid w:val="006F68A9"/>
    <w:rsid w:val="007067F5"/>
    <w:rsid w:val="007167DF"/>
    <w:rsid w:val="00720DB9"/>
    <w:rsid w:val="00721111"/>
    <w:rsid w:val="007244CF"/>
    <w:rsid w:val="00725156"/>
    <w:rsid w:val="007258A0"/>
    <w:rsid w:val="00727374"/>
    <w:rsid w:val="00733287"/>
    <w:rsid w:val="00733525"/>
    <w:rsid w:val="0073567B"/>
    <w:rsid w:val="00737008"/>
    <w:rsid w:val="007370DF"/>
    <w:rsid w:val="0074290A"/>
    <w:rsid w:val="0074329E"/>
    <w:rsid w:val="00743E5C"/>
    <w:rsid w:val="00745C62"/>
    <w:rsid w:val="00750622"/>
    <w:rsid w:val="00752386"/>
    <w:rsid w:val="00754449"/>
    <w:rsid w:val="00754B6C"/>
    <w:rsid w:val="007623DA"/>
    <w:rsid w:val="00763837"/>
    <w:rsid w:val="00764971"/>
    <w:rsid w:val="00764FF2"/>
    <w:rsid w:val="00767CFE"/>
    <w:rsid w:val="00775389"/>
    <w:rsid w:val="00776541"/>
    <w:rsid w:val="007774C7"/>
    <w:rsid w:val="00784CAB"/>
    <w:rsid w:val="007874FF"/>
    <w:rsid w:val="00791323"/>
    <w:rsid w:val="007948D8"/>
    <w:rsid w:val="00795DA5"/>
    <w:rsid w:val="007A47F5"/>
    <w:rsid w:val="007AEB46"/>
    <w:rsid w:val="007B1A5D"/>
    <w:rsid w:val="007B7905"/>
    <w:rsid w:val="007C3A37"/>
    <w:rsid w:val="007D01C9"/>
    <w:rsid w:val="007D03B8"/>
    <w:rsid w:val="007D04C7"/>
    <w:rsid w:val="007D09B9"/>
    <w:rsid w:val="007D6E6A"/>
    <w:rsid w:val="007D73E4"/>
    <w:rsid w:val="007D79E4"/>
    <w:rsid w:val="007E45DA"/>
    <w:rsid w:val="007E7FD9"/>
    <w:rsid w:val="007F2F30"/>
    <w:rsid w:val="007F7EA7"/>
    <w:rsid w:val="00800F97"/>
    <w:rsid w:val="008036D5"/>
    <w:rsid w:val="0080530D"/>
    <w:rsid w:val="00805F62"/>
    <w:rsid w:val="00805FAF"/>
    <w:rsid w:val="008079F7"/>
    <w:rsid w:val="00824D05"/>
    <w:rsid w:val="008252F5"/>
    <w:rsid w:val="0085049B"/>
    <w:rsid w:val="00850A2E"/>
    <w:rsid w:val="008524C0"/>
    <w:rsid w:val="00852F76"/>
    <w:rsid w:val="00857182"/>
    <w:rsid w:val="00864CB3"/>
    <w:rsid w:val="008653E0"/>
    <w:rsid w:val="00872DD5"/>
    <w:rsid w:val="0087331D"/>
    <w:rsid w:val="00880111"/>
    <w:rsid w:val="008902AA"/>
    <w:rsid w:val="00890A9D"/>
    <w:rsid w:val="0089198A"/>
    <w:rsid w:val="00891EB6"/>
    <w:rsid w:val="00893440"/>
    <w:rsid w:val="00893619"/>
    <w:rsid w:val="008A2D5F"/>
    <w:rsid w:val="008A3C59"/>
    <w:rsid w:val="008B2513"/>
    <w:rsid w:val="008B7CD4"/>
    <w:rsid w:val="008C12E0"/>
    <w:rsid w:val="008C745A"/>
    <w:rsid w:val="008D2C82"/>
    <w:rsid w:val="008D4CCD"/>
    <w:rsid w:val="008D68E9"/>
    <w:rsid w:val="008D7E49"/>
    <w:rsid w:val="008F1F7E"/>
    <w:rsid w:val="00902B94"/>
    <w:rsid w:val="0090720B"/>
    <w:rsid w:val="00911572"/>
    <w:rsid w:val="00912C7B"/>
    <w:rsid w:val="00916053"/>
    <w:rsid w:val="0092090B"/>
    <w:rsid w:val="009209F1"/>
    <w:rsid w:val="00921F72"/>
    <w:rsid w:val="00923337"/>
    <w:rsid w:val="009233B4"/>
    <w:rsid w:val="00923A14"/>
    <w:rsid w:val="0093081E"/>
    <w:rsid w:val="009318D8"/>
    <w:rsid w:val="009328E2"/>
    <w:rsid w:val="00934B18"/>
    <w:rsid w:val="009362B3"/>
    <w:rsid w:val="009366B8"/>
    <w:rsid w:val="00942648"/>
    <w:rsid w:val="009536DB"/>
    <w:rsid w:val="00954501"/>
    <w:rsid w:val="0095478D"/>
    <w:rsid w:val="00957A5A"/>
    <w:rsid w:val="00960BA7"/>
    <w:rsid w:val="00961985"/>
    <w:rsid w:val="00961E2C"/>
    <w:rsid w:val="00974774"/>
    <w:rsid w:val="00977DFC"/>
    <w:rsid w:val="00980587"/>
    <w:rsid w:val="00980F99"/>
    <w:rsid w:val="0098365C"/>
    <w:rsid w:val="0098440F"/>
    <w:rsid w:val="009878C1"/>
    <w:rsid w:val="00987E54"/>
    <w:rsid w:val="00993960"/>
    <w:rsid w:val="009950E0"/>
    <w:rsid w:val="00997A6B"/>
    <w:rsid w:val="009A11F2"/>
    <w:rsid w:val="009A24C3"/>
    <w:rsid w:val="009B2519"/>
    <w:rsid w:val="009B5A0E"/>
    <w:rsid w:val="009C0B0C"/>
    <w:rsid w:val="009C14C2"/>
    <w:rsid w:val="009C590C"/>
    <w:rsid w:val="009D0AD9"/>
    <w:rsid w:val="009D376A"/>
    <w:rsid w:val="009DEBCF"/>
    <w:rsid w:val="009E60D0"/>
    <w:rsid w:val="009F1B7D"/>
    <w:rsid w:val="009F7F6B"/>
    <w:rsid w:val="00A01D97"/>
    <w:rsid w:val="00A02DA4"/>
    <w:rsid w:val="00A06B87"/>
    <w:rsid w:val="00A10605"/>
    <w:rsid w:val="00A123F0"/>
    <w:rsid w:val="00A1272E"/>
    <w:rsid w:val="00A12A56"/>
    <w:rsid w:val="00A1475F"/>
    <w:rsid w:val="00A20086"/>
    <w:rsid w:val="00A250EA"/>
    <w:rsid w:val="00A25B36"/>
    <w:rsid w:val="00A279F5"/>
    <w:rsid w:val="00A3014A"/>
    <w:rsid w:val="00A34009"/>
    <w:rsid w:val="00A34B95"/>
    <w:rsid w:val="00A432AD"/>
    <w:rsid w:val="00A435F1"/>
    <w:rsid w:val="00A43EEC"/>
    <w:rsid w:val="00A5635C"/>
    <w:rsid w:val="00A56D26"/>
    <w:rsid w:val="00A60C7E"/>
    <w:rsid w:val="00A60D6C"/>
    <w:rsid w:val="00A62745"/>
    <w:rsid w:val="00A70FFD"/>
    <w:rsid w:val="00A721E0"/>
    <w:rsid w:val="00A721FF"/>
    <w:rsid w:val="00A945DC"/>
    <w:rsid w:val="00AA0128"/>
    <w:rsid w:val="00AA293F"/>
    <w:rsid w:val="00AA4169"/>
    <w:rsid w:val="00AA5EA7"/>
    <w:rsid w:val="00AB112A"/>
    <w:rsid w:val="00AB4117"/>
    <w:rsid w:val="00AB4ABA"/>
    <w:rsid w:val="00AC45EB"/>
    <w:rsid w:val="00AC5841"/>
    <w:rsid w:val="00AD2504"/>
    <w:rsid w:val="00AD4511"/>
    <w:rsid w:val="00AD6C0A"/>
    <w:rsid w:val="00AD7227"/>
    <w:rsid w:val="00AE2E63"/>
    <w:rsid w:val="00AE3D01"/>
    <w:rsid w:val="00AF3146"/>
    <w:rsid w:val="00B00419"/>
    <w:rsid w:val="00B0183F"/>
    <w:rsid w:val="00B04B77"/>
    <w:rsid w:val="00B070C2"/>
    <w:rsid w:val="00B3532E"/>
    <w:rsid w:val="00B47936"/>
    <w:rsid w:val="00B509E3"/>
    <w:rsid w:val="00B52B29"/>
    <w:rsid w:val="00B60839"/>
    <w:rsid w:val="00B65BF5"/>
    <w:rsid w:val="00B75B09"/>
    <w:rsid w:val="00B80218"/>
    <w:rsid w:val="00B81505"/>
    <w:rsid w:val="00B820D1"/>
    <w:rsid w:val="00B86BA7"/>
    <w:rsid w:val="00B93265"/>
    <w:rsid w:val="00B933EC"/>
    <w:rsid w:val="00B936DE"/>
    <w:rsid w:val="00B94BB0"/>
    <w:rsid w:val="00BA3E2A"/>
    <w:rsid w:val="00BA5418"/>
    <w:rsid w:val="00BA5529"/>
    <w:rsid w:val="00BB0A8D"/>
    <w:rsid w:val="00BB20FF"/>
    <w:rsid w:val="00BB6AD3"/>
    <w:rsid w:val="00BB70EC"/>
    <w:rsid w:val="00BC0548"/>
    <w:rsid w:val="00BC39AE"/>
    <w:rsid w:val="00BC4341"/>
    <w:rsid w:val="00BC5B9C"/>
    <w:rsid w:val="00BC749B"/>
    <w:rsid w:val="00BD15FB"/>
    <w:rsid w:val="00BD1ECB"/>
    <w:rsid w:val="00BE6FDA"/>
    <w:rsid w:val="00BF3E39"/>
    <w:rsid w:val="00C00A3A"/>
    <w:rsid w:val="00C02E5C"/>
    <w:rsid w:val="00C031A5"/>
    <w:rsid w:val="00C05D9F"/>
    <w:rsid w:val="00C06247"/>
    <w:rsid w:val="00C063EE"/>
    <w:rsid w:val="00C07275"/>
    <w:rsid w:val="00C07301"/>
    <w:rsid w:val="00C13415"/>
    <w:rsid w:val="00C1444B"/>
    <w:rsid w:val="00C17DDB"/>
    <w:rsid w:val="00C21BD2"/>
    <w:rsid w:val="00C24F24"/>
    <w:rsid w:val="00C27083"/>
    <w:rsid w:val="00C36E5C"/>
    <w:rsid w:val="00C378AA"/>
    <w:rsid w:val="00C4025C"/>
    <w:rsid w:val="00C4472F"/>
    <w:rsid w:val="00C4588C"/>
    <w:rsid w:val="00C45AE8"/>
    <w:rsid w:val="00C65815"/>
    <w:rsid w:val="00C67E44"/>
    <w:rsid w:val="00C83E70"/>
    <w:rsid w:val="00C83EB1"/>
    <w:rsid w:val="00C83F32"/>
    <w:rsid w:val="00C84EE5"/>
    <w:rsid w:val="00C8573F"/>
    <w:rsid w:val="00C8600E"/>
    <w:rsid w:val="00C87F23"/>
    <w:rsid w:val="00C90C56"/>
    <w:rsid w:val="00C9163D"/>
    <w:rsid w:val="00C91E1D"/>
    <w:rsid w:val="00C91FEB"/>
    <w:rsid w:val="00C95DFA"/>
    <w:rsid w:val="00CA08B6"/>
    <w:rsid w:val="00CA1D6F"/>
    <w:rsid w:val="00CA4D3A"/>
    <w:rsid w:val="00CA4DA9"/>
    <w:rsid w:val="00CA5841"/>
    <w:rsid w:val="00CA7E0D"/>
    <w:rsid w:val="00CA7FE5"/>
    <w:rsid w:val="00CB0E6B"/>
    <w:rsid w:val="00CB3B68"/>
    <w:rsid w:val="00CC56D1"/>
    <w:rsid w:val="00CC6751"/>
    <w:rsid w:val="00CC6B64"/>
    <w:rsid w:val="00CC764D"/>
    <w:rsid w:val="00CD7131"/>
    <w:rsid w:val="00CE5314"/>
    <w:rsid w:val="00CE6807"/>
    <w:rsid w:val="00CE6EB8"/>
    <w:rsid w:val="00CF7674"/>
    <w:rsid w:val="00D11A9F"/>
    <w:rsid w:val="00D12C72"/>
    <w:rsid w:val="00D16A87"/>
    <w:rsid w:val="00D25D84"/>
    <w:rsid w:val="00D26E48"/>
    <w:rsid w:val="00D3299B"/>
    <w:rsid w:val="00D34F08"/>
    <w:rsid w:val="00D41503"/>
    <w:rsid w:val="00D45A01"/>
    <w:rsid w:val="00D46903"/>
    <w:rsid w:val="00D47E5C"/>
    <w:rsid w:val="00D542EA"/>
    <w:rsid w:val="00D55785"/>
    <w:rsid w:val="00D60F40"/>
    <w:rsid w:val="00D63872"/>
    <w:rsid w:val="00D64BA8"/>
    <w:rsid w:val="00D713DC"/>
    <w:rsid w:val="00D74461"/>
    <w:rsid w:val="00D76EA5"/>
    <w:rsid w:val="00D7732B"/>
    <w:rsid w:val="00D808CC"/>
    <w:rsid w:val="00D87080"/>
    <w:rsid w:val="00D91E26"/>
    <w:rsid w:val="00D94E39"/>
    <w:rsid w:val="00DA2383"/>
    <w:rsid w:val="00DA3958"/>
    <w:rsid w:val="00DB56D2"/>
    <w:rsid w:val="00DC3851"/>
    <w:rsid w:val="00DC3F01"/>
    <w:rsid w:val="00DC594E"/>
    <w:rsid w:val="00DC6A17"/>
    <w:rsid w:val="00DD0391"/>
    <w:rsid w:val="00DD32F7"/>
    <w:rsid w:val="00DD7161"/>
    <w:rsid w:val="00DE136C"/>
    <w:rsid w:val="00DE2218"/>
    <w:rsid w:val="00DE5ED3"/>
    <w:rsid w:val="00DE6B41"/>
    <w:rsid w:val="00DE7DF5"/>
    <w:rsid w:val="00DF2E92"/>
    <w:rsid w:val="00DF46AF"/>
    <w:rsid w:val="00DF52A1"/>
    <w:rsid w:val="00DF5C33"/>
    <w:rsid w:val="00DF60B6"/>
    <w:rsid w:val="00E01426"/>
    <w:rsid w:val="00E02A10"/>
    <w:rsid w:val="00E05EA9"/>
    <w:rsid w:val="00E07C81"/>
    <w:rsid w:val="00E07F66"/>
    <w:rsid w:val="00E10839"/>
    <w:rsid w:val="00E11F44"/>
    <w:rsid w:val="00E24001"/>
    <w:rsid w:val="00E2544C"/>
    <w:rsid w:val="00E263D4"/>
    <w:rsid w:val="00E27EE7"/>
    <w:rsid w:val="00E333F3"/>
    <w:rsid w:val="00E343B1"/>
    <w:rsid w:val="00E371EA"/>
    <w:rsid w:val="00E37B54"/>
    <w:rsid w:val="00E417B9"/>
    <w:rsid w:val="00E56DBB"/>
    <w:rsid w:val="00E60B52"/>
    <w:rsid w:val="00E60E28"/>
    <w:rsid w:val="00E708FB"/>
    <w:rsid w:val="00E71728"/>
    <w:rsid w:val="00E73354"/>
    <w:rsid w:val="00E805CD"/>
    <w:rsid w:val="00E8649D"/>
    <w:rsid w:val="00E92C5D"/>
    <w:rsid w:val="00E95775"/>
    <w:rsid w:val="00E965E0"/>
    <w:rsid w:val="00EA23FA"/>
    <w:rsid w:val="00EA4379"/>
    <w:rsid w:val="00EA4CB8"/>
    <w:rsid w:val="00EA6767"/>
    <w:rsid w:val="00EB0841"/>
    <w:rsid w:val="00EB0902"/>
    <w:rsid w:val="00EB2CC2"/>
    <w:rsid w:val="00EB4DB1"/>
    <w:rsid w:val="00EB7245"/>
    <w:rsid w:val="00EC6188"/>
    <w:rsid w:val="00EE0BF7"/>
    <w:rsid w:val="00EE104C"/>
    <w:rsid w:val="00EE1810"/>
    <w:rsid w:val="00EE7097"/>
    <w:rsid w:val="00EE7DF4"/>
    <w:rsid w:val="00EF19FE"/>
    <w:rsid w:val="00EF21AB"/>
    <w:rsid w:val="00EF229F"/>
    <w:rsid w:val="00EF2E35"/>
    <w:rsid w:val="00F037CD"/>
    <w:rsid w:val="00F04CFB"/>
    <w:rsid w:val="00F1170F"/>
    <w:rsid w:val="00F16D6F"/>
    <w:rsid w:val="00F2345E"/>
    <w:rsid w:val="00F2582A"/>
    <w:rsid w:val="00F269A0"/>
    <w:rsid w:val="00F31C10"/>
    <w:rsid w:val="00F34E5B"/>
    <w:rsid w:val="00F37AA9"/>
    <w:rsid w:val="00F4679A"/>
    <w:rsid w:val="00F47896"/>
    <w:rsid w:val="00F479A1"/>
    <w:rsid w:val="00F605BE"/>
    <w:rsid w:val="00F63455"/>
    <w:rsid w:val="00F65CC2"/>
    <w:rsid w:val="00F708F7"/>
    <w:rsid w:val="00F7ABC9"/>
    <w:rsid w:val="00F829DB"/>
    <w:rsid w:val="00F8780E"/>
    <w:rsid w:val="00F95B15"/>
    <w:rsid w:val="00FA3742"/>
    <w:rsid w:val="00FA62CB"/>
    <w:rsid w:val="00FA7943"/>
    <w:rsid w:val="00FB67EB"/>
    <w:rsid w:val="00FB7591"/>
    <w:rsid w:val="00FC0F3C"/>
    <w:rsid w:val="00FC2859"/>
    <w:rsid w:val="00FC7FAE"/>
    <w:rsid w:val="00FD1D43"/>
    <w:rsid w:val="00FD5FFE"/>
    <w:rsid w:val="00FE56B8"/>
    <w:rsid w:val="00FE5DB7"/>
    <w:rsid w:val="00FE78AD"/>
    <w:rsid w:val="00FE7973"/>
    <w:rsid w:val="00FF1936"/>
    <w:rsid w:val="00FF256C"/>
    <w:rsid w:val="00FF6FEF"/>
    <w:rsid w:val="0108BC00"/>
    <w:rsid w:val="03001092"/>
    <w:rsid w:val="032A0774"/>
    <w:rsid w:val="03981578"/>
    <w:rsid w:val="04AD79D0"/>
    <w:rsid w:val="053ED8D8"/>
    <w:rsid w:val="0546F784"/>
    <w:rsid w:val="057C197D"/>
    <w:rsid w:val="0660F08F"/>
    <w:rsid w:val="06CBBFED"/>
    <w:rsid w:val="0866DF36"/>
    <w:rsid w:val="0976B19B"/>
    <w:rsid w:val="0A4C338C"/>
    <w:rsid w:val="0B28EB00"/>
    <w:rsid w:val="0B483F35"/>
    <w:rsid w:val="0BF7F364"/>
    <w:rsid w:val="0C27E10E"/>
    <w:rsid w:val="0C2A8CD7"/>
    <w:rsid w:val="0C4D57B3"/>
    <w:rsid w:val="0CFA33A0"/>
    <w:rsid w:val="0D7334F4"/>
    <w:rsid w:val="0D8343D7"/>
    <w:rsid w:val="0DD3AC12"/>
    <w:rsid w:val="0E3E5FAD"/>
    <w:rsid w:val="0E6E9B31"/>
    <w:rsid w:val="0F974FF1"/>
    <w:rsid w:val="108983A7"/>
    <w:rsid w:val="108A96C0"/>
    <w:rsid w:val="115DE2DC"/>
    <w:rsid w:val="11667AFE"/>
    <w:rsid w:val="1186F42D"/>
    <w:rsid w:val="11AD587D"/>
    <w:rsid w:val="13CEE234"/>
    <w:rsid w:val="14E3E925"/>
    <w:rsid w:val="152C39E1"/>
    <w:rsid w:val="15688B13"/>
    <w:rsid w:val="164897A8"/>
    <w:rsid w:val="16DA8FF4"/>
    <w:rsid w:val="1780282B"/>
    <w:rsid w:val="1823ECE7"/>
    <w:rsid w:val="18A073C4"/>
    <w:rsid w:val="1905ABEC"/>
    <w:rsid w:val="1907D9C3"/>
    <w:rsid w:val="19E177C4"/>
    <w:rsid w:val="1B3C1C3F"/>
    <w:rsid w:val="1BE2744F"/>
    <w:rsid w:val="1C29DD54"/>
    <w:rsid w:val="1C5C6149"/>
    <w:rsid w:val="1D0A7AD2"/>
    <w:rsid w:val="1DA2BC7F"/>
    <w:rsid w:val="1EF66E7B"/>
    <w:rsid w:val="1F438F34"/>
    <w:rsid w:val="2094CB34"/>
    <w:rsid w:val="21226F11"/>
    <w:rsid w:val="22092321"/>
    <w:rsid w:val="223FBCC2"/>
    <w:rsid w:val="226721A9"/>
    <w:rsid w:val="2300CEEA"/>
    <w:rsid w:val="23A0CD7F"/>
    <w:rsid w:val="23A79E32"/>
    <w:rsid w:val="23CD1E9E"/>
    <w:rsid w:val="241BE04B"/>
    <w:rsid w:val="24E9F4E3"/>
    <w:rsid w:val="25409BCC"/>
    <w:rsid w:val="271392F8"/>
    <w:rsid w:val="271BF0DD"/>
    <w:rsid w:val="27713507"/>
    <w:rsid w:val="2789A043"/>
    <w:rsid w:val="27A0BF7A"/>
    <w:rsid w:val="27F12B82"/>
    <w:rsid w:val="27F587BD"/>
    <w:rsid w:val="28195A8E"/>
    <w:rsid w:val="28D7B6B4"/>
    <w:rsid w:val="29AD212B"/>
    <w:rsid w:val="2A588385"/>
    <w:rsid w:val="2A738715"/>
    <w:rsid w:val="2B4DEEDA"/>
    <w:rsid w:val="2D828D70"/>
    <w:rsid w:val="2F109AEC"/>
    <w:rsid w:val="2F272F45"/>
    <w:rsid w:val="3259FA98"/>
    <w:rsid w:val="3453BBD6"/>
    <w:rsid w:val="35718B7B"/>
    <w:rsid w:val="3593C538"/>
    <w:rsid w:val="36A3C7B7"/>
    <w:rsid w:val="371737BE"/>
    <w:rsid w:val="372520B2"/>
    <w:rsid w:val="38493B20"/>
    <w:rsid w:val="387EE760"/>
    <w:rsid w:val="3888546A"/>
    <w:rsid w:val="39630C7F"/>
    <w:rsid w:val="39C8E070"/>
    <w:rsid w:val="39DB0D76"/>
    <w:rsid w:val="3A858868"/>
    <w:rsid w:val="3B519734"/>
    <w:rsid w:val="3BA5D1CB"/>
    <w:rsid w:val="3C7A6D14"/>
    <w:rsid w:val="3CDF964C"/>
    <w:rsid w:val="3D26CD2F"/>
    <w:rsid w:val="3DEB9770"/>
    <w:rsid w:val="3E0C4DFB"/>
    <w:rsid w:val="3EC079CA"/>
    <w:rsid w:val="3F315610"/>
    <w:rsid w:val="3FA1DF7D"/>
    <w:rsid w:val="40245BAA"/>
    <w:rsid w:val="405932D8"/>
    <w:rsid w:val="4173E612"/>
    <w:rsid w:val="41B4CEE3"/>
    <w:rsid w:val="41CCB2B7"/>
    <w:rsid w:val="42061E06"/>
    <w:rsid w:val="43361892"/>
    <w:rsid w:val="43722620"/>
    <w:rsid w:val="44BE934C"/>
    <w:rsid w:val="44EDC4AB"/>
    <w:rsid w:val="45A45F7E"/>
    <w:rsid w:val="45E58F80"/>
    <w:rsid w:val="45FC624D"/>
    <w:rsid w:val="47AACDC3"/>
    <w:rsid w:val="47E5EF3F"/>
    <w:rsid w:val="481B22CC"/>
    <w:rsid w:val="48211E7B"/>
    <w:rsid w:val="48D77178"/>
    <w:rsid w:val="49515A06"/>
    <w:rsid w:val="49BCEEDC"/>
    <w:rsid w:val="4A11DD2E"/>
    <w:rsid w:val="4A3D68F9"/>
    <w:rsid w:val="4A49FD54"/>
    <w:rsid w:val="4B0D26F4"/>
    <w:rsid w:val="4B42B1EE"/>
    <w:rsid w:val="4B86C3C0"/>
    <w:rsid w:val="4BEB6466"/>
    <w:rsid w:val="505F8EFD"/>
    <w:rsid w:val="510939E3"/>
    <w:rsid w:val="514CB236"/>
    <w:rsid w:val="523C3501"/>
    <w:rsid w:val="52710882"/>
    <w:rsid w:val="52812BF0"/>
    <w:rsid w:val="534C7605"/>
    <w:rsid w:val="53636201"/>
    <w:rsid w:val="5370C1B1"/>
    <w:rsid w:val="53895129"/>
    <w:rsid w:val="5437A68B"/>
    <w:rsid w:val="5457E1A1"/>
    <w:rsid w:val="56654A07"/>
    <w:rsid w:val="56B63449"/>
    <w:rsid w:val="56C69B72"/>
    <w:rsid w:val="573D5757"/>
    <w:rsid w:val="5791C5D9"/>
    <w:rsid w:val="5801A978"/>
    <w:rsid w:val="58DF7B7E"/>
    <w:rsid w:val="591D1F9E"/>
    <w:rsid w:val="59C508CC"/>
    <w:rsid w:val="59EB6E5C"/>
    <w:rsid w:val="5A551116"/>
    <w:rsid w:val="5A5E555D"/>
    <w:rsid w:val="5A8503E3"/>
    <w:rsid w:val="5AA19BE5"/>
    <w:rsid w:val="5AF9C8D2"/>
    <w:rsid w:val="5B5B684F"/>
    <w:rsid w:val="5CC9A61B"/>
    <w:rsid w:val="5D68DC83"/>
    <w:rsid w:val="5E00DD01"/>
    <w:rsid w:val="5E38B3AA"/>
    <w:rsid w:val="5F66A967"/>
    <w:rsid w:val="608754E8"/>
    <w:rsid w:val="60FC861D"/>
    <w:rsid w:val="6150C0B4"/>
    <w:rsid w:val="618129DD"/>
    <w:rsid w:val="62207F2D"/>
    <w:rsid w:val="62232549"/>
    <w:rsid w:val="62B2A1BA"/>
    <w:rsid w:val="62CD457D"/>
    <w:rsid w:val="6317891A"/>
    <w:rsid w:val="6364BFE6"/>
    <w:rsid w:val="63C1FFA9"/>
    <w:rsid w:val="655D1388"/>
    <w:rsid w:val="66A9EFB4"/>
    <w:rsid w:val="6798EF56"/>
    <w:rsid w:val="6853192D"/>
    <w:rsid w:val="68C60A37"/>
    <w:rsid w:val="69AA56A0"/>
    <w:rsid w:val="69C36B2D"/>
    <w:rsid w:val="6ACD72E4"/>
    <w:rsid w:val="6ADD9056"/>
    <w:rsid w:val="6BE55BCB"/>
    <w:rsid w:val="6CBC91C3"/>
    <w:rsid w:val="6D8E42E6"/>
    <w:rsid w:val="6DFFCC63"/>
    <w:rsid w:val="6E345816"/>
    <w:rsid w:val="6E395965"/>
    <w:rsid w:val="6E4380D8"/>
    <w:rsid w:val="6E594944"/>
    <w:rsid w:val="6F671806"/>
    <w:rsid w:val="6FB8829B"/>
    <w:rsid w:val="709B4176"/>
    <w:rsid w:val="71137E30"/>
    <w:rsid w:val="712112FF"/>
    <w:rsid w:val="715F93D7"/>
    <w:rsid w:val="71913BA5"/>
    <w:rsid w:val="72052C0E"/>
    <w:rsid w:val="72394913"/>
    <w:rsid w:val="72801754"/>
    <w:rsid w:val="72BF3BAB"/>
    <w:rsid w:val="7321083B"/>
    <w:rsid w:val="732D0430"/>
    <w:rsid w:val="735A1DE9"/>
    <w:rsid w:val="7472A0D2"/>
    <w:rsid w:val="74830F02"/>
    <w:rsid w:val="749FCAEC"/>
    <w:rsid w:val="76ACFD84"/>
    <w:rsid w:val="77081D2D"/>
    <w:rsid w:val="793DDDB8"/>
    <w:rsid w:val="794E939A"/>
    <w:rsid w:val="7A33DA47"/>
    <w:rsid w:val="7A8352E7"/>
    <w:rsid w:val="7ABEBB8D"/>
    <w:rsid w:val="7B61ED33"/>
    <w:rsid w:val="7C1E29AD"/>
    <w:rsid w:val="7C4BC167"/>
    <w:rsid w:val="7C94197E"/>
    <w:rsid w:val="7CBB8B82"/>
    <w:rsid w:val="7D37755E"/>
    <w:rsid w:val="7DEBECC4"/>
    <w:rsid w:val="7E5F20BB"/>
    <w:rsid w:val="7F34DC44"/>
    <w:rsid w:val="7F4753E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00CDA72"/>
  <w15:docId w15:val="{B2A6D656-6FDA-4699-AEA2-4B2B5E006D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NormalText">
    <w:name w:val="Normal Text"/>
    <w:basedOn w:val="Normal"/>
    <w:link w:val="NormalTextChar"/>
    <w:qFormat/>
    <w:rsid w:val="00AA0128"/>
    <w:pPr>
      <w:spacing w:before="120" w:after="120" w:line="259" w:lineRule="auto"/>
      <w:jc w:val="both"/>
    </w:pPr>
    <w:rPr>
      <w:rFonts w:asciiTheme="majorHAnsi" w:hAnsiTheme="majorHAnsi"/>
      <w:color w:val="404040" w:themeColor="text1" w:themeTint="BF"/>
    </w:rPr>
  </w:style>
  <w:style w:type="character" w:customStyle="1" w:styleId="NormalTextChar">
    <w:name w:val="Normal Text Char"/>
    <w:basedOn w:val="DefaultParagraphFont"/>
    <w:link w:val="NormalText"/>
    <w:rsid w:val="00AA0128"/>
    <w:rPr>
      <w:rFonts w:asciiTheme="majorHAnsi" w:hAnsiTheme="majorHAnsi"/>
      <w:color w:val="404040" w:themeColor="text1" w:themeTint="BF"/>
      <w:sz w:val="24"/>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776541"/>
    <w:rPr>
      <w:rFonts w:ascii="Verdana" w:hAnsi="Verdana"/>
      <w:sz w:val="24"/>
    </w:rPr>
  </w:style>
  <w:style w:type="paragraph" w:styleId="Quote">
    <w:name w:val="Quote"/>
    <w:aliases w:val="IMTP  heading 3"/>
    <w:next w:val="Normal"/>
    <w:link w:val="QuoteChar"/>
    <w:uiPriority w:val="29"/>
    <w:qFormat/>
    <w:rsid w:val="00776541"/>
    <w:pPr>
      <w:tabs>
        <w:tab w:val="num" w:pos="1361"/>
      </w:tabs>
      <w:spacing w:before="240" w:after="240"/>
      <w:ind w:left="1418" w:hanging="1418"/>
    </w:pPr>
    <w:rPr>
      <w:rFonts w:ascii="Verdana" w:eastAsiaTheme="minorEastAsia" w:hAnsi="Verdana"/>
      <w:b/>
      <w:iCs/>
      <w:color w:val="002060"/>
      <w:spacing w:val="10"/>
      <w:kern w:val="28"/>
      <w:sz w:val="24"/>
      <w:szCs w:val="24"/>
      <w:lang w:val="en-US" w:bidi="en-US"/>
    </w:rPr>
  </w:style>
  <w:style w:type="character" w:customStyle="1" w:styleId="QuoteChar">
    <w:name w:val="Quote Char"/>
    <w:aliases w:val="IMTP  heading 3 Char"/>
    <w:basedOn w:val="DefaultParagraphFont"/>
    <w:link w:val="Quote"/>
    <w:uiPriority w:val="29"/>
    <w:rsid w:val="00776541"/>
    <w:rPr>
      <w:rFonts w:ascii="Verdana" w:eastAsiaTheme="minorEastAsia" w:hAnsi="Verdana"/>
      <w:b/>
      <w:iCs/>
      <w:color w:val="002060"/>
      <w:spacing w:val="10"/>
      <w:kern w:val="28"/>
      <w:sz w:val="24"/>
      <w:szCs w:val="24"/>
      <w:lang w:val="en-US" w:bidi="en-US"/>
    </w:rPr>
  </w:style>
  <w:style w:type="paragraph" w:styleId="NormalWeb">
    <w:name w:val="Normal (Web)"/>
    <w:basedOn w:val="Normal"/>
    <w:uiPriority w:val="99"/>
    <w:semiHidden/>
    <w:unhideWhenUsed/>
    <w:rsid w:val="00D94E39"/>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19608">
      <w:bodyDiv w:val="1"/>
      <w:marLeft w:val="0"/>
      <w:marRight w:val="0"/>
      <w:marTop w:val="0"/>
      <w:marBottom w:val="0"/>
      <w:divBdr>
        <w:top w:val="none" w:sz="0" w:space="0" w:color="auto"/>
        <w:left w:val="none" w:sz="0" w:space="0" w:color="auto"/>
        <w:bottom w:val="none" w:sz="0" w:space="0" w:color="auto"/>
        <w:right w:val="none" w:sz="0" w:space="0" w:color="auto"/>
      </w:divBdr>
    </w:div>
    <w:div w:id="101607655">
      <w:bodyDiv w:val="1"/>
      <w:marLeft w:val="0"/>
      <w:marRight w:val="0"/>
      <w:marTop w:val="0"/>
      <w:marBottom w:val="0"/>
      <w:divBdr>
        <w:top w:val="none" w:sz="0" w:space="0" w:color="auto"/>
        <w:left w:val="none" w:sz="0" w:space="0" w:color="auto"/>
        <w:bottom w:val="none" w:sz="0" w:space="0" w:color="auto"/>
        <w:right w:val="none" w:sz="0" w:space="0" w:color="auto"/>
      </w:divBdr>
    </w:div>
    <w:div w:id="138763421">
      <w:bodyDiv w:val="1"/>
      <w:marLeft w:val="0"/>
      <w:marRight w:val="0"/>
      <w:marTop w:val="0"/>
      <w:marBottom w:val="0"/>
      <w:divBdr>
        <w:top w:val="none" w:sz="0" w:space="0" w:color="auto"/>
        <w:left w:val="none" w:sz="0" w:space="0" w:color="auto"/>
        <w:bottom w:val="none" w:sz="0" w:space="0" w:color="auto"/>
        <w:right w:val="none" w:sz="0" w:space="0" w:color="auto"/>
      </w:divBdr>
    </w:div>
    <w:div w:id="202712995">
      <w:bodyDiv w:val="1"/>
      <w:marLeft w:val="0"/>
      <w:marRight w:val="0"/>
      <w:marTop w:val="0"/>
      <w:marBottom w:val="0"/>
      <w:divBdr>
        <w:top w:val="none" w:sz="0" w:space="0" w:color="auto"/>
        <w:left w:val="none" w:sz="0" w:space="0" w:color="auto"/>
        <w:bottom w:val="none" w:sz="0" w:space="0" w:color="auto"/>
        <w:right w:val="none" w:sz="0" w:space="0" w:color="auto"/>
      </w:divBdr>
    </w:div>
    <w:div w:id="218442465">
      <w:bodyDiv w:val="1"/>
      <w:marLeft w:val="0"/>
      <w:marRight w:val="0"/>
      <w:marTop w:val="0"/>
      <w:marBottom w:val="0"/>
      <w:divBdr>
        <w:top w:val="none" w:sz="0" w:space="0" w:color="auto"/>
        <w:left w:val="none" w:sz="0" w:space="0" w:color="auto"/>
        <w:bottom w:val="none" w:sz="0" w:space="0" w:color="auto"/>
        <w:right w:val="none" w:sz="0" w:space="0" w:color="auto"/>
      </w:divBdr>
    </w:div>
    <w:div w:id="517233138">
      <w:bodyDiv w:val="1"/>
      <w:marLeft w:val="0"/>
      <w:marRight w:val="0"/>
      <w:marTop w:val="0"/>
      <w:marBottom w:val="0"/>
      <w:divBdr>
        <w:top w:val="none" w:sz="0" w:space="0" w:color="auto"/>
        <w:left w:val="none" w:sz="0" w:space="0" w:color="auto"/>
        <w:bottom w:val="none" w:sz="0" w:space="0" w:color="auto"/>
        <w:right w:val="none" w:sz="0" w:space="0" w:color="auto"/>
      </w:divBdr>
    </w:div>
    <w:div w:id="532228842">
      <w:bodyDiv w:val="1"/>
      <w:marLeft w:val="0"/>
      <w:marRight w:val="0"/>
      <w:marTop w:val="0"/>
      <w:marBottom w:val="0"/>
      <w:divBdr>
        <w:top w:val="none" w:sz="0" w:space="0" w:color="auto"/>
        <w:left w:val="none" w:sz="0" w:space="0" w:color="auto"/>
        <w:bottom w:val="none" w:sz="0" w:space="0" w:color="auto"/>
        <w:right w:val="none" w:sz="0" w:space="0" w:color="auto"/>
      </w:divBdr>
    </w:div>
    <w:div w:id="538930264">
      <w:bodyDiv w:val="1"/>
      <w:marLeft w:val="0"/>
      <w:marRight w:val="0"/>
      <w:marTop w:val="0"/>
      <w:marBottom w:val="0"/>
      <w:divBdr>
        <w:top w:val="none" w:sz="0" w:space="0" w:color="auto"/>
        <w:left w:val="none" w:sz="0" w:space="0" w:color="auto"/>
        <w:bottom w:val="none" w:sz="0" w:space="0" w:color="auto"/>
        <w:right w:val="none" w:sz="0" w:space="0" w:color="auto"/>
      </w:divBdr>
    </w:div>
    <w:div w:id="613682560">
      <w:bodyDiv w:val="1"/>
      <w:marLeft w:val="0"/>
      <w:marRight w:val="0"/>
      <w:marTop w:val="0"/>
      <w:marBottom w:val="0"/>
      <w:divBdr>
        <w:top w:val="none" w:sz="0" w:space="0" w:color="auto"/>
        <w:left w:val="none" w:sz="0" w:space="0" w:color="auto"/>
        <w:bottom w:val="none" w:sz="0" w:space="0" w:color="auto"/>
        <w:right w:val="none" w:sz="0" w:space="0" w:color="auto"/>
      </w:divBdr>
    </w:div>
    <w:div w:id="627778867">
      <w:bodyDiv w:val="1"/>
      <w:marLeft w:val="0"/>
      <w:marRight w:val="0"/>
      <w:marTop w:val="0"/>
      <w:marBottom w:val="0"/>
      <w:divBdr>
        <w:top w:val="none" w:sz="0" w:space="0" w:color="auto"/>
        <w:left w:val="none" w:sz="0" w:space="0" w:color="auto"/>
        <w:bottom w:val="none" w:sz="0" w:space="0" w:color="auto"/>
        <w:right w:val="none" w:sz="0" w:space="0" w:color="auto"/>
      </w:divBdr>
    </w:div>
    <w:div w:id="629553438">
      <w:bodyDiv w:val="1"/>
      <w:marLeft w:val="0"/>
      <w:marRight w:val="0"/>
      <w:marTop w:val="0"/>
      <w:marBottom w:val="0"/>
      <w:divBdr>
        <w:top w:val="none" w:sz="0" w:space="0" w:color="auto"/>
        <w:left w:val="none" w:sz="0" w:space="0" w:color="auto"/>
        <w:bottom w:val="none" w:sz="0" w:space="0" w:color="auto"/>
        <w:right w:val="none" w:sz="0" w:space="0" w:color="auto"/>
      </w:divBdr>
    </w:div>
    <w:div w:id="686711263">
      <w:bodyDiv w:val="1"/>
      <w:marLeft w:val="0"/>
      <w:marRight w:val="0"/>
      <w:marTop w:val="0"/>
      <w:marBottom w:val="0"/>
      <w:divBdr>
        <w:top w:val="none" w:sz="0" w:space="0" w:color="auto"/>
        <w:left w:val="none" w:sz="0" w:space="0" w:color="auto"/>
        <w:bottom w:val="none" w:sz="0" w:space="0" w:color="auto"/>
        <w:right w:val="none" w:sz="0" w:space="0" w:color="auto"/>
      </w:divBdr>
    </w:div>
    <w:div w:id="689910527">
      <w:bodyDiv w:val="1"/>
      <w:marLeft w:val="0"/>
      <w:marRight w:val="0"/>
      <w:marTop w:val="0"/>
      <w:marBottom w:val="0"/>
      <w:divBdr>
        <w:top w:val="none" w:sz="0" w:space="0" w:color="auto"/>
        <w:left w:val="none" w:sz="0" w:space="0" w:color="auto"/>
        <w:bottom w:val="none" w:sz="0" w:space="0" w:color="auto"/>
        <w:right w:val="none" w:sz="0" w:space="0" w:color="auto"/>
      </w:divBdr>
    </w:div>
    <w:div w:id="760756707">
      <w:bodyDiv w:val="1"/>
      <w:marLeft w:val="0"/>
      <w:marRight w:val="0"/>
      <w:marTop w:val="0"/>
      <w:marBottom w:val="0"/>
      <w:divBdr>
        <w:top w:val="none" w:sz="0" w:space="0" w:color="auto"/>
        <w:left w:val="none" w:sz="0" w:space="0" w:color="auto"/>
        <w:bottom w:val="none" w:sz="0" w:space="0" w:color="auto"/>
        <w:right w:val="none" w:sz="0" w:space="0" w:color="auto"/>
      </w:divBdr>
    </w:div>
    <w:div w:id="884561056">
      <w:bodyDiv w:val="1"/>
      <w:marLeft w:val="0"/>
      <w:marRight w:val="0"/>
      <w:marTop w:val="0"/>
      <w:marBottom w:val="0"/>
      <w:divBdr>
        <w:top w:val="none" w:sz="0" w:space="0" w:color="auto"/>
        <w:left w:val="none" w:sz="0" w:space="0" w:color="auto"/>
        <w:bottom w:val="none" w:sz="0" w:space="0" w:color="auto"/>
        <w:right w:val="none" w:sz="0" w:space="0" w:color="auto"/>
      </w:divBdr>
    </w:div>
    <w:div w:id="922299826">
      <w:bodyDiv w:val="1"/>
      <w:marLeft w:val="0"/>
      <w:marRight w:val="0"/>
      <w:marTop w:val="0"/>
      <w:marBottom w:val="0"/>
      <w:divBdr>
        <w:top w:val="none" w:sz="0" w:space="0" w:color="auto"/>
        <w:left w:val="none" w:sz="0" w:space="0" w:color="auto"/>
        <w:bottom w:val="none" w:sz="0" w:space="0" w:color="auto"/>
        <w:right w:val="none" w:sz="0" w:space="0" w:color="auto"/>
      </w:divBdr>
    </w:div>
    <w:div w:id="942684575">
      <w:bodyDiv w:val="1"/>
      <w:marLeft w:val="0"/>
      <w:marRight w:val="0"/>
      <w:marTop w:val="0"/>
      <w:marBottom w:val="0"/>
      <w:divBdr>
        <w:top w:val="none" w:sz="0" w:space="0" w:color="auto"/>
        <w:left w:val="none" w:sz="0" w:space="0" w:color="auto"/>
        <w:bottom w:val="none" w:sz="0" w:space="0" w:color="auto"/>
        <w:right w:val="none" w:sz="0" w:space="0" w:color="auto"/>
      </w:divBdr>
    </w:div>
    <w:div w:id="963973020">
      <w:bodyDiv w:val="1"/>
      <w:marLeft w:val="0"/>
      <w:marRight w:val="0"/>
      <w:marTop w:val="0"/>
      <w:marBottom w:val="0"/>
      <w:divBdr>
        <w:top w:val="none" w:sz="0" w:space="0" w:color="auto"/>
        <w:left w:val="none" w:sz="0" w:space="0" w:color="auto"/>
        <w:bottom w:val="none" w:sz="0" w:space="0" w:color="auto"/>
        <w:right w:val="none" w:sz="0" w:space="0" w:color="auto"/>
      </w:divBdr>
    </w:div>
    <w:div w:id="1000961628">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85155094">
      <w:bodyDiv w:val="1"/>
      <w:marLeft w:val="0"/>
      <w:marRight w:val="0"/>
      <w:marTop w:val="0"/>
      <w:marBottom w:val="0"/>
      <w:divBdr>
        <w:top w:val="none" w:sz="0" w:space="0" w:color="auto"/>
        <w:left w:val="none" w:sz="0" w:space="0" w:color="auto"/>
        <w:bottom w:val="none" w:sz="0" w:space="0" w:color="auto"/>
        <w:right w:val="none" w:sz="0" w:space="0" w:color="auto"/>
      </w:divBdr>
    </w:div>
    <w:div w:id="1158031183">
      <w:bodyDiv w:val="1"/>
      <w:marLeft w:val="0"/>
      <w:marRight w:val="0"/>
      <w:marTop w:val="0"/>
      <w:marBottom w:val="0"/>
      <w:divBdr>
        <w:top w:val="none" w:sz="0" w:space="0" w:color="auto"/>
        <w:left w:val="none" w:sz="0" w:space="0" w:color="auto"/>
        <w:bottom w:val="none" w:sz="0" w:space="0" w:color="auto"/>
        <w:right w:val="none" w:sz="0" w:space="0" w:color="auto"/>
      </w:divBdr>
    </w:div>
    <w:div w:id="1264924843">
      <w:bodyDiv w:val="1"/>
      <w:marLeft w:val="0"/>
      <w:marRight w:val="0"/>
      <w:marTop w:val="0"/>
      <w:marBottom w:val="0"/>
      <w:divBdr>
        <w:top w:val="none" w:sz="0" w:space="0" w:color="auto"/>
        <w:left w:val="none" w:sz="0" w:space="0" w:color="auto"/>
        <w:bottom w:val="none" w:sz="0" w:space="0" w:color="auto"/>
        <w:right w:val="none" w:sz="0" w:space="0" w:color="auto"/>
      </w:divBdr>
    </w:div>
    <w:div w:id="1334265119">
      <w:bodyDiv w:val="1"/>
      <w:marLeft w:val="0"/>
      <w:marRight w:val="0"/>
      <w:marTop w:val="0"/>
      <w:marBottom w:val="0"/>
      <w:divBdr>
        <w:top w:val="none" w:sz="0" w:space="0" w:color="auto"/>
        <w:left w:val="none" w:sz="0" w:space="0" w:color="auto"/>
        <w:bottom w:val="none" w:sz="0" w:space="0" w:color="auto"/>
        <w:right w:val="none" w:sz="0" w:space="0" w:color="auto"/>
      </w:divBdr>
    </w:div>
    <w:div w:id="1355112491">
      <w:bodyDiv w:val="1"/>
      <w:marLeft w:val="0"/>
      <w:marRight w:val="0"/>
      <w:marTop w:val="0"/>
      <w:marBottom w:val="0"/>
      <w:divBdr>
        <w:top w:val="none" w:sz="0" w:space="0" w:color="auto"/>
        <w:left w:val="none" w:sz="0" w:space="0" w:color="auto"/>
        <w:bottom w:val="none" w:sz="0" w:space="0" w:color="auto"/>
        <w:right w:val="none" w:sz="0" w:space="0" w:color="auto"/>
      </w:divBdr>
    </w:div>
    <w:div w:id="1381858357">
      <w:bodyDiv w:val="1"/>
      <w:marLeft w:val="0"/>
      <w:marRight w:val="0"/>
      <w:marTop w:val="0"/>
      <w:marBottom w:val="0"/>
      <w:divBdr>
        <w:top w:val="none" w:sz="0" w:space="0" w:color="auto"/>
        <w:left w:val="none" w:sz="0" w:space="0" w:color="auto"/>
        <w:bottom w:val="none" w:sz="0" w:space="0" w:color="auto"/>
        <w:right w:val="none" w:sz="0" w:space="0" w:color="auto"/>
      </w:divBdr>
    </w:div>
    <w:div w:id="1402215349">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470200334">
      <w:bodyDiv w:val="1"/>
      <w:marLeft w:val="0"/>
      <w:marRight w:val="0"/>
      <w:marTop w:val="0"/>
      <w:marBottom w:val="0"/>
      <w:divBdr>
        <w:top w:val="none" w:sz="0" w:space="0" w:color="auto"/>
        <w:left w:val="none" w:sz="0" w:space="0" w:color="auto"/>
        <w:bottom w:val="none" w:sz="0" w:space="0" w:color="auto"/>
        <w:right w:val="none" w:sz="0" w:space="0" w:color="auto"/>
      </w:divBdr>
    </w:div>
    <w:div w:id="1525944824">
      <w:bodyDiv w:val="1"/>
      <w:marLeft w:val="0"/>
      <w:marRight w:val="0"/>
      <w:marTop w:val="0"/>
      <w:marBottom w:val="0"/>
      <w:divBdr>
        <w:top w:val="none" w:sz="0" w:space="0" w:color="auto"/>
        <w:left w:val="none" w:sz="0" w:space="0" w:color="auto"/>
        <w:bottom w:val="none" w:sz="0" w:space="0" w:color="auto"/>
        <w:right w:val="none" w:sz="0" w:space="0" w:color="auto"/>
      </w:divBdr>
    </w:div>
    <w:div w:id="1690639675">
      <w:bodyDiv w:val="1"/>
      <w:marLeft w:val="0"/>
      <w:marRight w:val="0"/>
      <w:marTop w:val="0"/>
      <w:marBottom w:val="0"/>
      <w:divBdr>
        <w:top w:val="none" w:sz="0" w:space="0" w:color="auto"/>
        <w:left w:val="none" w:sz="0" w:space="0" w:color="auto"/>
        <w:bottom w:val="none" w:sz="0" w:space="0" w:color="auto"/>
        <w:right w:val="none" w:sz="0" w:space="0" w:color="auto"/>
      </w:divBdr>
      <w:divsChild>
        <w:div w:id="179399016">
          <w:marLeft w:val="446"/>
          <w:marRight w:val="0"/>
          <w:marTop w:val="200"/>
          <w:marBottom w:val="0"/>
          <w:divBdr>
            <w:top w:val="none" w:sz="0" w:space="0" w:color="auto"/>
            <w:left w:val="none" w:sz="0" w:space="0" w:color="auto"/>
            <w:bottom w:val="none" w:sz="0" w:space="0" w:color="auto"/>
            <w:right w:val="none" w:sz="0" w:space="0" w:color="auto"/>
          </w:divBdr>
        </w:div>
        <w:div w:id="366101304">
          <w:marLeft w:val="446"/>
          <w:marRight w:val="0"/>
          <w:marTop w:val="200"/>
          <w:marBottom w:val="0"/>
          <w:divBdr>
            <w:top w:val="none" w:sz="0" w:space="0" w:color="auto"/>
            <w:left w:val="none" w:sz="0" w:space="0" w:color="auto"/>
            <w:bottom w:val="none" w:sz="0" w:space="0" w:color="auto"/>
            <w:right w:val="none" w:sz="0" w:space="0" w:color="auto"/>
          </w:divBdr>
        </w:div>
        <w:div w:id="1675381125">
          <w:marLeft w:val="446"/>
          <w:marRight w:val="0"/>
          <w:marTop w:val="200"/>
          <w:marBottom w:val="0"/>
          <w:divBdr>
            <w:top w:val="none" w:sz="0" w:space="0" w:color="auto"/>
            <w:left w:val="none" w:sz="0" w:space="0" w:color="auto"/>
            <w:bottom w:val="none" w:sz="0" w:space="0" w:color="auto"/>
            <w:right w:val="none" w:sz="0" w:space="0" w:color="auto"/>
          </w:divBdr>
        </w:div>
        <w:div w:id="2042511227">
          <w:marLeft w:val="446"/>
          <w:marRight w:val="0"/>
          <w:marTop w:val="200"/>
          <w:marBottom w:val="0"/>
          <w:divBdr>
            <w:top w:val="none" w:sz="0" w:space="0" w:color="auto"/>
            <w:left w:val="none" w:sz="0" w:space="0" w:color="auto"/>
            <w:bottom w:val="none" w:sz="0" w:space="0" w:color="auto"/>
            <w:right w:val="none" w:sz="0" w:space="0" w:color="auto"/>
          </w:divBdr>
        </w:div>
        <w:div w:id="2144690932">
          <w:marLeft w:val="446"/>
          <w:marRight w:val="0"/>
          <w:marTop w:val="200"/>
          <w:marBottom w:val="0"/>
          <w:divBdr>
            <w:top w:val="none" w:sz="0" w:space="0" w:color="auto"/>
            <w:left w:val="none" w:sz="0" w:space="0" w:color="auto"/>
            <w:bottom w:val="none" w:sz="0" w:space="0" w:color="auto"/>
            <w:right w:val="none" w:sz="0" w:space="0" w:color="auto"/>
          </w:divBdr>
        </w:div>
      </w:divsChild>
    </w:div>
    <w:div w:id="1756970805">
      <w:bodyDiv w:val="1"/>
      <w:marLeft w:val="0"/>
      <w:marRight w:val="0"/>
      <w:marTop w:val="0"/>
      <w:marBottom w:val="0"/>
      <w:divBdr>
        <w:top w:val="none" w:sz="0" w:space="0" w:color="auto"/>
        <w:left w:val="none" w:sz="0" w:space="0" w:color="auto"/>
        <w:bottom w:val="none" w:sz="0" w:space="0" w:color="auto"/>
        <w:right w:val="none" w:sz="0" w:space="0" w:color="auto"/>
      </w:divBdr>
    </w:div>
    <w:div w:id="1774402349">
      <w:bodyDiv w:val="1"/>
      <w:marLeft w:val="0"/>
      <w:marRight w:val="0"/>
      <w:marTop w:val="0"/>
      <w:marBottom w:val="0"/>
      <w:divBdr>
        <w:top w:val="none" w:sz="0" w:space="0" w:color="auto"/>
        <w:left w:val="none" w:sz="0" w:space="0" w:color="auto"/>
        <w:bottom w:val="none" w:sz="0" w:space="0" w:color="auto"/>
        <w:right w:val="none" w:sz="0" w:space="0" w:color="auto"/>
      </w:divBdr>
      <w:divsChild>
        <w:div w:id="1457408555">
          <w:marLeft w:val="446"/>
          <w:marRight w:val="0"/>
          <w:marTop w:val="200"/>
          <w:marBottom w:val="0"/>
          <w:divBdr>
            <w:top w:val="none" w:sz="0" w:space="0" w:color="auto"/>
            <w:left w:val="none" w:sz="0" w:space="0" w:color="auto"/>
            <w:bottom w:val="none" w:sz="0" w:space="0" w:color="auto"/>
            <w:right w:val="none" w:sz="0" w:space="0" w:color="auto"/>
          </w:divBdr>
        </w:div>
        <w:div w:id="1511530278">
          <w:marLeft w:val="446"/>
          <w:marRight w:val="0"/>
          <w:marTop w:val="200"/>
          <w:marBottom w:val="0"/>
          <w:divBdr>
            <w:top w:val="none" w:sz="0" w:space="0" w:color="auto"/>
            <w:left w:val="none" w:sz="0" w:space="0" w:color="auto"/>
            <w:bottom w:val="none" w:sz="0" w:space="0" w:color="auto"/>
            <w:right w:val="none" w:sz="0" w:space="0" w:color="auto"/>
          </w:divBdr>
        </w:div>
        <w:div w:id="1555653951">
          <w:marLeft w:val="446"/>
          <w:marRight w:val="0"/>
          <w:marTop w:val="200"/>
          <w:marBottom w:val="0"/>
          <w:divBdr>
            <w:top w:val="none" w:sz="0" w:space="0" w:color="auto"/>
            <w:left w:val="none" w:sz="0" w:space="0" w:color="auto"/>
            <w:bottom w:val="none" w:sz="0" w:space="0" w:color="auto"/>
            <w:right w:val="none" w:sz="0" w:space="0" w:color="auto"/>
          </w:divBdr>
        </w:div>
        <w:div w:id="2099523558">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png@01D94DCA.D29BF8F0"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D5A7C95DDFA994981F4AFB2575D44B6" ma:contentTypeVersion="6" ma:contentTypeDescription="Create a new document." ma:contentTypeScope="" ma:versionID="596bb8afec7ad45b875e8d8db5bd51f2">
  <xsd:schema xmlns:xsd="http://www.w3.org/2001/XMLSchema" xmlns:xs="http://www.w3.org/2001/XMLSchema" xmlns:p="http://schemas.microsoft.com/office/2006/metadata/properties" xmlns:ns2="3880062d-6903-4d16-9efa-45233172f639" xmlns:ns3="55753b94-61af-4803-bd43-9b424d3e088a" targetNamespace="http://schemas.microsoft.com/office/2006/metadata/properties" ma:root="true" ma:fieldsID="e0fd6997f54221d1037ce84afec9c23b" ns2:_="" ns3:_="">
    <xsd:import namespace="3880062d-6903-4d16-9efa-45233172f639"/>
    <xsd:import namespace="55753b94-61af-4803-bd43-9b424d3e088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80062d-6903-4d16-9efa-45233172f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5753b94-61af-4803-bd43-9b424d3e0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C57EE4-CD4B-4A58-812E-65F0FFEBB4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80062d-6903-4d16-9efa-45233172f639"/>
    <ds:schemaRef ds:uri="55753b94-61af-4803-bd43-9b424d3e0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DE4FD6-408B-48BD-A088-9C453C496D1C}">
  <ds:schemaRefs>
    <ds:schemaRef ds:uri="http://schemas.microsoft.com/office/infopath/2007/PartnerControls"/>
    <ds:schemaRef ds:uri="55753b94-61af-4803-bd43-9b424d3e088a"/>
    <ds:schemaRef ds:uri="http://schemas.microsoft.com/office/2006/metadata/properties"/>
    <ds:schemaRef ds:uri="http://schemas.microsoft.com/office/2006/documentManagement/types"/>
    <ds:schemaRef ds:uri="3880062d-6903-4d16-9efa-45233172f639"/>
    <ds:schemaRef ds:uri="http://purl.org/dc/terms/"/>
    <ds:schemaRef ds:uri="http://schemas.openxmlformats.org/package/2006/metadata/core-properties"/>
    <ds:schemaRef ds:uri="http://purl.org/dc/elements/1.1/"/>
    <ds:schemaRef ds:uri="http://purl.org/dc/dcmitype/"/>
    <ds:schemaRef ds:uri="http://www.w3.org/XML/1998/namespace"/>
  </ds:schemaRefs>
</ds:datastoreItem>
</file>

<file path=customXml/itemProps3.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4.xml><?xml version="1.0" encoding="utf-8"?>
<ds:datastoreItem xmlns:ds="http://schemas.openxmlformats.org/officeDocument/2006/customXml" ds:itemID="{BC372818-DFE0-4645-959C-E44F82DF7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15</Pages>
  <Words>3288</Words>
  <Characters>18742</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21987</CharactersWithSpaces>
  <SharedDoc>false</SharedDoc>
  <HLinks>
    <vt:vector size="12" baseType="variant">
      <vt:variant>
        <vt:i4>7274596</vt:i4>
      </vt:variant>
      <vt:variant>
        <vt:i4>18</vt:i4>
      </vt:variant>
      <vt:variant>
        <vt:i4>0</vt:i4>
      </vt:variant>
      <vt:variant>
        <vt:i4>5</vt:i4>
      </vt:variant>
      <vt:variant>
        <vt:lpwstr>http://www.wales.nhs.uk/governance-emanual/how-the-health-and-care-standards-are-st</vt:lpwstr>
      </vt:variant>
      <vt:variant>
        <vt:lpwstr/>
      </vt:variant>
      <vt:variant>
        <vt:i4>6684789</vt:i4>
      </vt:variant>
      <vt:variant>
        <vt:i4>15</vt:i4>
      </vt:variant>
      <vt:variant>
        <vt:i4>0</vt:i4>
      </vt:variant>
      <vt:variant>
        <vt:i4>5</vt:i4>
      </vt:variant>
      <vt:variant>
        <vt:lpwstr>http://howis.wales.nhs.uk/sitesplus/888/page/64548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subject/>
  <dc:creator>Cathie Steele</dc:creator>
  <cp:keywords>board committee</cp:keywords>
  <cp:lastModifiedBy>Liz Blayney (Public Health Wales - No. 2 Capital Quarter)</cp:lastModifiedBy>
  <cp:revision>8</cp:revision>
  <cp:lastPrinted>2021-03-09T16:05:00Z</cp:lastPrinted>
  <dcterms:created xsi:type="dcterms:W3CDTF">2023-03-14T11:43:00Z</dcterms:created>
  <dcterms:modified xsi:type="dcterms:W3CDTF">2023-03-23T20:00:00Z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0x010100AD5A7C95DDFA994981F4AFB2575D44B6</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