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2EF0" w14:textId="77777777" w:rsidR="001F7D93" w:rsidRPr="00D407B7" w:rsidRDefault="001F7D93" w:rsidP="00696C86">
      <w:pPr>
        <w:spacing w:after="120"/>
        <w:jc w:val="center"/>
      </w:pPr>
      <w:r w:rsidRPr="00D407B7">
        <w:rPr>
          <w:noProof/>
          <w:lang w:eastAsia="en-GB"/>
        </w:rPr>
        <w:drawing>
          <wp:inline distT="0" distB="0" distL="0" distR="0" wp14:anchorId="57F01207" wp14:editId="2FF0709C">
            <wp:extent cx="5734050" cy="1352550"/>
            <wp:effectExtent l="19050" t="0" r="0" b="0"/>
            <wp:docPr id="1"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5734050" cy="1352550"/>
                    </a:xfrm>
                    <a:prstGeom prst="rect">
                      <a:avLst/>
                    </a:prstGeom>
                    <a:noFill/>
                    <a:ln w="9525">
                      <a:noFill/>
                      <a:miter lim="800000"/>
                      <a:headEnd/>
                      <a:tailEnd/>
                    </a:ln>
                  </pic:spPr>
                </pic:pic>
              </a:graphicData>
            </a:graphic>
          </wp:inline>
        </w:drawing>
      </w:r>
    </w:p>
    <w:p w14:paraId="1ADA65C3" w14:textId="77777777" w:rsidR="00407C05" w:rsidRDefault="00407C05" w:rsidP="00696C86">
      <w:pPr>
        <w:jc w:val="center"/>
        <w:rPr>
          <w:b/>
        </w:rPr>
      </w:pPr>
    </w:p>
    <w:p w14:paraId="477EA2A3" w14:textId="77777777" w:rsidR="00FC4093" w:rsidRPr="00D407B7" w:rsidRDefault="00FC4093" w:rsidP="00696C86">
      <w:pPr>
        <w:jc w:val="center"/>
        <w:rPr>
          <w:b/>
        </w:rPr>
      </w:pPr>
    </w:p>
    <w:p w14:paraId="603214EA" w14:textId="77777777" w:rsidR="008E62DE" w:rsidRPr="00D407B7" w:rsidRDefault="00A96EB5" w:rsidP="00696C86">
      <w:pPr>
        <w:jc w:val="center"/>
        <w:rPr>
          <w:b/>
        </w:rPr>
      </w:pPr>
      <w:r w:rsidRPr="00D407B7">
        <w:rPr>
          <w:b/>
        </w:rPr>
        <w:t>Unc</w:t>
      </w:r>
      <w:r w:rsidR="00112878" w:rsidRPr="00D407B7">
        <w:rPr>
          <w:b/>
        </w:rPr>
        <w:t xml:space="preserve">onfirmed </w:t>
      </w:r>
      <w:r w:rsidR="001F7D93" w:rsidRPr="00D407B7">
        <w:rPr>
          <w:b/>
        </w:rPr>
        <w:t>Minutes of the Board Meeting</w:t>
      </w:r>
      <w:r w:rsidR="00DB3333" w:rsidRPr="00D407B7">
        <w:rPr>
          <w:b/>
        </w:rPr>
        <w:t xml:space="preserve"> </w:t>
      </w:r>
    </w:p>
    <w:p w14:paraId="7C593CB5" w14:textId="77777777" w:rsidR="00A85ED0" w:rsidRPr="00D407B7" w:rsidRDefault="00C022AB" w:rsidP="00696C86">
      <w:pPr>
        <w:jc w:val="center"/>
        <w:rPr>
          <w:b/>
        </w:rPr>
      </w:pPr>
      <w:proofErr w:type="gramStart"/>
      <w:r w:rsidRPr="00D407B7">
        <w:rPr>
          <w:b/>
        </w:rPr>
        <w:t>held</w:t>
      </w:r>
      <w:proofErr w:type="gramEnd"/>
      <w:r w:rsidRPr="00D407B7">
        <w:rPr>
          <w:b/>
        </w:rPr>
        <w:t xml:space="preserve"> on </w:t>
      </w:r>
      <w:r w:rsidR="00E214CA">
        <w:rPr>
          <w:b/>
        </w:rPr>
        <w:t>28</w:t>
      </w:r>
      <w:r w:rsidR="00CE5739">
        <w:rPr>
          <w:b/>
        </w:rPr>
        <w:t xml:space="preserve"> May</w:t>
      </w:r>
      <w:r w:rsidR="0053730A" w:rsidRPr="00D407B7">
        <w:rPr>
          <w:b/>
        </w:rPr>
        <w:t xml:space="preserve"> 2020</w:t>
      </w:r>
      <w:r w:rsidR="00484479" w:rsidRPr="00D407B7">
        <w:rPr>
          <w:b/>
        </w:rPr>
        <w:t xml:space="preserve">, </w:t>
      </w:r>
    </w:p>
    <w:p w14:paraId="067AD495" w14:textId="77777777" w:rsidR="001A3F23" w:rsidRPr="00D407B7" w:rsidRDefault="00B41134" w:rsidP="00696C86">
      <w:pPr>
        <w:jc w:val="center"/>
        <w:rPr>
          <w:b/>
        </w:rPr>
      </w:pPr>
      <w:r>
        <w:rPr>
          <w:b/>
        </w:rPr>
        <w:t xml:space="preserve"> (</w:t>
      </w:r>
      <w:proofErr w:type="gramStart"/>
      <w:r>
        <w:rPr>
          <w:b/>
        </w:rPr>
        <w:t>held</w:t>
      </w:r>
      <w:proofErr w:type="gramEnd"/>
      <w:r>
        <w:rPr>
          <w:b/>
        </w:rPr>
        <w:t xml:space="preserve"> e</w:t>
      </w:r>
      <w:r w:rsidR="00AB39AB">
        <w:rPr>
          <w:b/>
        </w:rPr>
        <w:t>lectronically</w:t>
      </w:r>
      <w:r>
        <w:rPr>
          <w:b/>
        </w:rPr>
        <w:t xml:space="preserve"> via skype / telephone</w:t>
      </w:r>
      <w:r w:rsidR="00AB39AB">
        <w:rPr>
          <w:b/>
        </w:rPr>
        <w:t>)</w:t>
      </w:r>
    </w:p>
    <w:p w14:paraId="313A101A" w14:textId="77777777" w:rsidR="00800A33" w:rsidRPr="00D407B7" w:rsidRDefault="00800A33" w:rsidP="00696C86">
      <w:pPr>
        <w:jc w:val="center"/>
        <w:rPr>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4820"/>
      </w:tblGrid>
      <w:tr w:rsidR="001F7D93" w:rsidRPr="00D407B7" w14:paraId="5F1EEA03" w14:textId="77777777" w:rsidTr="00696C86">
        <w:trPr>
          <w:jc w:val="center"/>
        </w:trPr>
        <w:tc>
          <w:tcPr>
            <w:tcW w:w="9640" w:type="dxa"/>
            <w:gridSpan w:val="3"/>
            <w:shd w:val="clear" w:color="auto" w:fill="auto"/>
          </w:tcPr>
          <w:p w14:paraId="1B888339" w14:textId="77777777" w:rsidR="001F7D93" w:rsidRPr="00D407B7" w:rsidRDefault="001F7D93" w:rsidP="00696C86">
            <w:pPr>
              <w:spacing w:before="120"/>
              <w:jc w:val="left"/>
              <w:rPr>
                <w:b/>
              </w:rPr>
            </w:pPr>
            <w:r w:rsidRPr="00D407B7">
              <w:rPr>
                <w:b/>
              </w:rPr>
              <w:t>Present:</w:t>
            </w:r>
          </w:p>
        </w:tc>
      </w:tr>
      <w:tr w:rsidR="00AB39AB" w:rsidRPr="00D407B7" w14:paraId="085023A8" w14:textId="77777777" w:rsidTr="00C4299E">
        <w:trPr>
          <w:jc w:val="center"/>
        </w:trPr>
        <w:tc>
          <w:tcPr>
            <w:tcW w:w="3544" w:type="dxa"/>
            <w:shd w:val="clear" w:color="auto" w:fill="auto"/>
          </w:tcPr>
          <w:p w14:paraId="400459CB" w14:textId="77777777" w:rsidR="00AB39AB" w:rsidRPr="00C4299E" w:rsidRDefault="00AB39AB" w:rsidP="00E30D5B">
            <w:pPr>
              <w:jc w:val="left"/>
            </w:pPr>
            <w:r w:rsidRPr="00C4299E">
              <w:t>Jan Williams</w:t>
            </w:r>
          </w:p>
        </w:tc>
        <w:tc>
          <w:tcPr>
            <w:tcW w:w="1276" w:type="dxa"/>
            <w:shd w:val="clear" w:color="auto" w:fill="auto"/>
          </w:tcPr>
          <w:p w14:paraId="01F59F62" w14:textId="77777777" w:rsidR="00AB39AB" w:rsidRPr="00D407B7" w:rsidRDefault="00AB39AB" w:rsidP="00E30D5B">
            <w:pPr>
              <w:jc w:val="left"/>
            </w:pPr>
            <w:r w:rsidRPr="00D407B7">
              <w:t>(JW)</w:t>
            </w:r>
          </w:p>
        </w:tc>
        <w:tc>
          <w:tcPr>
            <w:tcW w:w="4820" w:type="dxa"/>
            <w:shd w:val="clear" w:color="auto" w:fill="auto"/>
          </w:tcPr>
          <w:p w14:paraId="46F035E3" w14:textId="77777777" w:rsidR="00AB39AB" w:rsidRPr="00D407B7" w:rsidRDefault="00AB39AB" w:rsidP="00E30D5B">
            <w:pPr>
              <w:jc w:val="left"/>
            </w:pPr>
            <w:r w:rsidRPr="00D407B7">
              <w:t>Chair</w:t>
            </w:r>
          </w:p>
        </w:tc>
      </w:tr>
      <w:tr w:rsidR="00AB39AB" w:rsidRPr="00D407B7" w14:paraId="7C0B3906" w14:textId="77777777" w:rsidTr="00C4299E">
        <w:trPr>
          <w:jc w:val="center"/>
        </w:trPr>
        <w:tc>
          <w:tcPr>
            <w:tcW w:w="3544" w:type="dxa"/>
            <w:shd w:val="clear" w:color="auto" w:fill="auto"/>
          </w:tcPr>
          <w:p w14:paraId="05749484" w14:textId="77777777" w:rsidR="00AB39AB" w:rsidRPr="00C4299E" w:rsidRDefault="00AB39AB" w:rsidP="00AB39AB">
            <w:pPr>
              <w:jc w:val="left"/>
            </w:pPr>
            <w:r w:rsidRPr="00C4299E">
              <w:t>Tracey Cooper</w:t>
            </w:r>
          </w:p>
        </w:tc>
        <w:tc>
          <w:tcPr>
            <w:tcW w:w="1276" w:type="dxa"/>
          </w:tcPr>
          <w:p w14:paraId="64722D12" w14:textId="77777777" w:rsidR="00AB39AB" w:rsidRPr="00D407B7" w:rsidRDefault="00AB39AB" w:rsidP="00AB39AB">
            <w:pPr>
              <w:jc w:val="left"/>
            </w:pPr>
            <w:r w:rsidRPr="00D407B7">
              <w:t>(TC)</w:t>
            </w:r>
          </w:p>
        </w:tc>
        <w:tc>
          <w:tcPr>
            <w:tcW w:w="4820" w:type="dxa"/>
          </w:tcPr>
          <w:p w14:paraId="0B37F052" w14:textId="77777777" w:rsidR="00AB39AB" w:rsidRPr="00E214CA" w:rsidRDefault="00AB39AB" w:rsidP="00AB39AB">
            <w:pPr>
              <w:jc w:val="left"/>
            </w:pPr>
            <w:r w:rsidRPr="00D407B7">
              <w:t>Chief Executive</w:t>
            </w:r>
            <w:r w:rsidR="00D70AE0">
              <w:t xml:space="preserve"> </w:t>
            </w:r>
          </w:p>
        </w:tc>
      </w:tr>
      <w:tr w:rsidR="00AB39AB" w:rsidRPr="00D407B7" w14:paraId="0E151E0A" w14:textId="77777777" w:rsidTr="00C4299E">
        <w:trPr>
          <w:jc w:val="center"/>
        </w:trPr>
        <w:tc>
          <w:tcPr>
            <w:tcW w:w="3544" w:type="dxa"/>
            <w:shd w:val="clear" w:color="auto" w:fill="auto"/>
          </w:tcPr>
          <w:p w14:paraId="5597A712" w14:textId="77777777" w:rsidR="00AB39AB" w:rsidRPr="00C4299E" w:rsidRDefault="00AB39AB" w:rsidP="00AB39AB">
            <w:pPr>
              <w:jc w:val="left"/>
            </w:pPr>
            <w:r w:rsidRPr="00C4299E">
              <w:t>Jyoti Atri</w:t>
            </w:r>
          </w:p>
        </w:tc>
        <w:tc>
          <w:tcPr>
            <w:tcW w:w="1276" w:type="dxa"/>
          </w:tcPr>
          <w:p w14:paraId="35F13C2D" w14:textId="77777777" w:rsidR="00AB39AB" w:rsidRPr="00D407B7" w:rsidRDefault="00AB39AB" w:rsidP="00AB39AB">
            <w:pPr>
              <w:jc w:val="left"/>
            </w:pPr>
            <w:r w:rsidRPr="00D407B7">
              <w:t>(JA)</w:t>
            </w:r>
          </w:p>
        </w:tc>
        <w:tc>
          <w:tcPr>
            <w:tcW w:w="4820" w:type="dxa"/>
          </w:tcPr>
          <w:p w14:paraId="029E4DA3" w14:textId="77777777" w:rsidR="00AB39AB" w:rsidRPr="00D407B7" w:rsidRDefault="00AB39AB" w:rsidP="00CE5739">
            <w:pPr>
              <w:jc w:val="left"/>
            </w:pPr>
            <w:r w:rsidRPr="00D407B7">
              <w:t>Interim Executive Director of Health and Wellbeing</w:t>
            </w:r>
            <w:r w:rsidR="00AB424D">
              <w:t xml:space="preserve"> </w:t>
            </w:r>
          </w:p>
        </w:tc>
      </w:tr>
      <w:tr w:rsidR="00AB39AB" w:rsidRPr="00D407B7" w14:paraId="0266470B" w14:textId="77777777" w:rsidTr="00C4299E">
        <w:trPr>
          <w:jc w:val="center"/>
        </w:trPr>
        <w:tc>
          <w:tcPr>
            <w:tcW w:w="3544" w:type="dxa"/>
            <w:shd w:val="clear" w:color="auto" w:fill="auto"/>
          </w:tcPr>
          <w:p w14:paraId="5B2E2579" w14:textId="77777777" w:rsidR="00AB39AB" w:rsidRPr="00C4299E" w:rsidRDefault="00AB39AB" w:rsidP="00AB39AB">
            <w:pPr>
              <w:jc w:val="left"/>
            </w:pPr>
            <w:r w:rsidRPr="00C4299E">
              <w:t>Rhiannon Beaumont-Wood</w:t>
            </w:r>
          </w:p>
        </w:tc>
        <w:tc>
          <w:tcPr>
            <w:tcW w:w="1276" w:type="dxa"/>
          </w:tcPr>
          <w:p w14:paraId="14607A83" w14:textId="77777777" w:rsidR="00AB39AB" w:rsidRPr="00D407B7" w:rsidRDefault="00AB39AB" w:rsidP="00AB39AB">
            <w:pPr>
              <w:jc w:val="left"/>
            </w:pPr>
            <w:r w:rsidRPr="00D407B7">
              <w:t>(RB-W)</w:t>
            </w:r>
          </w:p>
        </w:tc>
        <w:tc>
          <w:tcPr>
            <w:tcW w:w="4820" w:type="dxa"/>
          </w:tcPr>
          <w:p w14:paraId="5448A81D" w14:textId="77777777" w:rsidR="00AB39AB" w:rsidRPr="00D407B7" w:rsidRDefault="00AB39AB" w:rsidP="00E30D5B">
            <w:pPr>
              <w:jc w:val="left"/>
            </w:pPr>
            <w:r w:rsidRPr="00D407B7">
              <w:t xml:space="preserve">Executive Director of Quality, Nursing </w:t>
            </w:r>
            <w:r>
              <w:t>and Allied Health Professionals</w:t>
            </w:r>
          </w:p>
        </w:tc>
      </w:tr>
      <w:tr w:rsidR="00132119" w:rsidRPr="0065542E" w14:paraId="16E73CBC" w14:textId="77777777" w:rsidTr="00C4299E">
        <w:trPr>
          <w:jc w:val="center"/>
        </w:trPr>
        <w:tc>
          <w:tcPr>
            <w:tcW w:w="3544" w:type="dxa"/>
            <w:shd w:val="clear" w:color="auto" w:fill="auto"/>
          </w:tcPr>
          <w:p w14:paraId="28C010B1" w14:textId="77777777" w:rsidR="00132119" w:rsidRPr="00C4299E" w:rsidRDefault="00132119" w:rsidP="00E43FD3">
            <w:pPr>
              <w:jc w:val="left"/>
            </w:pPr>
            <w:r w:rsidRPr="00C4299E">
              <w:t xml:space="preserve">Kate Eden </w:t>
            </w:r>
          </w:p>
        </w:tc>
        <w:tc>
          <w:tcPr>
            <w:tcW w:w="1276" w:type="dxa"/>
          </w:tcPr>
          <w:p w14:paraId="6B4D29C5" w14:textId="77777777" w:rsidR="00132119" w:rsidRPr="0065542E" w:rsidRDefault="00132119" w:rsidP="00E43FD3">
            <w:pPr>
              <w:jc w:val="left"/>
            </w:pPr>
            <w:r w:rsidRPr="0065542E">
              <w:t>(KE)</w:t>
            </w:r>
          </w:p>
        </w:tc>
        <w:tc>
          <w:tcPr>
            <w:tcW w:w="4820" w:type="dxa"/>
          </w:tcPr>
          <w:p w14:paraId="0A4868C0" w14:textId="77777777" w:rsidR="00132119" w:rsidRPr="0065542E" w:rsidRDefault="00132119" w:rsidP="00E43FD3">
            <w:pPr>
              <w:jc w:val="left"/>
            </w:pPr>
            <w:r w:rsidRPr="0065542E">
              <w:t>Non-Executive Director, Vice Chair and Chair of Quality, Safety and Improvement Committee</w:t>
            </w:r>
          </w:p>
        </w:tc>
      </w:tr>
      <w:tr w:rsidR="00AB39AB" w:rsidRPr="00D407B7" w14:paraId="7CCE4FB2" w14:textId="77777777" w:rsidTr="00C4299E">
        <w:trPr>
          <w:jc w:val="center"/>
        </w:trPr>
        <w:tc>
          <w:tcPr>
            <w:tcW w:w="3544" w:type="dxa"/>
            <w:shd w:val="clear" w:color="auto" w:fill="auto"/>
          </w:tcPr>
          <w:p w14:paraId="4011A781" w14:textId="77777777" w:rsidR="00AB39AB" w:rsidRPr="00C4299E" w:rsidRDefault="00AB39AB" w:rsidP="00AB39AB">
            <w:pPr>
              <w:jc w:val="left"/>
            </w:pPr>
            <w:r w:rsidRPr="00C4299E">
              <w:t>Dyfed Edwards</w:t>
            </w:r>
          </w:p>
        </w:tc>
        <w:tc>
          <w:tcPr>
            <w:tcW w:w="1276" w:type="dxa"/>
          </w:tcPr>
          <w:p w14:paraId="0053C3FA" w14:textId="77777777" w:rsidR="00AB39AB" w:rsidRPr="00D407B7" w:rsidRDefault="00AB39AB" w:rsidP="00AB39AB">
            <w:pPr>
              <w:jc w:val="left"/>
            </w:pPr>
            <w:r w:rsidRPr="00D407B7">
              <w:t>(DE)</w:t>
            </w:r>
          </w:p>
        </w:tc>
        <w:tc>
          <w:tcPr>
            <w:tcW w:w="4820" w:type="dxa"/>
          </w:tcPr>
          <w:p w14:paraId="28920592" w14:textId="77777777" w:rsidR="00AB39AB" w:rsidRDefault="00AB39AB" w:rsidP="00CE5739">
            <w:pPr>
              <w:jc w:val="left"/>
            </w:pPr>
            <w:r w:rsidRPr="00D407B7">
              <w:t>Non-Executive Director and Chair of Audit and Corporate Governance Committee</w:t>
            </w:r>
            <w:r w:rsidR="00845414">
              <w:t xml:space="preserve"> </w:t>
            </w:r>
          </w:p>
          <w:p w14:paraId="04EC6AEA" w14:textId="77777777" w:rsidR="00327B89" w:rsidRPr="00327B89" w:rsidRDefault="00327B89" w:rsidP="00327B89">
            <w:pPr>
              <w:jc w:val="left"/>
              <w:rPr>
                <w:i/>
              </w:rPr>
            </w:pPr>
            <w:r w:rsidRPr="00327B89">
              <w:rPr>
                <w:i/>
              </w:rPr>
              <w:t>(left between 11:00 and 12:00)</w:t>
            </w:r>
          </w:p>
        </w:tc>
      </w:tr>
      <w:tr w:rsidR="00AB39AB" w:rsidRPr="00D407B7" w14:paraId="4E25A235" w14:textId="77777777" w:rsidTr="00C4299E">
        <w:trPr>
          <w:trHeight w:val="648"/>
          <w:jc w:val="center"/>
        </w:trPr>
        <w:tc>
          <w:tcPr>
            <w:tcW w:w="3544" w:type="dxa"/>
            <w:shd w:val="clear" w:color="auto" w:fill="auto"/>
          </w:tcPr>
          <w:p w14:paraId="11D464D1" w14:textId="77777777" w:rsidR="00AB39AB" w:rsidRPr="00C4299E" w:rsidRDefault="00AB39AB" w:rsidP="00AB39AB">
            <w:pPr>
              <w:jc w:val="left"/>
            </w:pPr>
            <w:r w:rsidRPr="00C4299E">
              <w:t>Huw George</w:t>
            </w:r>
          </w:p>
        </w:tc>
        <w:tc>
          <w:tcPr>
            <w:tcW w:w="1276" w:type="dxa"/>
          </w:tcPr>
          <w:p w14:paraId="1C2C50DD" w14:textId="77777777" w:rsidR="00AB39AB" w:rsidRPr="00D407B7" w:rsidRDefault="00AB39AB" w:rsidP="00AB39AB">
            <w:pPr>
              <w:jc w:val="left"/>
            </w:pPr>
            <w:r w:rsidRPr="00D407B7">
              <w:t>(HG)</w:t>
            </w:r>
          </w:p>
        </w:tc>
        <w:tc>
          <w:tcPr>
            <w:tcW w:w="4820" w:type="dxa"/>
          </w:tcPr>
          <w:p w14:paraId="6B26E4D5" w14:textId="77777777" w:rsidR="00AB39AB" w:rsidRPr="00D407B7" w:rsidRDefault="00AB39AB" w:rsidP="00AB39AB">
            <w:pPr>
              <w:jc w:val="left"/>
            </w:pPr>
            <w:r w:rsidRPr="00D407B7">
              <w:t>Deputy Chief Executive and Executive Director of Finance and Operations</w:t>
            </w:r>
          </w:p>
        </w:tc>
      </w:tr>
      <w:tr w:rsidR="00AB39AB" w:rsidRPr="00D407B7" w14:paraId="2F5D31E6" w14:textId="77777777" w:rsidTr="00C4299E">
        <w:trPr>
          <w:jc w:val="center"/>
        </w:trPr>
        <w:tc>
          <w:tcPr>
            <w:tcW w:w="3544" w:type="dxa"/>
            <w:shd w:val="clear" w:color="auto" w:fill="auto"/>
          </w:tcPr>
          <w:p w14:paraId="14CCBB93" w14:textId="77777777" w:rsidR="00AB39AB" w:rsidRPr="00C4299E" w:rsidRDefault="00AB39AB" w:rsidP="00AB39AB">
            <w:pPr>
              <w:jc w:val="left"/>
            </w:pPr>
            <w:r w:rsidRPr="00C4299E">
              <w:t>Judi Rhys</w:t>
            </w:r>
          </w:p>
        </w:tc>
        <w:tc>
          <w:tcPr>
            <w:tcW w:w="1276" w:type="dxa"/>
          </w:tcPr>
          <w:p w14:paraId="0D44B499" w14:textId="77777777" w:rsidR="00AB39AB" w:rsidRPr="00D407B7" w:rsidRDefault="00AB39AB" w:rsidP="00AB39AB">
            <w:pPr>
              <w:jc w:val="left"/>
            </w:pPr>
            <w:r w:rsidRPr="00D407B7">
              <w:t>(JR)</w:t>
            </w:r>
          </w:p>
        </w:tc>
        <w:tc>
          <w:tcPr>
            <w:tcW w:w="4820" w:type="dxa"/>
          </w:tcPr>
          <w:p w14:paraId="1FD0FBEB" w14:textId="77777777" w:rsidR="00AB39AB" w:rsidRPr="00D407B7" w:rsidRDefault="00AB39AB" w:rsidP="00E30D5B">
            <w:pPr>
              <w:jc w:val="left"/>
            </w:pPr>
            <w:r w:rsidRPr="00D407B7">
              <w:t>Non-Executive Director (Third Sector) and Chair of the People and Organisational Development Committee</w:t>
            </w:r>
          </w:p>
        </w:tc>
      </w:tr>
      <w:tr w:rsidR="006029B9" w:rsidRPr="00D407B7" w14:paraId="100AC54F" w14:textId="77777777" w:rsidTr="006029B9">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5021FE" w14:textId="77777777" w:rsidR="006029B9" w:rsidRPr="00C4299E" w:rsidRDefault="006029B9" w:rsidP="00E43FD3">
            <w:pPr>
              <w:jc w:val="left"/>
            </w:pPr>
            <w:r w:rsidRPr="00C4299E">
              <w:t>Quentin Sandifer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34D429" w14:textId="77777777" w:rsidR="006029B9" w:rsidRPr="00D407B7" w:rsidRDefault="006029B9" w:rsidP="00E43FD3">
            <w:pPr>
              <w:jc w:val="left"/>
            </w:pPr>
            <w:r w:rsidRPr="00D407B7">
              <w:t>(QS)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BBBD5EE" w14:textId="77777777" w:rsidR="006029B9" w:rsidRPr="00D407B7" w:rsidRDefault="006029B9" w:rsidP="00E43FD3">
            <w:pPr>
              <w:jc w:val="left"/>
            </w:pPr>
            <w:r w:rsidRPr="00D407B7">
              <w:t>Executive Director of Public Health Services/Medical Director</w:t>
            </w:r>
          </w:p>
        </w:tc>
      </w:tr>
      <w:tr w:rsidR="00030ACB" w:rsidRPr="00D407B7" w14:paraId="15544301" w14:textId="77777777" w:rsidTr="00410CAA">
        <w:trPr>
          <w:trHeight w:val="304"/>
          <w:jc w:val="center"/>
        </w:trPr>
        <w:tc>
          <w:tcPr>
            <w:tcW w:w="3544" w:type="dxa"/>
            <w:shd w:val="clear" w:color="auto" w:fill="auto"/>
          </w:tcPr>
          <w:p w14:paraId="084023DF" w14:textId="77777777" w:rsidR="00030ACB" w:rsidRPr="00C4299E" w:rsidRDefault="00030ACB" w:rsidP="00410CAA">
            <w:pPr>
              <w:jc w:val="left"/>
            </w:pPr>
            <w:r w:rsidRPr="00C4299E">
              <w:t>Stephen Palmer</w:t>
            </w:r>
          </w:p>
        </w:tc>
        <w:tc>
          <w:tcPr>
            <w:tcW w:w="1276" w:type="dxa"/>
          </w:tcPr>
          <w:p w14:paraId="1FACD005" w14:textId="77777777" w:rsidR="00030ACB" w:rsidRPr="00D407B7" w:rsidRDefault="00030ACB" w:rsidP="00410CAA">
            <w:pPr>
              <w:jc w:val="left"/>
            </w:pPr>
            <w:r>
              <w:t>(S</w:t>
            </w:r>
            <w:r w:rsidRPr="00D407B7">
              <w:t>P)</w:t>
            </w:r>
          </w:p>
        </w:tc>
        <w:tc>
          <w:tcPr>
            <w:tcW w:w="4820" w:type="dxa"/>
          </w:tcPr>
          <w:p w14:paraId="43B51786" w14:textId="77777777" w:rsidR="00030ACB" w:rsidRPr="00D407B7" w:rsidRDefault="00030ACB" w:rsidP="00410CAA">
            <w:pPr>
              <w:jc w:val="left"/>
            </w:pPr>
            <w:r w:rsidRPr="00D407B7">
              <w:t>Non-Executive Director</w:t>
            </w:r>
          </w:p>
        </w:tc>
      </w:tr>
      <w:tr w:rsidR="00AB39AB" w:rsidRPr="00D407B7" w14:paraId="48967AD0" w14:textId="77777777" w:rsidTr="00696C86">
        <w:trPr>
          <w:trHeight w:val="310"/>
          <w:jc w:val="center"/>
        </w:trPr>
        <w:tc>
          <w:tcPr>
            <w:tcW w:w="9640" w:type="dxa"/>
            <w:gridSpan w:val="3"/>
          </w:tcPr>
          <w:p w14:paraId="5C9B303D" w14:textId="77777777" w:rsidR="00AB39AB" w:rsidRPr="00D407B7" w:rsidRDefault="00AB39AB" w:rsidP="00AB39AB">
            <w:pPr>
              <w:spacing w:before="120"/>
              <w:jc w:val="left"/>
            </w:pPr>
            <w:r w:rsidRPr="00D407B7">
              <w:rPr>
                <w:b/>
              </w:rPr>
              <w:t>In Attendance:</w:t>
            </w:r>
          </w:p>
        </w:tc>
      </w:tr>
      <w:tr w:rsidR="006029B9" w:rsidRPr="00D407B7" w14:paraId="29B67C02" w14:textId="77777777" w:rsidTr="00E43FD3">
        <w:trPr>
          <w:trHeight w:val="304"/>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F2518E" w14:textId="77777777" w:rsidR="006029B9" w:rsidRPr="00C4299E" w:rsidRDefault="00327B89" w:rsidP="00327B89">
            <w:pPr>
              <w:jc w:val="left"/>
            </w:pPr>
            <w:r>
              <w:t>Sally Attwood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2FA62E" w14:textId="77777777" w:rsidR="006029B9" w:rsidRPr="00C4299E" w:rsidRDefault="00327B89" w:rsidP="00E43FD3">
            <w:pPr>
              <w:jc w:val="left"/>
            </w:pPr>
            <w:r>
              <w:t>(SA)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506F446" w14:textId="77777777" w:rsidR="006029B9" w:rsidRDefault="00327B89" w:rsidP="00E43FD3">
            <w:pPr>
              <w:jc w:val="left"/>
            </w:pPr>
            <w:r>
              <w:t xml:space="preserve">Deputy Director – Strategy and Planning </w:t>
            </w:r>
          </w:p>
          <w:p w14:paraId="16D5F8CD" w14:textId="77777777" w:rsidR="00327B89" w:rsidRPr="00E30D5B" w:rsidRDefault="00327B89" w:rsidP="00327B89">
            <w:pPr>
              <w:jc w:val="left"/>
            </w:pPr>
            <w:r w:rsidRPr="00327B89">
              <w:rPr>
                <w:i/>
              </w:rPr>
              <w:t xml:space="preserve">(left </w:t>
            </w:r>
            <w:r>
              <w:rPr>
                <w:i/>
              </w:rPr>
              <w:t>at 11:25</w:t>
            </w:r>
            <w:r w:rsidRPr="00327B89">
              <w:rPr>
                <w:i/>
              </w:rPr>
              <w:t>)</w:t>
            </w:r>
          </w:p>
        </w:tc>
      </w:tr>
      <w:tr w:rsidR="00327B89" w:rsidRPr="00D407B7" w14:paraId="1EB39FF9" w14:textId="77777777" w:rsidTr="00696C86">
        <w:trPr>
          <w:trHeight w:val="304"/>
          <w:jc w:val="center"/>
        </w:trPr>
        <w:tc>
          <w:tcPr>
            <w:tcW w:w="3544" w:type="dxa"/>
          </w:tcPr>
          <w:p w14:paraId="58C020A8" w14:textId="77777777" w:rsidR="00327B89" w:rsidRPr="00C4299E" w:rsidRDefault="00327B89" w:rsidP="00327B89">
            <w:pPr>
              <w:jc w:val="left"/>
            </w:pPr>
            <w:r w:rsidRPr="00C4299E">
              <w:t xml:space="preserve">Mark Bellis </w:t>
            </w:r>
          </w:p>
        </w:tc>
        <w:tc>
          <w:tcPr>
            <w:tcW w:w="1276" w:type="dxa"/>
          </w:tcPr>
          <w:p w14:paraId="5DB1B541" w14:textId="77777777" w:rsidR="00327B89" w:rsidRPr="00C4299E" w:rsidRDefault="00327B89" w:rsidP="00327B89">
            <w:pPr>
              <w:jc w:val="left"/>
            </w:pPr>
            <w:r w:rsidRPr="00C4299E">
              <w:t>(MB)</w:t>
            </w:r>
          </w:p>
        </w:tc>
        <w:tc>
          <w:tcPr>
            <w:tcW w:w="4820" w:type="dxa"/>
          </w:tcPr>
          <w:p w14:paraId="058371DB" w14:textId="77777777" w:rsidR="00327B89" w:rsidRPr="00E30D5B" w:rsidRDefault="00327B89" w:rsidP="00327B89">
            <w:pPr>
              <w:jc w:val="left"/>
            </w:pPr>
            <w:r w:rsidRPr="00C4299E">
              <w:t>Director of Policy and International Health, WHO Collaborating Centre on Investment for Health &amp; Well-being (WHO CC)</w:t>
            </w:r>
          </w:p>
        </w:tc>
      </w:tr>
      <w:tr w:rsidR="00327B89" w:rsidRPr="00D407B7" w14:paraId="5F2F818C" w14:textId="77777777" w:rsidTr="00696C86">
        <w:trPr>
          <w:trHeight w:val="304"/>
          <w:jc w:val="center"/>
        </w:trPr>
        <w:tc>
          <w:tcPr>
            <w:tcW w:w="3544" w:type="dxa"/>
          </w:tcPr>
          <w:p w14:paraId="6C0CDCE2" w14:textId="77777777" w:rsidR="00327B89" w:rsidRPr="00AB424D" w:rsidRDefault="00327B89" w:rsidP="00327B89">
            <w:pPr>
              <w:jc w:val="left"/>
            </w:pPr>
            <w:r w:rsidRPr="00AB424D">
              <w:lastRenderedPageBreak/>
              <w:t>Sian Bolton</w:t>
            </w:r>
          </w:p>
        </w:tc>
        <w:tc>
          <w:tcPr>
            <w:tcW w:w="1276" w:type="dxa"/>
          </w:tcPr>
          <w:p w14:paraId="4482CA9B" w14:textId="77777777" w:rsidR="00327B89" w:rsidRPr="00D407B7" w:rsidRDefault="00327B89" w:rsidP="00327B89">
            <w:pPr>
              <w:jc w:val="left"/>
            </w:pPr>
            <w:r w:rsidRPr="00D407B7">
              <w:t>(SB)</w:t>
            </w:r>
          </w:p>
        </w:tc>
        <w:tc>
          <w:tcPr>
            <w:tcW w:w="4820" w:type="dxa"/>
          </w:tcPr>
          <w:p w14:paraId="68A36390" w14:textId="77777777" w:rsidR="00327B89" w:rsidRPr="00D407B7" w:rsidRDefault="00327B89" w:rsidP="00327B89">
            <w:pPr>
              <w:jc w:val="left"/>
            </w:pPr>
            <w:r w:rsidRPr="00D407B7">
              <w:t xml:space="preserve">Interim Transition </w:t>
            </w:r>
            <w:r>
              <w:t xml:space="preserve">Director, Knowledge Directorate, </w:t>
            </w:r>
          </w:p>
        </w:tc>
      </w:tr>
      <w:tr w:rsidR="00327B89" w:rsidRPr="00D407B7" w14:paraId="18376D64" w14:textId="77777777" w:rsidTr="00410CAA">
        <w:trPr>
          <w:trHeight w:val="304"/>
          <w:jc w:val="center"/>
        </w:trPr>
        <w:tc>
          <w:tcPr>
            <w:tcW w:w="3544" w:type="dxa"/>
            <w:tcBorders>
              <w:top w:val="single" w:sz="4" w:space="0" w:color="auto"/>
              <w:left w:val="single" w:sz="4" w:space="0" w:color="auto"/>
              <w:bottom w:val="single" w:sz="4" w:space="0" w:color="auto"/>
              <w:right w:val="single" w:sz="4" w:space="0" w:color="auto"/>
            </w:tcBorders>
          </w:tcPr>
          <w:p w14:paraId="3C89C9D3" w14:textId="77777777" w:rsidR="00327B89" w:rsidRPr="00AB424D" w:rsidRDefault="00327B89" w:rsidP="00327B89">
            <w:pPr>
              <w:jc w:val="left"/>
            </w:pPr>
            <w:r w:rsidRPr="00AB424D">
              <w:t>John Boulton</w:t>
            </w:r>
          </w:p>
        </w:tc>
        <w:tc>
          <w:tcPr>
            <w:tcW w:w="1276" w:type="dxa"/>
            <w:tcBorders>
              <w:top w:val="single" w:sz="4" w:space="0" w:color="auto"/>
              <w:left w:val="single" w:sz="4" w:space="0" w:color="auto"/>
              <w:bottom w:val="single" w:sz="4" w:space="0" w:color="auto"/>
              <w:right w:val="single" w:sz="4" w:space="0" w:color="auto"/>
            </w:tcBorders>
          </w:tcPr>
          <w:p w14:paraId="0D10880F" w14:textId="77777777" w:rsidR="00327B89" w:rsidRPr="00D407B7" w:rsidRDefault="00327B89" w:rsidP="00327B89">
            <w:pPr>
              <w:jc w:val="left"/>
            </w:pPr>
            <w:r w:rsidRPr="00D407B7">
              <w:t>(JB)</w:t>
            </w:r>
          </w:p>
        </w:tc>
        <w:tc>
          <w:tcPr>
            <w:tcW w:w="4820" w:type="dxa"/>
            <w:tcBorders>
              <w:top w:val="single" w:sz="4" w:space="0" w:color="auto"/>
              <w:left w:val="single" w:sz="4" w:space="0" w:color="auto"/>
              <w:bottom w:val="single" w:sz="4" w:space="0" w:color="auto"/>
              <w:right w:val="single" w:sz="4" w:space="0" w:color="auto"/>
            </w:tcBorders>
          </w:tcPr>
          <w:p w14:paraId="4E406A36" w14:textId="77777777" w:rsidR="00327B89" w:rsidRPr="00D407B7" w:rsidRDefault="00327B89" w:rsidP="00327B89">
            <w:pPr>
              <w:jc w:val="left"/>
            </w:pPr>
            <w:r w:rsidRPr="00C13086">
              <w:t xml:space="preserve">Director of NHS Quality Improvement and Patient Safety/Director Improvement </w:t>
            </w:r>
            <w:proofErr w:type="spellStart"/>
            <w:r w:rsidRPr="00C13086">
              <w:t>Cymru</w:t>
            </w:r>
            <w:proofErr w:type="spellEnd"/>
            <w:r>
              <w:t xml:space="preserve"> </w:t>
            </w:r>
          </w:p>
        </w:tc>
      </w:tr>
      <w:tr w:rsidR="00327B89" w:rsidRPr="00C4299E" w14:paraId="47A698E6" w14:textId="77777777" w:rsidTr="00696C86">
        <w:trPr>
          <w:trHeight w:val="304"/>
          <w:jc w:val="center"/>
        </w:trPr>
        <w:tc>
          <w:tcPr>
            <w:tcW w:w="3544" w:type="dxa"/>
          </w:tcPr>
          <w:p w14:paraId="216C4BA7" w14:textId="77777777" w:rsidR="00327B89" w:rsidRPr="00C4299E" w:rsidRDefault="00327B89" w:rsidP="00327B89">
            <w:pPr>
              <w:jc w:val="left"/>
            </w:pPr>
            <w:r w:rsidRPr="00C4299E">
              <w:t>Phil Bushby</w:t>
            </w:r>
          </w:p>
          <w:p w14:paraId="529F1398" w14:textId="77777777" w:rsidR="00327B89" w:rsidRPr="00C4299E" w:rsidRDefault="00327B89" w:rsidP="00327B89">
            <w:pPr>
              <w:jc w:val="left"/>
            </w:pPr>
          </w:p>
        </w:tc>
        <w:tc>
          <w:tcPr>
            <w:tcW w:w="1276" w:type="dxa"/>
          </w:tcPr>
          <w:p w14:paraId="3BBF8476" w14:textId="77777777" w:rsidR="00327B89" w:rsidRPr="00C4299E" w:rsidRDefault="00327B89" w:rsidP="00327B89">
            <w:pPr>
              <w:jc w:val="left"/>
            </w:pPr>
            <w:r w:rsidRPr="00C4299E">
              <w:t>(PB)</w:t>
            </w:r>
          </w:p>
        </w:tc>
        <w:tc>
          <w:tcPr>
            <w:tcW w:w="4820" w:type="dxa"/>
          </w:tcPr>
          <w:p w14:paraId="3D497F54" w14:textId="77777777" w:rsidR="00327B89" w:rsidRPr="00C4299E" w:rsidRDefault="00327B89" w:rsidP="00327B89">
            <w:pPr>
              <w:jc w:val="left"/>
            </w:pPr>
            <w:r w:rsidRPr="00C4299E">
              <w:t>Director of People and Organisational Development</w:t>
            </w:r>
          </w:p>
        </w:tc>
      </w:tr>
      <w:tr w:rsidR="00327B89" w:rsidRPr="00C4299E" w14:paraId="2FFA7A4C" w14:textId="77777777" w:rsidTr="00696C86">
        <w:trPr>
          <w:trHeight w:val="638"/>
          <w:jc w:val="center"/>
        </w:trPr>
        <w:tc>
          <w:tcPr>
            <w:tcW w:w="3544" w:type="dxa"/>
            <w:shd w:val="clear" w:color="auto" w:fill="auto"/>
          </w:tcPr>
          <w:p w14:paraId="5D449229" w14:textId="77777777" w:rsidR="00327B89" w:rsidRPr="00C4299E" w:rsidRDefault="00327B89" w:rsidP="00327B89">
            <w:pPr>
              <w:jc w:val="left"/>
            </w:pPr>
            <w:r w:rsidRPr="00C4299E">
              <w:t>Helen Bushell</w:t>
            </w:r>
          </w:p>
        </w:tc>
        <w:tc>
          <w:tcPr>
            <w:tcW w:w="1276" w:type="dxa"/>
            <w:shd w:val="clear" w:color="auto" w:fill="auto"/>
          </w:tcPr>
          <w:p w14:paraId="2AA80A3C" w14:textId="77777777" w:rsidR="00327B89" w:rsidRPr="00C4299E" w:rsidRDefault="00327B89" w:rsidP="00327B89">
            <w:pPr>
              <w:jc w:val="left"/>
            </w:pPr>
            <w:r w:rsidRPr="00C4299E">
              <w:t>(HB)</w:t>
            </w:r>
          </w:p>
        </w:tc>
        <w:tc>
          <w:tcPr>
            <w:tcW w:w="4820" w:type="dxa"/>
            <w:shd w:val="clear" w:color="auto" w:fill="auto"/>
          </w:tcPr>
          <w:p w14:paraId="0B9D6363" w14:textId="77777777" w:rsidR="00327B89" w:rsidRPr="00C4299E" w:rsidRDefault="00327B89" w:rsidP="00327B89">
            <w:pPr>
              <w:jc w:val="left"/>
            </w:pPr>
            <w:r w:rsidRPr="00C4299E">
              <w:t>Board Secretary and Head of Board Business Unit, via teleconference</w:t>
            </w:r>
          </w:p>
        </w:tc>
      </w:tr>
      <w:tr w:rsidR="00327B89" w:rsidRPr="00D407B7" w14:paraId="549FA5B1" w14:textId="77777777" w:rsidTr="00A500C9">
        <w:trPr>
          <w:trHeight w:val="304"/>
          <w:jc w:val="center"/>
        </w:trPr>
        <w:tc>
          <w:tcPr>
            <w:tcW w:w="3544" w:type="dxa"/>
          </w:tcPr>
          <w:p w14:paraId="37328B54" w14:textId="77777777" w:rsidR="00327B89" w:rsidRDefault="00327B89" w:rsidP="00327B89">
            <w:pPr>
              <w:jc w:val="left"/>
            </w:pPr>
            <w:r>
              <w:t>Robin Howe</w:t>
            </w:r>
          </w:p>
        </w:tc>
        <w:tc>
          <w:tcPr>
            <w:tcW w:w="1276" w:type="dxa"/>
          </w:tcPr>
          <w:p w14:paraId="2917E790" w14:textId="77777777" w:rsidR="00327B89" w:rsidRDefault="00327B89" w:rsidP="00327B89">
            <w:pPr>
              <w:jc w:val="left"/>
            </w:pPr>
            <w:r>
              <w:t>(RH)</w:t>
            </w:r>
          </w:p>
        </w:tc>
        <w:tc>
          <w:tcPr>
            <w:tcW w:w="4820" w:type="dxa"/>
          </w:tcPr>
          <w:p w14:paraId="151B552F" w14:textId="77777777" w:rsidR="00327B89" w:rsidRDefault="00327B89" w:rsidP="00327B89">
            <w:pPr>
              <w:jc w:val="left"/>
            </w:pPr>
            <w:r>
              <w:t xml:space="preserve">Professional Lead Consultant, Microbiology </w:t>
            </w:r>
          </w:p>
        </w:tc>
      </w:tr>
      <w:tr w:rsidR="00327B89" w:rsidRPr="00D407B7" w14:paraId="7F7C4811" w14:textId="77777777" w:rsidTr="00A500C9">
        <w:trPr>
          <w:trHeight w:val="304"/>
          <w:jc w:val="center"/>
        </w:trPr>
        <w:tc>
          <w:tcPr>
            <w:tcW w:w="3544" w:type="dxa"/>
          </w:tcPr>
          <w:p w14:paraId="0BA46B4B" w14:textId="77777777" w:rsidR="00327B89" w:rsidRDefault="00327B89" w:rsidP="00327B89">
            <w:pPr>
              <w:jc w:val="left"/>
            </w:pPr>
            <w:r>
              <w:t>Peter Jones</w:t>
            </w:r>
          </w:p>
        </w:tc>
        <w:tc>
          <w:tcPr>
            <w:tcW w:w="1276" w:type="dxa"/>
          </w:tcPr>
          <w:p w14:paraId="3DB4D69E" w14:textId="77777777" w:rsidR="00327B89" w:rsidRDefault="00327B89" w:rsidP="00327B89">
            <w:pPr>
              <w:jc w:val="left"/>
            </w:pPr>
            <w:r>
              <w:t>(PJ)</w:t>
            </w:r>
          </w:p>
        </w:tc>
        <w:tc>
          <w:tcPr>
            <w:tcW w:w="4820" w:type="dxa"/>
          </w:tcPr>
          <w:p w14:paraId="5D9A31FB" w14:textId="77777777" w:rsidR="00327B89" w:rsidRDefault="00327B89" w:rsidP="00327B89">
            <w:pPr>
              <w:jc w:val="left"/>
            </w:pPr>
            <w:r>
              <w:t xml:space="preserve">Welsh Government </w:t>
            </w:r>
          </w:p>
        </w:tc>
      </w:tr>
      <w:tr w:rsidR="00327B89" w:rsidRPr="00D407B7" w14:paraId="2BBBF50B" w14:textId="77777777" w:rsidTr="00A500C9">
        <w:trPr>
          <w:trHeight w:val="304"/>
          <w:jc w:val="center"/>
        </w:trPr>
        <w:tc>
          <w:tcPr>
            <w:tcW w:w="3544" w:type="dxa"/>
          </w:tcPr>
          <w:p w14:paraId="5DE5A4DE" w14:textId="77777777" w:rsidR="00327B89" w:rsidRDefault="00327B89" w:rsidP="00327B89">
            <w:pPr>
              <w:jc w:val="left"/>
            </w:pPr>
            <w:r>
              <w:t>Andrew Jones</w:t>
            </w:r>
          </w:p>
          <w:p w14:paraId="4DF2B9AE" w14:textId="77777777" w:rsidR="00327B89" w:rsidRPr="00D407B7" w:rsidRDefault="00327B89" w:rsidP="00327B89">
            <w:pPr>
              <w:jc w:val="left"/>
            </w:pPr>
          </w:p>
        </w:tc>
        <w:tc>
          <w:tcPr>
            <w:tcW w:w="1276" w:type="dxa"/>
          </w:tcPr>
          <w:p w14:paraId="73CA2AAA" w14:textId="77777777" w:rsidR="00327B89" w:rsidRPr="00D407B7" w:rsidRDefault="00327B89" w:rsidP="00327B89">
            <w:pPr>
              <w:jc w:val="left"/>
            </w:pPr>
            <w:r>
              <w:t>(AJ)</w:t>
            </w:r>
          </w:p>
        </w:tc>
        <w:tc>
          <w:tcPr>
            <w:tcW w:w="4820" w:type="dxa"/>
          </w:tcPr>
          <w:p w14:paraId="2DD3AF86" w14:textId="77777777" w:rsidR="00327B89" w:rsidRDefault="00327B89" w:rsidP="00327B89">
            <w:pPr>
              <w:jc w:val="left"/>
            </w:pPr>
            <w:r>
              <w:t xml:space="preserve">Deputy Director of Public Health Services </w:t>
            </w:r>
          </w:p>
          <w:p w14:paraId="2D017395" w14:textId="77777777" w:rsidR="00327B89" w:rsidRPr="00D407B7" w:rsidRDefault="00327B89" w:rsidP="00327B89">
            <w:pPr>
              <w:jc w:val="left"/>
            </w:pPr>
            <w:r w:rsidRPr="00327B89">
              <w:rPr>
                <w:i/>
              </w:rPr>
              <w:t xml:space="preserve">(left </w:t>
            </w:r>
            <w:r>
              <w:rPr>
                <w:i/>
              </w:rPr>
              <w:t>at 12:00</w:t>
            </w:r>
            <w:r w:rsidRPr="00327B89">
              <w:rPr>
                <w:i/>
              </w:rPr>
              <w:t>)</w:t>
            </w:r>
          </w:p>
        </w:tc>
      </w:tr>
      <w:tr w:rsidR="00327B89" w:rsidRPr="00C4299E" w14:paraId="55F7EC9C" w14:textId="77777777" w:rsidTr="00A500C9">
        <w:trPr>
          <w:trHeight w:val="304"/>
          <w:jc w:val="center"/>
        </w:trPr>
        <w:tc>
          <w:tcPr>
            <w:tcW w:w="3544" w:type="dxa"/>
          </w:tcPr>
          <w:p w14:paraId="64B47FA2" w14:textId="77777777" w:rsidR="00327B89" w:rsidRPr="00C4299E" w:rsidRDefault="00327B89" w:rsidP="00327B89">
            <w:pPr>
              <w:jc w:val="left"/>
            </w:pPr>
            <w:r w:rsidRPr="00C4299E">
              <w:t>Reanne Reffell</w:t>
            </w:r>
          </w:p>
        </w:tc>
        <w:tc>
          <w:tcPr>
            <w:tcW w:w="1276" w:type="dxa"/>
          </w:tcPr>
          <w:p w14:paraId="7B91657B" w14:textId="77777777" w:rsidR="00327B89" w:rsidRPr="00C4299E" w:rsidRDefault="00327B89" w:rsidP="00327B89">
            <w:pPr>
              <w:jc w:val="left"/>
            </w:pPr>
            <w:r w:rsidRPr="00C4299E">
              <w:t>(RR)</w:t>
            </w:r>
          </w:p>
        </w:tc>
        <w:tc>
          <w:tcPr>
            <w:tcW w:w="4820" w:type="dxa"/>
          </w:tcPr>
          <w:p w14:paraId="13EF14A6" w14:textId="77777777" w:rsidR="00327B89" w:rsidRPr="00C4299E" w:rsidRDefault="00327B89" w:rsidP="00327B89">
            <w:pPr>
              <w:jc w:val="left"/>
            </w:pPr>
            <w:r w:rsidRPr="00C4299E">
              <w:t>Corporate Governance Officer (Secretariat)</w:t>
            </w:r>
          </w:p>
        </w:tc>
      </w:tr>
      <w:tr w:rsidR="00327B89" w:rsidRPr="00D407B7" w14:paraId="5EF1C404" w14:textId="77777777" w:rsidTr="00A500C9">
        <w:trPr>
          <w:trHeight w:val="304"/>
          <w:jc w:val="center"/>
        </w:trPr>
        <w:tc>
          <w:tcPr>
            <w:tcW w:w="3544" w:type="dxa"/>
            <w:shd w:val="clear" w:color="auto" w:fill="auto"/>
          </w:tcPr>
          <w:p w14:paraId="074800F9" w14:textId="77777777" w:rsidR="00327B89" w:rsidRDefault="00327B89" w:rsidP="00327B89">
            <w:pPr>
              <w:jc w:val="left"/>
            </w:pPr>
            <w:r>
              <w:t>Verity Winn</w:t>
            </w:r>
          </w:p>
        </w:tc>
        <w:tc>
          <w:tcPr>
            <w:tcW w:w="1276" w:type="dxa"/>
            <w:shd w:val="clear" w:color="auto" w:fill="auto"/>
          </w:tcPr>
          <w:p w14:paraId="7059F95E" w14:textId="77777777" w:rsidR="00327B89" w:rsidRDefault="00327B89" w:rsidP="00327B89">
            <w:pPr>
              <w:jc w:val="left"/>
            </w:pPr>
            <w:r>
              <w:t>(VW)</w:t>
            </w:r>
          </w:p>
        </w:tc>
        <w:tc>
          <w:tcPr>
            <w:tcW w:w="4820" w:type="dxa"/>
            <w:shd w:val="clear" w:color="auto" w:fill="auto"/>
          </w:tcPr>
          <w:p w14:paraId="46C06BBB" w14:textId="77777777" w:rsidR="00327B89" w:rsidRDefault="00327B89" w:rsidP="00327B89">
            <w:pPr>
              <w:jc w:val="left"/>
            </w:pPr>
            <w:r>
              <w:t>Audit Wales</w:t>
            </w:r>
          </w:p>
        </w:tc>
      </w:tr>
      <w:tr w:rsidR="00327B89" w:rsidRPr="00D407B7" w14:paraId="7613AFCC" w14:textId="77777777" w:rsidTr="00410CAA">
        <w:trPr>
          <w:trHeight w:val="304"/>
          <w:jc w:val="center"/>
        </w:trPr>
        <w:tc>
          <w:tcPr>
            <w:tcW w:w="3544" w:type="dxa"/>
            <w:shd w:val="clear" w:color="auto" w:fill="auto"/>
          </w:tcPr>
          <w:p w14:paraId="7BF9BA8C" w14:textId="77777777" w:rsidR="00327B89" w:rsidRPr="00C4299E" w:rsidRDefault="00327B89" w:rsidP="00327B89">
            <w:pPr>
              <w:jc w:val="left"/>
            </w:pPr>
            <w:r>
              <w:t>Stephanie Wilkins</w:t>
            </w:r>
          </w:p>
        </w:tc>
        <w:tc>
          <w:tcPr>
            <w:tcW w:w="1276" w:type="dxa"/>
            <w:shd w:val="clear" w:color="auto" w:fill="auto"/>
          </w:tcPr>
          <w:p w14:paraId="367678AF" w14:textId="77777777" w:rsidR="00327B89" w:rsidRPr="00C4299E" w:rsidRDefault="00327B89" w:rsidP="00327B89">
            <w:pPr>
              <w:jc w:val="left"/>
            </w:pPr>
            <w:r w:rsidRPr="00C4299E">
              <w:t>(SW)</w:t>
            </w:r>
          </w:p>
        </w:tc>
        <w:tc>
          <w:tcPr>
            <w:tcW w:w="4820" w:type="dxa"/>
            <w:shd w:val="clear" w:color="auto" w:fill="auto"/>
          </w:tcPr>
          <w:p w14:paraId="7A0093BC" w14:textId="77777777" w:rsidR="00327B89" w:rsidRDefault="00327B89" w:rsidP="00327B89">
            <w:pPr>
              <w:jc w:val="left"/>
            </w:pPr>
            <w:r w:rsidRPr="00C4299E">
              <w:t xml:space="preserve">Representative of Staff Partnership Forum </w:t>
            </w:r>
          </w:p>
          <w:p w14:paraId="03307C0D" w14:textId="77777777" w:rsidR="00327B89" w:rsidRPr="00D407B7" w:rsidRDefault="00327B89" w:rsidP="00327B89">
            <w:pPr>
              <w:jc w:val="left"/>
            </w:pPr>
            <w:r w:rsidRPr="00327B89">
              <w:rPr>
                <w:i/>
              </w:rPr>
              <w:t xml:space="preserve">(left </w:t>
            </w:r>
            <w:r>
              <w:rPr>
                <w:i/>
              </w:rPr>
              <w:t>at 12:30)</w:t>
            </w:r>
          </w:p>
        </w:tc>
      </w:tr>
      <w:tr w:rsidR="00327B89" w:rsidRPr="00D407B7" w14:paraId="401AF87E" w14:textId="77777777" w:rsidTr="00A500C9">
        <w:trPr>
          <w:trHeight w:val="304"/>
          <w:jc w:val="center"/>
        </w:trPr>
        <w:tc>
          <w:tcPr>
            <w:tcW w:w="9640" w:type="dxa"/>
            <w:gridSpan w:val="3"/>
          </w:tcPr>
          <w:p w14:paraId="6C4C2456" w14:textId="77777777" w:rsidR="00327B89" w:rsidRPr="00D407B7" w:rsidRDefault="00327B89" w:rsidP="00327B89">
            <w:pPr>
              <w:jc w:val="left"/>
              <w:rPr>
                <w:b/>
              </w:rPr>
            </w:pPr>
            <w:r w:rsidRPr="00D407B7">
              <w:rPr>
                <w:b/>
              </w:rPr>
              <w:t>Apologies:</w:t>
            </w:r>
          </w:p>
        </w:tc>
      </w:tr>
      <w:tr w:rsidR="00327B89" w:rsidRPr="00D407B7" w14:paraId="21C2217A" w14:textId="77777777" w:rsidTr="00A500C9">
        <w:trPr>
          <w:trHeight w:val="304"/>
          <w:jc w:val="center"/>
        </w:trPr>
        <w:tc>
          <w:tcPr>
            <w:tcW w:w="3544" w:type="dxa"/>
            <w:shd w:val="clear" w:color="auto" w:fill="auto"/>
          </w:tcPr>
          <w:p w14:paraId="65BBE059" w14:textId="77777777" w:rsidR="00327B89" w:rsidRPr="00C4299E" w:rsidRDefault="00327B89" w:rsidP="00327B89">
            <w:pPr>
              <w:jc w:val="left"/>
            </w:pPr>
            <w:r w:rsidRPr="00C4299E">
              <w:t xml:space="preserve">Alison Ward </w:t>
            </w:r>
          </w:p>
          <w:p w14:paraId="739AA9B8" w14:textId="77777777" w:rsidR="00327B89" w:rsidRPr="00C4299E" w:rsidRDefault="00327B89" w:rsidP="00327B89">
            <w:pPr>
              <w:jc w:val="left"/>
            </w:pPr>
          </w:p>
        </w:tc>
        <w:tc>
          <w:tcPr>
            <w:tcW w:w="1276" w:type="dxa"/>
            <w:shd w:val="clear" w:color="auto" w:fill="auto"/>
          </w:tcPr>
          <w:p w14:paraId="0F6DED8F" w14:textId="77777777" w:rsidR="00327B89" w:rsidRPr="00D407B7" w:rsidRDefault="00327B89" w:rsidP="00327B89">
            <w:pPr>
              <w:jc w:val="left"/>
            </w:pPr>
            <w:r w:rsidRPr="00D407B7">
              <w:t>(AW)</w:t>
            </w:r>
          </w:p>
        </w:tc>
        <w:tc>
          <w:tcPr>
            <w:tcW w:w="4820" w:type="dxa"/>
            <w:shd w:val="clear" w:color="auto" w:fill="auto"/>
          </w:tcPr>
          <w:p w14:paraId="073F4837" w14:textId="77777777" w:rsidR="00327B89" w:rsidRPr="00D407B7" w:rsidRDefault="00327B89" w:rsidP="00327B89">
            <w:pPr>
              <w:jc w:val="left"/>
            </w:pPr>
            <w:r w:rsidRPr="00D407B7">
              <w:t xml:space="preserve">Non-Executive Director (Local Authority) </w:t>
            </w:r>
          </w:p>
        </w:tc>
      </w:tr>
    </w:tbl>
    <w:p w14:paraId="2F8B0157" w14:textId="77777777" w:rsidR="00696C86" w:rsidRDefault="00696C86" w:rsidP="00C47980">
      <w:pPr>
        <w:rPr>
          <w:i/>
        </w:rPr>
      </w:pPr>
    </w:p>
    <w:p w14:paraId="02BF2D0B" w14:textId="77777777" w:rsidR="00995C72" w:rsidRPr="00D407B7" w:rsidRDefault="0031642A" w:rsidP="00696C86">
      <w:pPr>
        <w:jc w:val="center"/>
        <w:rPr>
          <w:i/>
        </w:rPr>
      </w:pPr>
      <w:r w:rsidRPr="00D407B7">
        <w:rPr>
          <w:i/>
        </w:rPr>
        <w:t xml:space="preserve">The meeting commenced at </w:t>
      </w:r>
      <w:r w:rsidR="00DA4559">
        <w:rPr>
          <w:i/>
        </w:rPr>
        <w:t>10:00</w:t>
      </w:r>
    </w:p>
    <w:p w14:paraId="7B2FA894" w14:textId="77777777" w:rsidR="00DE18C5" w:rsidRPr="00D407B7" w:rsidRDefault="00DE18C5" w:rsidP="00696C86">
      <w:pPr>
        <w:rPr>
          <w:i/>
        </w:rPr>
      </w:pPr>
    </w:p>
    <w:tbl>
      <w:tblPr>
        <w:tblStyle w:val="TableGrid"/>
        <w:tblW w:w="9657" w:type="dxa"/>
        <w:jc w:val="center"/>
        <w:tblLayout w:type="fixed"/>
        <w:tblLook w:val="04A0" w:firstRow="1" w:lastRow="0" w:firstColumn="1" w:lastColumn="0" w:noHBand="0" w:noVBand="1"/>
      </w:tblPr>
      <w:tblGrid>
        <w:gridCol w:w="2263"/>
        <w:gridCol w:w="284"/>
        <w:gridCol w:w="7087"/>
        <w:gridCol w:w="23"/>
      </w:tblGrid>
      <w:tr w:rsidR="00F33003" w:rsidRPr="00D407B7" w14:paraId="17613D72" w14:textId="77777777" w:rsidTr="0053730A">
        <w:trPr>
          <w:jc w:val="center"/>
        </w:trPr>
        <w:tc>
          <w:tcPr>
            <w:tcW w:w="2547" w:type="dxa"/>
            <w:gridSpan w:val="2"/>
            <w:tcBorders>
              <w:right w:val="nil"/>
            </w:tcBorders>
            <w:shd w:val="clear" w:color="auto" w:fill="auto"/>
          </w:tcPr>
          <w:p w14:paraId="6E632EB3" w14:textId="77777777" w:rsidR="00F33003" w:rsidRPr="00D407B7" w:rsidRDefault="002302D0" w:rsidP="00E214CA">
            <w:pPr>
              <w:jc w:val="left"/>
              <w:rPr>
                <w:b/>
              </w:rPr>
            </w:pPr>
            <w:r w:rsidRPr="00D407B7">
              <w:br w:type="page"/>
            </w:r>
            <w:r w:rsidR="00042A16" w:rsidRPr="00D407B7">
              <w:rPr>
                <w:b/>
              </w:rPr>
              <w:t>PHW</w:t>
            </w:r>
            <w:r w:rsidR="00EA22CB">
              <w:rPr>
                <w:b/>
              </w:rPr>
              <w:t>8</w:t>
            </w:r>
            <w:r w:rsidR="00E214CA">
              <w:rPr>
                <w:b/>
              </w:rPr>
              <w:t>4</w:t>
            </w:r>
            <w:r w:rsidR="00235621" w:rsidRPr="00D407B7">
              <w:rPr>
                <w:b/>
              </w:rPr>
              <w:t>/2020</w:t>
            </w:r>
          </w:p>
        </w:tc>
        <w:tc>
          <w:tcPr>
            <w:tcW w:w="7110" w:type="dxa"/>
            <w:gridSpan w:val="2"/>
            <w:tcBorders>
              <w:left w:val="nil"/>
            </w:tcBorders>
            <w:shd w:val="clear" w:color="auto" w:fill="auto"/>
          </w:tcPr>
          <w:p w14:paraId="6E038063" w14:textId="77777777" w:rsidR="00F33003" w:rsidRPr="00D407B7" w:rsidRDefault="00B66CE1" w:rsidP="00696C86">
            <w:pPr>
              <w:jc w:val="left"/>
              <w:rPr>
                <w:b/>
              </w:rPr>
            </w:pPr>
            <w:r w:rsidRPr="00D407B7">
              <w:rPr>
                <w:b/>
              </w:rPr>
              <w:t>Welcome</w:t>
            </w:r>
          </w:p>
        </w:tc>
      </w:tr>
      <w:tr w:rsidR="00F33003" w:rsidRPr="00D407B7" w14:paraId="7FE35B76" w14:textId="77777777" w:rsidTr="0032608F">
        <w:trPr>
          <w:jc w:val="center"/>
        </w:trPr>
        <w:tc>
          <w:tcPr>
            <w:tcW w:w="9657" w:type="dxa"/>
            <w:gridSpan w:val="4"/>
            <w:tcBorders>
              <w:bottom w:val="single" w:sz="4" w:space="0" w:color="auto"/>
            </w:tcBorders>
            <w:shd w:val="clear" w:color="auto" w:fill="auto"/>
          </w:tcPr>
          <w:p w14:paraId="087EEC0D" w14:textId="77777777" w:rsidR="00E214CA" w:rsidRDefault="00E214CA" w:rsidP="00E214CA">
            <w:r>
              <w:t xml:space="preserve">JW welcomed everyone to the meeting, reflecting on the continuing loss of life </w:t>
            </w:r>
            <w:r w:rsidR="004B18C2">
              <w:t>resulting from</w:t>
            </w:r>
            <w:r>
              <w:t xml:space="preserve"> the global spread of </w:t>
            </w:r>
            <w:r w:rsidR="00030ACB">
              <w:t>COVID-19</w:t>
            </w:r>
            <w:r>
              <w:t>;</w:t>
            </w:r>
            <w:r w:rsidR="00030ACB">
              <w:t xml:space="preserve"> </w:t>
            </w:r>
            <w:r>
              <w:t>the Board observed a minute silence in memory of all those who had died.</w:t>
            </w:r>
          </w:p>
          <w:p w14:paraId="08325397" w14:textId="77777777" w:rsidR="004B18C2" w:rsidRDefault="004B18C2" w:rsidP="00E214CA"/>
          <w:p w14:paraId="0DBD896C" w14:textId="6D0DA2AA" w:rsidR="00E214CA" w:rsidRDefault="00E214CA" w:rsidP="00E214CA">
            <w:r>
              <w:t xml:space="preserve">JW </w:t>
            </w:r>
            <w:r w:rsidR="004B18C2">
              <w:t>extended a</w:t>
            </w:r>
            <w:r>
              <w:t xml:space="preserve"> particular welcome to those observing the meeting</w:t>
            </w:r>
            <w:r w:rsidR="000F79DF">
              <w:t>,</w:t>
            </w:r>
            <w:r>
              <w:t xml:space="preserve"> Verity Winn from Audit Wales and Peter Jones from Welsh Government; she summarised the role of the Board and the Board Etiquette that underpinned the conduct of Board business.</w:t>
            </w:r>
          </w:p>
          <w:p w14:paraId="3B4DA53D" w14:textId="77777777" w:rsidR="004B18C2" w:rsidRDefault="004B18C2" w:rsidP="00E214CA"/>
          <w:p w14:paraId="2CC8E70F" w14:textId="77777777" w:rsidR="00E214CA" w:rsidRDefault="00E214CA" w:rsidP="00E214CA">
            <w:r>
              <w:t xml:space="preserve">JW then restated the rationale behind the restricted agenda and the </w:t>
            </w:r>
            <w:r w:rsidR="004B18C2">
              <w:t>mechanisms through</w:t>
            </w:r>
            <w:r>
              <w:t xml:space="preserve"> which the Board and its committees maintained good governance during the pandemic.</w:t>
            </w:r>
            <w:r w:rsidR="004B18C2">
              <w:t xml:space="preserve"> </w:t>
            </w:r>
            <w:r>
              <w:t>She signalled the intention to resume live-streaming of Board meetings from June 2020 onwards.</w:t>
            </w:r>
          </w:p>
          <w:p w14:paraId="3254F262" w14:textId="77777777" w:rsidR="00E214CA" w:rsidRPr="00D407B7" w:rsidRDefault="00E214CA" w:rsidP="00C8583B">
            <w:pPr>
              <w:pStyle w:val="null"/>
              <w:spacing w:before="0" w:beforeAutospacing="0" w:after="0" w:afterAutospacing="0"/>
            </w:pPr>
          </w:p>
        </w:tc>
      </w:tr>
      <w:tr w:rsidR="000D1A27" w:rsidRPr="00D407B7" w14:paraId="5A9343A9" w14:textId="77777777" w:rsidTr="0053730A">
        <w:trPr>
          <w:jc w:val="center"/>
        </w:trPr>
        <w:tc>
          <w:tcPr>
            <w:tcW w:w="2547" w:type="dxa"/>
            <w:gridSpan w:val="2"/>
            <w:tcBorders>
              <w:bottom w:val="single" w:sz="4" w:space="0" w:color="auto"/>
              <w:right w:val="nil"/>
            </w:tcBorders>
            <w:shd w:val="clear" w:color="auto" w:fill="auto"/>
          </w:tcPr>
          <w:p w14:paraId="5038B11B" w14:textId="77777777" w:rsidR="000D1A27" w:rsidRPr="00D407B7" w:rsidRDefault="005C7A64" w:rsidP="00E214CA">
            <w:pPr>
              <w:jc w:val="left"/>
              <w:rPr>
                <w:b/>
                <w:highlight w:val="yellow"/>
              </w:rPr>
            </w:pPr>
            <w:r w:rsidRPr="00D407B7">
              <w:rPr>
                <w:b/>
              </w:rPr>
              <w:t>PHW</w:t>
            </w:r>
            <w:r w:rsidR="00EA22CB">
              <w:rPr>
                <w:b/>
              </w:rPr>
              <w:t>8</w:t>
            </w:r>
            <w:r w:rsidR="00E214CA">
              <w:rPr>
                <w:b/>
              </w:rPr>
              <w:t>5</w:t>
            </w:r>
            <w:r w:rsidR="00235621" w:rsidRPr="00D407B7">
              <w:rPr>
                <w:b/>
              </w:rPr>
              <w:t>/2020</w:t>
            </w:r>
          </w:p>
        </w:tc>
        <w:tc>
          <w:tcPr>
            <w:tcW w:w="7110" w:type="dxa"/>
            <w:gridSpan w:val="2"/>
            <w:tcBorders>
              <w:left w:val="nil"/>
              <w:bottom w:val="single" w:sz="4" w:space="0" w:color="auto"/>
            </w:tcBorders>
            <w:shd w:val="clear" w:color="auto" w:fill="auto"/>
          </w:tcPr>
          <w:p w14:paraId="29EF40BC" w14:textId="77777777" w:rsidR="000D1A27" w:rsidRPr="00D407B7" w:rsidRDefault="00900064" w:rsidP="00696C86">
            <w:pPr>
              <w:pStyle w:val="ListParagraph"/>
              <w:ind w:left="0"/>
              <w:rPr>
                <w:b/>
              </w:rPr>
            </w:pPr>
            <w:r w:rsidRPr="00D407B7">
              <w:rPr>
                <w:b/>
              </w:rPr>
              <w:t>Apologies</w:t>
            </w:r>
          </w:p>
        </w:tc>
      </w:tr>
      <w:tr w:rsidR="000D1A27" w:rsidRPr="00D407B7" w14:paraId="7A47CEF6" w14:textId="77777777" w:rsidTr="0032608F">
        <w:trPr>
          <w:jc w:val="center"/>
        </w:trPr>
        <w:tc>
          <w:tcPr>
            <w:tcW w:w="9657" w:type="dxa"/>
            <w:gridSpan w:val="4"/>
            <w:tcBorders>
              <w:bottom w:val="single" w:sz="4" w:space="0" w:color="auto"/>
            </w:tcBorders>
            <w:shd w:val="clear" w:color="auto" w:fill="auto"/>
          </w:tcPr>
          <w:p w14:paraId="01E896C9" w14:textId="77777777" w:rsidR="007F56D9" w:rsidRDefault="007F56D9" w:rsidP="00696C86">
            <w:pPr>
              <w:jc w:val="left"/>
            </w:pPr>
          </w:p>
          <w:p w14:paraId="51D0C0AC" w14:textId="72DF7717" w:rsidR="00DA429D" w:rsidRDefault="00900064" w:rsidP="00696C86">
            <w:pPr>
              <w:jc w:val="left"/>
            </w:pPr>
            <w:r w:rsidRPr="00D407B7">
              <w:t xml:space="preserve">The Board </w:t>
            </w:r>
            <w:r w:rsidRPr="00D407B7">
              <w:rPr>
                <w:b/>
              </w:rPr>
              <w:t>noted</w:t>
            </w:r>
            <w:r w:rsidRPr="00D407B7">
              <w:t xml:space="preserve"> the apologies for absence.</w:t>
            </w:r>
          </w:p>
          <w:p w14:paraId="5E97A2A7" w14:textId="0A95B1EF" w:rsidR="007F56D9" w:rsidRPr="00D407B7" w:rsidRDefault="007F56D9" w:rsidP="00696C86">
            <w:pPr>
              <w:jc w:val="left"/>
            </w:pPr>
          </w:p>
        </w:tc>
      </w:tr>
      <w:tr w:rsidR="000D1A27" w:rsidRPr="00D407B7" w14:paraId="18D3D75E" w14:textId="77777777" w:rsidTr="000F79DF">
        <w:trPr>
          <w:gridAfter w:val="1"/>
          <w:wAfter w:w="23" w:type="dxa"/>
          <w:jc w:val="center"/>
        </w:trPr>
        <w:tc>
          <w:tcPr>
            <w:tcW w:w="2263" w:type="dxa"/>
            <w:tcBorders>
              <w:bottom w:val="single" w:sz="4" w:space="0" w:color="auto"/>
              <w:right w:val="nil"/>
            </w:tcBorders>
            <w:shd w:val="clear" w:color="auto" w:fill="auto"/>
          </w:tcPr>
          <w:p w14:paraId="2FDB9B98" w14:textId="77777777" w:rsidR="000D1A27" w:rsidRPr="00D407B7" w:rsidRDefault="005C7A64" w:rsidP="00E214CA">
            <w:pPr>
              <w:jc w:val="left"/>
              <w:rPr>
                <w:b/>
                <w:highlight w:val="yellow"/>
              </w:rPr>
            </w:pPr>
            <w:r w:rsidRPr="00D407B7">
              <w:rPr>
                <w:b/>
              </w:rPr>
              <w:t>PHW</w:t>
            </w:r>
            <w:r w:rsidR="00EA22CB">
              <w:rPr>
                <w:b/>
              </w:rPr>
              <w:t>8</w:t>
            </w:r>
            <w:r w:rsidR="00E214CA">
              <w:rPr>
                <w:b/>
              </w:rPr>
              <w:t>6</w:t>
            </w:r>
            <w:r w:rsidRPr="00D407B7">
              <w:rPr>
                <w:b/>
              </w:rPr>
              <w:t>/</w:t>
            </w:r>
            <w:r w:rsidR="003116F6" w:rsidRPr="00D407B7">
              <w:rPr>
                <w:b/>
              </w:rPr>
              <w:t>2020</w:t>
            </w:r>
          </w:p>
        </w:tc>
        <w:tc>
          <w:tcPr>
            <w:tcW w:w="7371" w:type="dxa"/>
            <w:gridSpan w:val="2"/>
            <w:tcBorders>
              <w:left w:val="nil"/>
              <w:bottom w:val="single" w:sz="4" w:space="0" w:color="auto"/>
            </w:tcBorders>
            <w:shd w:val="clear" w:color="auto" w:fill="auto"/>
          </w:tcPr>
          <w:p w14:paraId="16ECE32C" w14:textId="77777777" w:rsidR="000D1A27" w:rsidRPr="00D407B7" w:rsidRDefault="00EC7C45" w:rsidP="00696C86">
            <w:pPr>
              <w:pStyle w:val="ListParagraph"/>
              <w:ind w:left="0"/>
              <w:rPr>
                <w:b/>
              </w:rPr>
            </w:pPr>
            <w:r w:rsidRPr="00D407B7">
              <w:rPr>
                <w:b/>
              </w:rPr>
              <w:t>Declarations of Interest</w:t>
            </w:r>
          </w:p>
        </w:tc>
      </w:tr>
      <w:tr w:rsidR="000D1A27" w:rsidRPr="00D407B7" w14:paraId="29A9A07A" w14:textId="77777777" w:rsidTr="0032608F">
        <w:trPr>
          <w:jc w:val="center"/>
        </w:trPr>
        <w:tc>
          <w:tcPr>
            <w:tcW w:w="9657" w:type="dxa"/>
            <w:gridSpan w:val="4"/>
            <w:tcBorders>
              <w:bottom w:val="single" w:sz="4" w:space="0" w:color="auto"/>
            </w:tcBorders>
            <w:shd w:val="clear" w:color="auto" w:fill="auto"/>
          </w:tcPr>
          <w:p w14:paraId="11F9F676" w14:textId="77777777" w:rsidR="008F0C34" w:rsidRPr="00D407B7" w:rsidRDefault="008F0C34" w:rsidP="008F0C34">
            <w:r>
              <w:t>Board members made</w:t>
            </w:r>
            <w:r w:rsidRPr="00D407B7">
              <w:t xml:space="preserve"> no additional declarations of interest in addition to those </w:t>
            </w:r>
            <w:r>
              <w:t xml:space="preserve">already </w:t>
            </w:r>
            <w:r w:rsidRPr="00D407B7">
              <w:t xml:space="preserve">on the declarations of interest register. </w:t>
            </w:r>
          </w:p>
          <w:p w14:paraId="3D70C105" w14:textId="77777777" w:rsidR="00E214CA" w:rsidRPr="004B18C2" w:rsidRDefault="00E214CA" w:rsidP="00E214CA">
            <w:pPr>
              <w:rPr>
                <w:b/>
              </w:rPr>
            </w:pPr>
          </w:p>
        </w:tc>
      </w:tr>
      <w:tr w:rsidR="004B18C2" w:rsidRPr="004B18C2" w14:paraId="65DC8F24" w14:textId="77777777" w:rsidTr="0032608F">
        <w:trPr>
          <w:jc w:val="center"/>
        </w:trPr>
        <w:tc>
          <w:tcPr>
            <w:tcW w:w="9657" w:type="dxa"/>
            <w:gridSpan w:val="4"/>
            <w:tcBorders>
              <w:bottom w:val="single" w:sz="4" w:space="0" w:color="auto"/>
            </w:tcBorders>
            <w:shd w:val="clear" w:color="auto" w:fill="auto"/>
          </w:tcPr>
          <w:p w14:paraId="6B7E42FB" w14:textId="77777777" w:rsidR="004B18C2" w:rsidRPr="004B18C2" w:rsidRDefault="004B18C2" w:rsidP="008446B7">
            <w:pPr>
              <w:tabs>
                <w:tab w:val="left" w:pos="2300"/>
              </w:tabs>
              <w:ind w:left="2300" w:hanging="2300"/>
              <w:rPr>
                <w:b/>
              </w:rPr>
            </w:pPr>
            <w:r w:rsidRPr="004B18C2">
              <w:rPr>
                <w:b/>
              </w:rPr>
              <w:t>PHW87/ 2020</w:t>
            </w:r>
            <w:r w:rsidRPr="004B18C2">
              <w:rPr>
                <w:b/>
              </w:rPr>
              <w:tab/>
              <w:t xml:space="preserve">Minutes, Action Log from the Board Meeting on </w:t>
            </w:r>
            <w:r w:rsidR="008446B7">
              <w:rPr>
                <w:b/>
              </w:rPr>
              <w:t xml:space="preserve">4 May </w:t>
            </w:r>
            <w:r w:rsidRPr="004B18C2">
              <w:rPr>
                <w:b/>
              </w:rPr>
              <w:t>2020 and matters arising</w:t>
            </w:r>
          </w:p>
        </w:tc>
      </w:tr>
      <w:tr w:rsidR="004B18C2" w:rsidRPr="00D407B7" w14:paraId="1CBAE752" w14:textId="77777777" w:rsidTr="0032608F">
        <w:trPr>
          <w:jc w:val="center"/>
        </w:trPr>
        <w:tc>
          <w:tcPr>
            <w:tcW w:w="9657" w:type="dxa"/>
            <w:gridSpan w:val="4"/>
            <w:tcBorders>
              <w:bottom w:val="single" w:sz="4" w:space="0" w:color="auto"/>
            </w:tcBorders>
            <w:shd w:val="clear" w:color="auto" w:fill="auto"/>
          </w:tcPr>
          <w:p w14:paraId="596C50F0" w14:textId="77777777" w:rsidR="004B18C2" w:rsidRPr="00DA4559" w:rsidRDefault="00B97CF9" w:rsidP="00E214CA">
            <w:r>
              <w:t>T</w:t>
            </w:r>
            <w:r w:rsidR="004B18C2" w:rsidRPr="00DA4559">
              <w:t xml:space="preserve">he minutes of the meeting held on </w:t>
            </w:r>
            <w:r w:rsidR="008446B7" w:rsidRPr="00DA4559">
              <w:t>4 May 2020</w:t>
            </w:r>
            <w:r w:rsidR="004B18C2" w:rsidRPr="00DA4559">
              <w:t xml:space="preserve"> were </w:t>
            </w:r>
            <w:r w:rsidR="004B18C2" w:rsidRPr="008D57CE">
              <w:rPr>
                <w:b/>
              </w:rPr>
              <w:t>approved</w:t>
            </w:r>
            <w:r w:rsidR="004B18C2" w:rsidRPr="00DA4559">
              <w:t xml:space="preserve"> as a true and accurate record</w:t>
            </w:r>
            <w:r w:rsidR="004B18C2" w:rsidRPr="000924A8">
              <w:t xml:space="preserve">. </w:t>
            </w:r>
            <w:r w:rsidR="00DA4559" w:rsidRPr="000924A8">
              <w:t xml:space="preserve">(Ref </w:t>
            </w:r>
            <w:r w:rsidR="000924A8" w:rsidRPr="000924A8">
              <w:t>3.1.1.280520</w:t>
            </w:r>
            <w:r w:rsidR="00DA4559" w:rsidRPr="000924A8">
              <w:t>).</w:t>
            </w:r>
          </w:p>
          <w:p w14:paraId="2B69E081" w14:textId="77777777" w:rsidR="004B18C2" w:rsidRPr="00DA4559" w:rsidRDefault="004B18C2" w:rsidP="00E214CA"/>
          <w:p w14:paraId="17D67C1F" w14:textId="2B21007C" w:rsidR="00DA4559" w:rsidRPr="00DA4559" w:rsidRDefault="008446B7" w:rsidP="00DA4559">
            <w:pPr>
              <w:pStyle w:val="Standard"/>
              <w:jc w:val="both"/>
              <w:rPr>
                <w:rFonts w:ascii="Verdana" w:hAnsi="Verdana"/>
              </w:rPr>
            </w:pPr>
            <w:r w:rsidRPr="00DA4559">
              <w:rPr>
                <w:rFonts w:ascii="Verdana" w:hAnsi="Verdana"/>
              </w:rPr>
              <w:t xml:space="preserve">The Board </w:t>
            </w:r>
            <w:r w:rsidRPr="00DA4559">
              <w:rPr>
                <w:rFonts w:ascii="Verdana" w:hAnsi="Verdana"/>
                <w:b/>
              </w:rPr>
              <w:t xml:space="preserve">considered </w:t>
            </w:r>
            <w:r w:rsidRPr="00DA4559">
              <w:rPr>
                <w:rFonts w:ascii="Verdana" w:hAnsi="Verdana"/>
              </w:rPr>
              <w:t xml:space="preserve">the Action </w:t>
            </w:r>
            <w:r w:rsidRPr="000924A8">
              <w:rPr>
                <w:rFonts w:ascii="Verdana" w:eastAsia="Calibri" w:hAnsi="Verdana" w:cs="Times New Roman"/>
                <w:kern w:val="0"/>
                <w:lang w:eastAsia="en-US" w:bidi="ar-SA"/>
              </w:rPr>
              <w:t xml:space="preserve">Log </w:t>
            </w:r>
            <w:r w:rsidR="000924A8" w:rsidRPr="000924A8">
              <w:rPr>
                <w:rFonts w:ascii="Verdana" w:eastAsia="Calibri" w:hAnsi="Verdana" w:cs="Times New Roman"/>
                <w:kern w:val="0"/>
                <w:lang w:eastAsia="en-US" w:bidi="ar-SA"/>
              </w:rPr>
              <w:t>(Ref 3.1.</w:t>
            </w:r>
            <w:r w:rsidR="000924A8">
              <w:rPr>
                <w:rFonts w:ascii="Verdana" w:eastAsia="Calibri" w:hAnsi="Verdana" w:cs="Times New Roman"/>
                <w:kern w:val="0"/>
                <w:lang w:eastAsia="en-US" w:bidi="ar-SA"/>
              </w:rPr>
              <w:t>2</w:t>
            </w:r>
            <w:r w:rsidR="000924A8" w:rsidRPr="000924A8">
              <w:rPr>
                <w:rFonts w:ascii="Verdana" w:eastAsia="Calibri" w:hAnsi="Verdana" w:cs="Times New Roman"/>
                <w:kern w:val="0"/>
                <w:lang w:eastAsia="en-US" w:bidi="ar-SA"/>
              </w:rPr>
              <w:t>.280520</w:t>
            </w:r>
            <w:r w:rsidR="000924A8" w:rsidRPr="000924A8">
              <w:rPr>
                <w:rFonts w:ascii="Verdana" w:hAnsi="Verdana"/>
              </w:rPr>
              <w:t>).</w:t>
            </w:r>
            <w:r w:rsidR="000F79DF">
              <w:rPr>
                <w:rFonts w:ascii="Verdana" w:hAnsi="Verdana"/>
              </w:rPr>
              <w:t xml:space="preserve"> The </w:t>
            </w:r>
            <w:r w:rsidR="00DA4559" w:rsidRPr="00DA4559">
              <w:rPr>
                <w:rFonts w:ascii="Verdana" w:hAnsi="Verdana"/>
              </w:rPr>
              <w:t xml:space="preserve">Board </w:t>
            </w:r>
            <w:r w:rsidR="00DA4559" w:rsidRPr="00DA4559">
              <w:rPr>
                <w:rFonts w:ascii="Verdana" w:hAnsi="Verdana"/>
                <w:b/>
              </w:rPr>
              <w:t>approved</w:t>
            </w:r>
            <w:r w:rsidR="00DA4559" w:rsidRPr="00DA4559">
              <w:rPr>
                <w:rFonts w:ascii="Verdana" w:hAnsi="Verdana"/>
              </w:rPr>
              <w:t xml:space="preserve"> the closure of the action marked as complete.  </w:t>
            </w:r>
          </w:p>
          <w:p w14:paraId="1A648123" w14:textId="77777777" w:rsidR="004B18C2" w:rsidRPr="004B18C2" w:rsidRDefault="004B18C2" w:rsidP="00E214CA"/>
        </w:tc>
      </w:tr>
      <w:tr w:rsidR="004B18C2" w:rsidRPr="00D407B7" w14:paraId="0E989825" w14:textId="77777777" w:rsidTr="00E43FD3">
        <w:trPr>
          <w:jc w:val="center"/>
        </w:trPr>
        <w:tc>
          <w:tcPr>
            <w:tcW w:w="9657" w:type="dxa"/>
            <w:gridSpan w:val="4"/>
            <w:shd w:val="clear" w:color="auto" w:fill="auto"/>
          </w:tcPr>
          <w:p w14:paraId="4948F2D4" w14:textId="77777777" w:rsidR="004B18C2" w:rsidRDefault="004B18C2" w:rsidP="004B18C2">
            <w:pPr>
              <w:tabs>
                <w:tab w:val="left" w:pos="2300"/>
              </w:tabs>
            </w:pPr>
            <w:r w:rsidRPr="004B18C2">
              <w:rPr>
                <w:b/>
              </w:rPr>
              <w:t>PHW8</w:t>
            </w:r>
            <w:r>
              <w:rPr>
                <w:b/>
              </w:rPr>
              <w:t>8</w:t>
            </w:r>
            <w:r w:rsidRPr="004B18C2">
              <w:rPr>
                <w:b/>
              </w:rPr>
              <w:t xml:space="preserve">/2020 </w:t>
            </w:r>
            <w:r>
              <w:rPr>
                <w:b/>
              </w:rPr>
              <w:tab/>
            </w:r>
            <w:r w:rsidRPr="004B18C2">
              <w:rPr>
                <w:b/>
              </w:rPr>
              <w:t>Chief Executive’s Report</w:t>
            </w:r>
          </w:p>
        </w:tc>
      </w:tr>
      <w:tr w:rsidR="006029B9" w:rsidRPr="00D407B7" w14:paraId="66456EC5" w14:textId="77777777" w:rsidTr="00E43FD3">
        <w:trPr>
          <w:jc w:val="center"/>
        </w:trPr>
        <w:tc>
          <w:tcPr>
            <w:tcW w:w="9657" w:type="dxa"/>
            <w:gridSpan w:val="4"/>
            <w:shd w:val="clear" w:color="auto" w:fill="auto"/>
          </w:tcPr>
          <w:p w14:paraId="0F1170DA" w14:textId="77777777" w:rsidR="00DA4559" w:rsidRDefault="00DA4559" w:rsidP="00DA4559">
            <w:r w:rsidRPr="00D407B7">
              <w:t xml:space="preserve">The Board </w:t>
            </w:r>
            <w:r w:rsidRPr="00D407B7">
              <w:rPr>
                <w:b/>
              </w:rPr>
              <w:t xml:space="preserve">received </w:t>
            </w:r>
            <w:r w:rsidRPr="00D407B7">
              <w:t xml:space="preserve">the </w:t>
            </w:r>
            <w:r>
              <w:t>Chief Executive’s Report</w:t>
            </w:r>
            <w:r w:rsidRPr="007C3045">
              <w:t xml:space="preserve"> </w:t>
            </w:r>
            <w:r w:rsidR="000924A8" w:rsidRPr="000924A8">
              <w:t xml:space="preserve">(Ref </w:t>
            </w:r>
            <w:r w:rsidR="000924A8">
              <w:t>4.1</w:t>
            </w:r>
            <w:r w:rsidR="000924A8" w:rsidRPr="000924A8">
              <w:t>.280520)</w:t>
            </w:r>
            <w:r w:rsidR="000924A8">
              <w:t>.</w:t>
            </w:r>
          </w:p>
          <w:p w14:paraId="2B231185" w14:textId="77777777" w:rsidR="00DA4559" w:rsidRDefault="00DA4559" w:rsidP="00DA4559"/>
          <w:p w14:paraId="7B63E93D" w14:textId="6F36D805" w:rsidR="00E214CA" w:rsidRDefault="00E214CA" w:rsidP="00E214CA">
            <w:r>
              <w:t>In introducing her report, TC reminded the Board of Public Health Wales’ early mobil</w:t>
            </w:r>
            <w:r w:rsidR="000F79DF">
              <w:t>isation in response to the COVID</w:t>
            </w:r>
            <w:r>
              <w:t xml:space="preserve">-19 pandemic; the organisation had, </w:t>
            </w:r>
            <w:r w:rsidR="00030ACB">
              <w:t>therefore,</w:t>
            </w:r>
            <w:r>
              <w:t xml:space="preserve"> been working at an enhanced level response for three months.</w:t>
            </w:r>
            <w:r w:rsidR="000F79DF">
              <w:t xml:space="preserve"> </w:t>
            </w:r>
            <w:r>
              <w:t>TC expressed her thanks and gratitude to staff for their ready adaptation to the unparalleled operating environment in which they found themselves.</w:t>
            </w:r>
          </w:p>
          <w:p w14:paraId="42F7C5C4" w14:textId="77777777" w:rsidR="00030ACB" w:rsidRDefault="00030ACB" w:rsidP="00E214CA">
            <w:pPr>
              <w:rPr>
                <w:rFonts w:ascii="Times New Roman" w:eastAsiaTheme="minorHAnsi" w:hAnsi="Times New Roman"/>
              </w:rPr>
            </w:pPr>
          </w:p>
          <w:p w14:paraId="366ACCBE" w14:textId="66DA612B" w:rsidR="00E214CA" w:rsidRDefault="00E214CA" w:rsidP="00E214CA">
            <w:r>
              <w:t>She went on to reference the BBC Wales feature</w:t>
            </w:r>
            <w:r w:rsidR="000F79DF">
              <w:t xml:space="preserve"> on ‘Coronavirus Testing: B</w:t>
            </w:r>
            <w:r>
              <w:t xml:space="preserve">ehind the </w:t>
            </w:r>
            <w:r w:rsidR="000F79DF">
              <w:t>S</w:t>
            </w:r>
            <w:r w:rsidR="004B18C2">
              <w:t>cenes’;</w:t>
            </w:r>
            <w:r>
              <w:t xml:space="preserve"> this provided an insight into how s</w:t>
            </w:r>
            <w:r w:rsidR="00030ACB">
              <w:t>taff across Public Health Wales</w:t>
            </w:r>
            <w:r>
              <w:t xml:space="preserve"> had worked together to scale up Wales’ testing capacity. Doing </w:t>
            </w:r>
            <w:r w:rsidR="004B18C2">
              <w:t xml:space="preserve">so </w:t>
            </w:r>
            <w:r w:rsidR="00030ACB">
              <w:t>had involved</w:t>
            </w:r>
            <w:r>
              <w:t xml:space="preserve"> many long hours, personal sacrifices and constant agility in responding to new challenges. The feature paid tribute to microbiology, screening division and Improvement </w:t>
            </w:r>
            <w:proofErr w:type="spellStart"/>
            <w:r>
              <w:t>Cymru</w:t>
            </w:r>
            <w:proofErr w:type="spellEnd"/>
            <w:r>
              <w:t xml:space="preserve"> teams, all of whom, with assistance from other staff, had been instrumental in preparing the ground in support of the Welsh Government </w:t>
            </w:r>
            <w:r w:rsidRPr="000F79DF">
              <w:rPr>
                <w:i/>
              </w:rPr>
              <w:t>Test, Trace and Protect</w:t>
            </w:r>
            <w:r>
              <w:t xml:space="preserve"> Strategy.</w:t>
            </w:r>
          </w:p>
          <w:p w14:paraId="3A3D5503" w14:textId="77777777" w:rsidR="00030ACB" w:rsidRDefault="00030ACB" w:rsidP="00E214CA"/>
          <w:p w14:paraId="5DF33293" w14:textId="0E2D04CC" w:rsidR="00E214CA" w:rsidRDefault="00E214CA" w:rsidP="00E214CA">
            <w:r>
              <w:t>TC then drew atten</w:t>
            </w:r>
            <w:r w:rsidR="000F79DF">
              <w:t>tion to the number of national-</w:t>
            </w:r>
            <w:r>
              <w:t>level weekly meetings in which she and others were engaged; the work required  in managing the resulting communications and actions was significant and  fell outside the ‘daily battl</w:t>
            </w:r>
            <w:r w:rsidR="000F79DF">
              <w:t>e rhythm’ of COVID</w:t>
            </w:r>
            <w:r>
              <w:t>-19 incident management and all that involved.</w:t>
            </w:r>
          </w:p>
          <w:p w14:paraId="55E80D1D" w14:textId="5CD813D5" w:rsidR="00E214CA" w:rsidRDefault="000F79DF" w:rsidP="00E214CA">
            <w:r>
              <w:t>T</w:t>
            </w:r>
            <w:r w:rsidR="00E214CA">
              <w:t xml:space="preserve">C concluded by noting the publication of the Public Health Protection Response Plan </w:t>
            </w:r>
            <w:r w:rsidR="004B18C2">
              <w:t>(the</w:t>
            </w:r>
            <w:r w:rsidR="00E214CA">
              <w:t xml:space="preserve"> Response Plan); as the Board was aware, this had informed </w:t>
            </w:r>
            <w:r w:rsidR="00E214CA" w:rsidRPr="000F79DF">
              <w:rPr>
                <w:i/>
              </w:rPr>
              <w:t xml:space="preserve">Test Trace and Protect </w:t>
            </w:r>
            <w:r w:rsidR="004B18C2">
              <w:t>and TC</w:t>
            </w:r>
            <w:r w:rsidR="00E214CA">
              <w:t xml:space="preserve"> thanked all contributors.</w:t>
            </w:r>
          </w:p>
          <w:p w14:paraId="424BF7F6" w14:textId="77777777" w:rsidR="00E214CA" w:rsidRDefault="00E214CA" w:rsidP="00E214CA"/>
          <w:p w14:paraId="77747DD1" w14:textId="77777777" w:rsidR="00E214CA" w:rsidRPr="004B18C2" w:rsidRDefault="00E214CA" w:rsidP="00E214CA">
            <w:pPr>
              <w:rPr>
                <w:b/>
              </w:rPr>
            </w:pPr>
            <w:r>
              <w:t xml:space="preserve">In discussions, Board members expressed their appreciation of the hard work, determination and commitment of all staff during this unprecedented time; the Board also recorded its thanks to TC and the executive for their organisational </w:t>
            </w:r>
            <w:r w:rsidR="004B18C2">
              <w:t xml:space="preserve">leadership. </w:t>
            </w:r>
            <w:r>
              <w:t xml:space="preserve">Finally the Board asked QS to share the Response Plan with IANPHI partners, in support </w:t>
            </w:r>
            <w:r w:rsidR="004B18C2">
              <w:t>of international</w:t>
            </w:r>
            <w:r>
              <w:t xml:space="preserve"> learning.</w:t>
            </w:r>
            <w:r w:rsidR="008446B7">
              <w:t xml:space="preserve"> </w:t>
            </w:r>
            <w:r w:rsidRPr="004B18C2">
              <w:rPr>
                <w:b/>
              </w:rPr>
              <w:t>Action : QS</w:t>
            </w:r>
          </w:p>
          <w:p w14:paraId="4B0BB8E1" w14:textId="77777777" w:rsidR="00E214CA" w:rsidRDefault="00E214CA" w:rsidP="00E214CA"/>
          <w:p w14:paraId="1BC0769E" w14:textId="77777777" w:rsidR="00E214CA" w:rsidRDefault="00E214CA" w:rsidP="00E214CA">
            <w:r>
              <w:t xml:space="preserve">The </w:t>
            </w:r>
            <w:r w:rsidR="004B18C2">
              <w:t xml:space="preserve">Board </w:t>
            </w:r>
            <w:r w:rsidR="004B18C2" w:rsidRPr="004B18C2">
              <w:rPr>
                <w:b/>
              </w:rPr>
              <w:t>resolved</w:t>
            </w:r>
            <w:r>
              <w:t xml:space="preserve"> </w:t>
            </w:r>
            <w:r w:rsidR="004B18C2">
              <w:t xml:space="preserve">to receive the information contained within the report. </w:t>
            </w:r>
          </w:p>
          <w:p w14:paraId="41934DEF" w14:textId="77777777" w:rsidR="00FA3152" w:rsidRDefault="00FA3152" w:rsidP="00EA22CB">
            <w:pPr>
              <w:pStyle w:val="null"/>
              <w:spacing w:before="0" w:beforeAutospacing="0" w:after="0" w:afterAutospacing="0"/>
              <w:rPr>
                <w:rFonts w:ascii="Verdana" w:hAnsi="Verdana"/>
              </w:rPr>
            </w:pPr>
          </w:p>
          <w:p w14:paraId="4B21AF0D" w14:textId="77777777" w:rsidR="00B97CF9" w:rsidRPr="00EA22CB" w:rsidRDefault="00B97CF9" w:rsidP="00EA22CB">
            <w:pPr>
              <w:pStyle w:val="null"/>
              <w:spacing w:before="0" w:beforeAutospacing="0" w:after="0" w:afterAutospacing="0"/>
              <w:rPr>
                <w:rFonts w:ascii="Verdana" w:hAnsi="Verdana"/>
              </w:rPr>
            </w:pPr>
          </w:p>
        </w:tc>
      </w:tr>
      <w:tr w:rsidR="00AD2265" w:rsidRPr="00D407B7" w14:paraId="29643293" w14:textId="77777777" w:rsidTr="0053730A">
        <w:trPr>
          <w:jc w:val="center"/>
        </w:trPr>
        <w:tc>
          <w:tcPr>
            <w:tcW w:w="2547" w:type="dxa"/>
            <w:gridSpan w:val="2"/>
            <w:tcBorders>
              <w:right w:val="nil"/>
            </w:tcBorders>
            <w:shd w:val="clear" w:color="auto" w:fill="auto"/>
          </w:tcPr>
          <w:p w14:paraId="10B76EBC" w14:textId="70167EA6" w:rsidR="00AD2265" w:rsidRPr="00D407B7" w:rsidRDefault="004B18C2" w:rsidP="004B18C2">
            <w:pPr>
              <w:rPr>
                <w:b/>
              </w:rPr>
            </w:pPr>
            <w:r w:rsidRPr="004B18C2">
              <w:rPr>
                <w:b/>
              </w:rPr>
              <w:t>PHW8</w:t>
            </w:r>
            <w:r w:rsidR="007F56D9">
              <w:rPr>
                <w:b/>
              </w:rPr>
              <w:t>9</w:t>
            </w:r>
            <w:r w:rsidRPr="004B18C2">
              <w:rPr>
                <w:b/>
              </w:rPr>
              <w:t xml:space="preserve">/2020 </w:t>
            </w:r>
          </w:p>
        </w:tc>
        <w:tc>
          <w:tcPr>
            <w:tcW w:w="7110" w:type="dxa"/>
            <w:gridSpan w:val="2"/>
            <w:tcBorders>
              <w:left w:val="nil"/>
            </w:tcBorders>
            <w:shd w:val="clear" w:color="auto" w:fill="auto"/>
          </w:tcPr>
          <w:p w14:paraId="681FDCBD" w14:textId="77777777" w:rsidR="00AD2265" w:rsidRPr="00D407B7" w:rsidRDefault="004B18C2" w:rsidP="004B18C2">
            <w:pPr>
              <w:rPr>
                <w:b/>
              </w:rPr>
            </w:pPr>
            <w:r>
              <w:rPr>
                <w:b/>
              </w:rPr>
              <w:t>Implementation Plan (The Plan)</w:t>
            </w:r>
          </w:p>
        </w:tc>
      </w:tr>
      <w:tr w:rsidR="00AD2265" w:rsidRPr="00D407B7" w14:paraId="01AFCF8C" w14:textId="77777777" w:rsidTr="00E43FD3">
        <w:trPr>
          <w:jc w:val="center"/>
        </w:trPr>
        <w:tc>
          <w:tcPr>
            <w:tcW w:w="9657" w:type="dxa"/>
            <w:gridSpan w:val="4"/>
            <w:shd w:val="clear" w:color="auto" w:fill="auto"/>
          </w:tcPr>
          <w:p w14:paraId="03F50B2C" w14:textId="77777777" w:rsidR="00DA4559" w:rsidRDefault="00DA4559" w:rsidP="004B18C2">
            <w:r w:rsidRPr="00D407B7">
              <w:t xml:space="preserve">The Board </w:t>
            </w:r>
            <w:r w:rsidRPr="00D407B7">
              <w:rPr>
                <w:b/>
              </w:rPr>
              <w:t xml:space="preserve">received </w:t>
            </w:r>
            <w:r w:rsidRPr="00D407B7">
              <w:t xml:space="preserve">the </w:t>
            </w:r>
            <w:r>
              <w:t>Implementation Plan</w:t>
            </w:r>
            <w:r w:rsidRPr="007C3045">
              <w:t xml:space="preserve"> </w:t>
            </w:r>
            <w:r w:rsidR="000924A8" w:rsidRPr="000924A8">
              <w:t xml:space="preserve">(Ref </w:t>
            </w:r>
            <w:r w:rsidR="000924A8">
              <w:t>4.2</w:t>
            </w:r>
            <w:r w:rsidR="000924A8" w:rsidRPr="000924A8">
              <w:t>.280520)</w:t>
            </w:r>
            <w:r w:rsidR="000924A8">
              <w:t>.</w:t>
            </w:r>
          </w:p>
          <w:p w14:paraId="6ABA3B53" w14:textId="77777777" w:rsidR="00DA4559" w:rsidRDefault="00DA4559" w:rsidP="004B18C2"/>
          <w:p w14:paraId="0582BCAB" w14:textId="78903116" w:rsidR="004B18C2" w:rsidRDefault="000F79DF" w:rsidP="004B18C2">
            <w:pPr>
              <w:rPr>
                <w:rFonts w:ascii="Times New Roman" w:eastAsiaTheme="minorHAnsi" w:hAnsi="Times New Roman"/>
              </w:rPr>
            </w:pPr>
            <w:r>
              <w:t>TC advised that the P</w:t>
            </w:r>
            <w:r w:rsidR="004B18C2">
              <w:t>lan</w:t>
            </w:r>
            <w:r w:rsidR="008446B7">
              <w:t xml:space="preserve"> </w:t>
            </w:r>
            <w:r w:rsidR="004B18C2">
              <w:t xml:space="preserve">before the Board represented a three-week Stage 1 </w:t>
            </w:r>
            <w:r>
              <w:t>P</w:t>
            </w:r>
            <w:r w:rsidR="004B18C2">
              <w:t>lan that followed on directly from the Re</w:t>
            </w:r>
            <w:r>
              <w:t>sponse Plan. This, the Stage 2 P</w:t>
            </w:r>
            <w:r w:rsidR="004B18C2">
              <w:t xml:space="preserve">lan and any subsequent stages would reflect Public Health Wales’ role in, and contribution to, delivering </w:t>
            </w:r>
            <w:r w:rsidR="004B18C2" w:rsidRPr="000F79DF">
              <w:rPr>
                <w:i/>
              </w:rPr>
              <w:t>Test, Trace and Protect</w:t>
            </w:r>
            <w:r w:rsidR="004B18C2">
              <w:t>.</w:t>
            </w:r>
          </w:p>
          <w:p w14:paraId="038C939D" w14:textId="77777777" w:rsidR="004B18C2" w:rsidRDefault="004B18C2" w:rsidP="004B18C2"/>
          <w:p w14:paraId="430796F2" w14:textId="6A95F75D" w:rsidR="004B18C2" w:rsidRDefault="004B18C2" w:rsidP="004B18C2">
            <w:r>
              <w:t xml:space="preserve">QS </w:t>
            </w:r>
            <w:proofErr w:type="gramStart"/>
            <w:r>
              <w:t>introduced</w:t>
            </w:r>
            <w:proofErr w:type="gramEnd"/>
            <w:r>
              <w:t xml:space="preserve"> the Plan</w:t>
            </w:r>
            <w:r w:rsidR="00696507">
              <w:t>, indicating</w:t>
            </w:r>
            <w:r>
              <w:t xml:space="preserve"> that the COVID-19 Case Finding and Contact Tracing Operating Framework, set out at Appendix B, formed a companion document. Work on the Plan had begun immediately following completion of the Response Plan; Stage 1 cov</w:t>
            </w:r>
            <w:r w:rsidR="00B97CF9">
              <w:t xml:space="preserve">ered the period up until 8 June </w:t>
            </w:r>
            <w:r>
              <w:t>2020 and included the activities, products and ri</w:t>
            </w:r>
            <w:r w:rsidR="00B97CF9">
              <w:t xml:space="preserve">sks for each of the </w:t>
            </w:r>
            <w:r w:rsidR="000F79DF">
              <w:t>work streams</w:t>
            </w:r>
            <w:r>
              <w:t>. He proposed to comment by exception, bringing in other colleagues as appropriate and inviting questions as he went along. </w:t>
            </w:r>
          </w:p>
          <w:p w14:paraId="1536A280" w14:textId="77777777" w:rsidR="004B18C2" w:rsidRDefault="004B18C2" w:rsidP="004B18C2"/>
          <w:p w14:paraId="0D728E92" w14:textId="6B54C8C1" w:rsidR="004B18C2" w:rsidRPr="000F79DF" w:rsidRDefault="004B18C2" w:rsidP="004B18C2">
            <w:pPr>
              <w:rPr>
                <w:b/>
              </w:rPr>
            </w:pPr>
            <w:r w:rsidRPr="004B18C2">
              <w:rPr>
                <w:b/>
              </w:rPr>
              <w:t>Contact Tracing</w:t>
            </w:r>
          </w:p>
          <w:p w14:paraId="7ED440B1" w14:textId="4FD8BBF1" w:rsidR="004B18C2" w:rsidRPr="000F79DF" w:rsidRDefault="004B18C2" w:rsidP="004B18C2">
            <w:pPr>
              <w:rPr>
                <w:rFonts w:ascii="Times New Roman" w:eastAsiaTheme="minorHAnsi" w:hAnsi="Times New Roman"/>
              </w:rPr>
            </w:pPr>
            <w:r>
              <w:t>QS noted the rol</w:t>
            </w:r>
            <w:r w:rsidR="00B97CF9">
              <w:t>es of Public Health Wales, NWIS, Health B</w:t>
            </w:r>
            <w:r>
              <w:t>oards an</w:t>
            </w:r>
            <w:r w:rsidR="00B97CF9">
              <w:t>d Local Authorities; the Welsh G</w:t>
            </w:r>
            <w:r>
              <w:t>overnment-led</w:t>
            </w:r>
            <w:r w:rsidR="000F79DF">
              <w:t xml:space="preserve"> Test Trace Protect Strategic Oversight Group</w:t>
            </w:r>
            <w:r w:rsidR="000F79DF">
              <w:rPr>
                <w:rFonts w:ascii="Times New Roman" w:eastAsiaTheme="minorHAnsi" w:hAnsi="Times New Roman"/>
              </w:rPr>
              <w:t xml:space="preserve"> </w:t>
            </w:r>
            <w:r>
              <w:t xml:space="preserve">had also established a contact tracing </w:t>
            </w:r>
            <w:proofErr w:type="spellStart"/>
            <w:r>
              <w:t>workstream</w:t>
            </w:r>
            <w:proofErr w:type="spellEnd"/>
            <w:r>
              <w:t>.</w:t>
            </w:r>
            <w:r w:rsidR="00696507">
              <w:t xml:space="preserve"> </w:t>
            </w:r>
            <w:r>
              <w:t>Public Health Wales, NWIS and Wels</w:t>
            </w:r>
            <w:r w:rsidR="00B97CF9">
              <w:t>h Government had now issued an ‘</w:t>
            </w:r>
            <w:r>
              <w:t xml:space="preserve">Operational Note’ for </w:t>
            </w:r>
            <w:r w:rsidRPr="00B97CF9">
              <w:rPr>
                <w:i/>
              </w:rPr>
              <w:t xml:space="preserve">Test, Trace, </w:t>
            </w:r>
            <w:proofErr w:type="gramStart"/>
            <w:r w:rsidR="00696507" w:rsidRPr="00B97CF9">
              <w:rPr>
                <w:i/>
              </w:rPr>
              <w:t>Protect</w:t>
            </w:r>
            <w:proofErr w:type="gramEnd"/>
            <w:r w:rsidR="00696507" w:rsidRPr="00B97CF9">
              <w:rPr>
                <w:i/>
              </w:rPr>
              <w:t>.</w:t>
            </w:r>
            <w:r w:rsidR="00D6662E">
              <w:t xml:space="preserve"> This described p</w:t>
            </w:r>
            <w:bookmarkStart w:id="0" w:name="_GoBack"/>
            <w:bookmarkEnd w:id="0"/>
            <w:r w:rsidR="00696507">
              <w:t xml:space="preserve">hases </w:t>
            </w:r>
            <w:r>
              <w:t>0</w:t>
            </w:r>
            <w:r w:rsidR="00696507">
              <w:noBreakHyphen/>
            </w:r>
            <w:r>
              <w:t xml:space="preserve">2; Phase 1 would begin on 1 June, assimilating the learning from the 4 pilots underway in phase 0. Phase 2, from 8 June onwards would see the switch to the all-Wales digital </w:t>
            </w:r>
            <w:r w:rsidR="00696507">
              <w:t>platform,</w:t>
            </w:r>
            <w:r>
              <w:t xml:space="preserve"> with incoming data feeds direct to the Microsoft Dynamics CRM system.</w:t>
            </w:r>
          </w:p>
          <w:p w14:paraId="2FC2B559" w14:textId="77777777" w:rsidR="004B18C2" w:rsidRDefault="004B18C2" w:rsidP="004B18C2"/>
          <w:p w14:paraId="5BB3D24D" w14:textId="77777777" w:rsidR="004B18C2" w:rsidRDefault="004B18C2" w:rsidP="004B18C2">
            <w:r>
              <w:t xml:space="preserve">KE asked about the compatibility during Phase 1 of the nationally-supplied excel spreadsheet and any local systems in use. QS </w:t>
            </w:r>
            <w:proofErr w:type="gramStart"/>
            <w:r>
              <w:t>confirmed</w:t>
            </w:r>
            <w:proofErr w:type="gramEnd"/>
            <w:r>
              <w:t xml:space="preserve"> that all parts of Wales would collect data against a specified minimum data set.</w:t>
            </w:r>
          </w:p>
          <w:p w14:paraId="1C97ABF1" w14:textId="77777777" w:rsidR="004B18C2" w:rsidRDefault="004B18C2" w:rsidP="004B18C2"/>
          <w:p w14:paraId="01ABF979" w14:textId="77777777" w:rsidR="004B18C2" w:rsidRDefault="004B18C2" w:rsidP="004B18C2">
            <w:proofErr w:type="spellStart"/>
            <w:r>
              <w:t>S</w:t>
            </w:r>
            <w:r w:rsidR="00B97CF9">
              <w:t>t</w:t>
            </w:r>
            <w:r>
              <w:t>P</w:t>
            </w:r>
            <w:proofErr w:type="spellEnd"/>
            <w:r>
              <w:t xml:space="preserve"> welcomed the production of all Wales standards and comprehensive guidance on the operation of contact tracing;</w:t>
            </w:r>
            <w:r w:rsidR="00696507">
              <w:t xml:space="preserve"> </w:t>
            </w:r>
            <w:r>
              <w:t xml:space="preserve">QS mentioned an imminent ‘walk through’ of the </w:t>
            </w:r>
            <w:r w:rsidR="00696507">
              <w:t>guidance,</w:t>
            </w:r>
            <w:r>
              <w:t xml:space="preserve"> involving all </w:t>
            </w:r>
            <w:r w:rsidR="00696507">
              <w:t>partners,</w:t>
            </w:r>
            <w:r>
              <w:t xml:space="preserve"> to ensure clarity on expectations.</w:t>
            </w:r>
          </w:p>
          <w:p w14:paraId="3D8E3DEC" w14:textId="77777777" w:rsidR="004B18C2" w:rsidRDefault="004B18C2" w:rsidP="004B18C2"/>
          <w:p w14:paraId="14EA4B99" w14:textId="77777777" w:rsidR="004B18C2" w:rsidRDefault="004B18C2" w:rsidP="004B18C2">
            <w:r>
              <w:t xml:space="preserve">JW asked about </w:t>
            </w:r>
            <w:proofErr w:type="spellStart"/>
            <w:r>
              <w:t>on going</w:t>
            </w:r>
            <w:proofErr w:type="spellEnd"/>
            <w:r>
              <w:t xml:space="preserve"> messaging around basic hand hygiene and social distancing; HG outlined the campaign work underway or planned.</w:t>
            </w:r>
          </w:p>
          <w:p w14:paraId="7B62F449" w14:textId="77777777" w:rsidR="004B18C2" w:rsidRDefault="004B18C2" w:rsidP="004B18C2"/>
          <w:p w14:paraId="7A563A21" w14:textId="2A7A2A53" w:rsidR="004B18C2" w:rsidRPr="000F79DF" w:rsidRDefault="004B18C2" w:rsidP="004B18C2">
            <w:pPr>
              <w:rPr>
                <w:b/>
              </w:rPr>
            </w:pPr>
            <w:r w:rsidRPr="004B18C2">
              <w:rPr>
                <w:b/>
              </w:rPr>
              <w:t>Sampling and Testing</w:t>
            </w:r>
          </w:p>
          <w:p w14:paraId="5900EAA4" w14:textId="6E14CDB8" w:rsidR="004B18C2" w:rsidRDefault="004B18C2" w:rsidP="004B18C2">
            <w:r>
              <w:t>QS outlined Public Healt</w:t>
            </w:r>
            <w:r w:rsidR="000F79DF">
              <w:t xml:space="preserve">h Wales’ role in this; he drew </w:t>
            </w:r>
            <w:r>
              <w:t>the Board’s attention to public access to on-line booking slots from 29 May and the significance of the approval of the business case for the new laboratory at Imperial Park</w:t>
            </w:r>
            <w:r w:rsidR="000F79DF">
              <w:t xml:space="preserve"> (</w:t>
            </w:r>
            <w:r>
              <w:t>IP5) </w:t>
            </w:r>
          </w:p>
          <w:p w14:paraId="133669BA" w14:textId="77777777" w:rsidR="004B18C2" w:rsidRDefault="004B18C2" w:rsidP="004B18C2"/>
          <w:p w14:paraId="2982B760" w14:textId="10BA1C1B" w:rsidR="004B18C2" w:rsidRDefault="004B18C2" w:rsidP="004B18C2">
            <w:r>
              <w:t xml:space="preserve">DE raised the question of turnaround times for test results; QS contextualised his answer, </w:t>
            </w:r>
            <w:r w:rsidR="00696507">
              <w:t>noting Public</w:t>
            </w:r>
            <w:r>
              <w:t xml:space="preserve"> Health Wales’ responsibility </w:t>
            </w:r>
            <w:r w:rsidR="00696507">
              <w:t>began once swabs</w:t>
            </w:r>
            <w:r>
              <w:t xml:space="preserve"> reached the laboratories. </w:t>
            </w:r>
            <w:r w:rsidR="000F79DF">
              <w:t>The Welsh Government led Test Trace Protect Strategic Oversight Group</w:t>
            </w:r>
            <w:r w:rsidR="000F79DF">
              <w:rPr>
                <w:rFonts w:ascii="Times New Roman" w:eastAsiaTheme="minorHAnsi" w:hAnsi="Times New Roman"/>
              </w:rPr>
              <w:t xml:space="preserve"> </w:t>
            </w:r>
            <w:r>
              <w:t xml:space="preserve">sampling and testing </w:t>
            </w:r>
            <w:r w:rsidR="000F79DF">
              <w:t>work stream</w:t>
            </w:r>
            <w:r w:rsidR="00696507">
              <w:t xml:space="preserve"> was</w:t>
            </w:r>
            <w:r>
              <w:t xml:space="preserve"> developing ‘end-to-end’ performance measures. </w:t>
            </w:r>
          </w:p>
          <w:p w14:paraId="4ED4E3A4" w14:textId="77777777" w:rsidR="000F79DF" w:rsidRPr="000F79DF" w:rsidRDefault="000F79DF" w:rsidP="004B18C2">
            <w:pPr>
              <w:rPr>
                <w:rFonts w:ascii="Times New Roman" w:eastAsiaTheme="minorHAnsi" w:hAnsi="Times New Roman"/>
              </w:rPr>
            </w:pPr>
          </w:p>
          <w:p w14:paraId="16C19733" w14:textId="77777777" w:rsidR="004B18C2" w:rsidRDefault="004B18C2" w:rsidP="004B18C2">
            <w:r>
              <w:t xml:space="preserve">TC indicated the ways in which additional laboratory capacity across Wales would assist turnaround times; HG added detail in respect of capacity in the Rhyl </w:t>
            </w:r>
            <w:r w:rsidR="00696507">
              <w:t>and Singleton</w:t>
            </w:r>
            <w:r>
              <w:t xml:space="preserve"> laboratories</w:t>
            </w:r>
            <w:r w:rsidR="00696507">
              <w:t>, with</w:t>
            </w:r>
            <w:r>
              <w:t xml:space="preserve"> additional orders still in the system.</w:t>
            </w:r>
          </w:p>
          <w:p w14:paraId="1BD23148" w14:textId="77777777" w:rsidR="004B18C2" w:rsidRDefault="004B18C2" w:rsidP="004B18C2"/>
          <w:p w14:paraId="69B96202" w14:textId="520DFE55" w:rsidR="004B18C2" w:rsidRDefault="004B18C2" w:rsidP="004B18C2">
            <w:r>
              <w:t xml:space="preserve">The </w:t>
            </w:r>
            <w:r w:rsidR="00696507">
              <w:t>Board also</w:t>
            </w:r>
            <w:r>
              <w:t xml:space="preserve"> noted the position on antibody testing; this reflected the information provided in the weekly </w:t>
            </w:r>
            <w:proofErr w:type="spellStart"/>
            <w:r>
              <w:t>SitReps</w:t>
            </w:r>
            <w:proofErr w:type="spellEnd"/>
            <w:r>
              <w:t>.</w:t>
            </w:r>
          </w:p>
          <w:p w14:paraId="07F1D22D" w14:textId="77777777" w:rsidR="004B18C2" w:rsidRDefault="004B18C2" w:rsidP="004B18C2"/>
          <w:p w14:paraId="49A20007" w14:textId="30DB4AC1" w:rsidR="004B18C2" w:rsidRPr="00802FD7" w:rsidRDefault="004B18C2" w:rsidP="004B18C2">
            <w:pPr>
              <w:rPr>
                <w:b/>
              </w:rPr>
            </w:pPr>
            <w:r w:rsidRPr="004B18C2">
              <w:rPr>
                <w:b/>
              </w:rPr>
              <w:t>Surveillance </w:t>
            </w:r>
          </w:p>
          <w:p w14:paraId="66E7E615" w14:textId="77777777" w:rsidR="004B18C2" w:rsidRDefault="004B18C2" w:rsidP="004B18C2">
            <w:r>
              <w:t xml:space="preserve">QS </w:t>
            </w:r>
            <w:proofErr w:type="gramStart"/>
            <w:r>
              <w:t>outlined</w:t>
            </w:r>
            <w:proofErr w:type="gramEnd"/>
            <w:r>
              <w:t xml:space="preserve"> the focus of the Public Health Wales’ surveillance </w:t>
            </w:r>
            <w:proofErr w:type="spellStart"/>
            <w:r>
              <w:t>workstream</w:t>
            </w:r>
            <w:proofErr w:type="spellEnd"/>
            <w:r>
              <w:t xml:space="preserve"> and the internal recruitment of an additional 9 analysts to sup</w:t>
            </w:r>
            <w:r w:rsidR="00B97CF9">
              <w:t xml:space="preserve">port the work . He singled out </w:t>
            </w:r>
            <w:r>
              <w:t>current work supporting 250 Welsh residents’ participation in the Oxford vaccine trial; whilst not part of the original plan, this was an important addition.</w:t>
            </w:r>
          </w:p>
          <w:p w14:paraId="69728FCA" w14:textId="77777777" w:rsidR="004B18C2" w:rsidRDefault="004B18C2" w:rsidP="004B18C2"/>
          <w:p w14:paraId="6B032241" w14:textId="00BDF807" w:rsidR="004B18C2" w:rsidRDefault="00B97CF9" w:rsidP="004B18C2">
            <w:r>
              <w:t xml:space="preserve">QS </w:t>
            </w:r>
            <w:proofErr w:type="gramStart"/>
            <w:r w:rsidR="004B18C2">
              <w:t>noted</w:t>
            </w:r>
            <w:proofErr w:type="gramEnd"/>
            <w:r w:rsidR="004B18C2">
              <w:t xml:space="preserve"> the close working with Welsh Government Technical Advisory Cell</w:t>
            </w:r>
            <w:r w:rsidR="000F79DF">
              <w:t xml:space="preserve"> (TAC)</w:t>
            </w:r>
            <w:r w:rsidR="004B18C2">
              <w:t xml:space="preserve">; </w:t>
            </w:r>
            <w:proofErr w:type="spellStart"/>
            <w:r w:rsidR="004B18C2">
              <w:t>S</w:t>
            </w:r>
            <w:r w:rsidR="000F79DF">
              <w:t>t</w:t>
            </w:r>
            <w:r w:rsidR="004B18C2">
              <w:t>P</w:t>
            </w:r>
            <w:proofErr w:type="spellEnd"/>
            <w:r w:rsidR="004B18C2">
              <w:t xml:space="preserve"> welcomed the focus on the suite of indicators proposed for the </w:t>
            </w:r>
            <w:r w:rsidR="00696507">
              <w:t>COVID</w:t>
            </w:r>
            <w:r w:rsidR="004B18C2">
              <w:t xml:space="preserve"> surveillance system and looked forward to further updates on this.</w:t>
            </w:r>
          </w:p>
          <w:p w14:paraId="72460AB3" w14:textId="77777777" w:rsidR="004B18C2" w:rsidRDefault="004B18C2" w:rsidP="004B18C2"/>
          <w:p w14:paraId="463F2A2E" w14:textId="1F87D04A" w:rsidR="004B18C2" w:rsidRPr="00802FD7" w:rsidRDefault="004B18C2" w:rsidP="004B18C2">
            <w:pPr>
              <w:rPr>
                <w:b/>
              </w:rPr>
            </w:pPr>
            <w:r w:rsidRPr="004B18C2">
              <w:rPr>
                <w:b/>
              </w:rPr>
              <w:t>Communications and Engagement</w:t>
            </w:r>
          </w:p>
          <w:p w14:paraId="00420713" w14:textId="77777777" w:rsidR="004B18C2" w:rsidRDefault="004B18C2" w:rsidP="004B18C2">
            <w:r>
              <w:t>HG summarised the key role that Public Health Wales had to play in public messaging and in providing support to Welsh Government. He outlined the focus of the work over the next 6 weeks and TC added detail on the involvement of the behaviour change team.</w:t>
            </w:r>
          </w:p>
          <w:p w14:paraId="001607A6" w14:textId="77777777" w:rsidR="004B18C2" w:rsidRDefault="004B18C2" w:rsidP="004B18C2"/>
          <w:p w14:paraId="68301111" w14:textId="041C2EB5" w:rsidR="004B18C2" w:rsidRDefault="004B18C2" w:rsidP="004B18C2">
            <w:r>
              <w:t xml:space="preserve">JW welcomed the prominence given to this </w:t>
            </w:r>
            <w:proofErr w:type="spellStart"/>
            <w:r w:rsidR="00696507">
              <w:t>workstream</w:t>
            </w:r>
            <w:proofErr w:type="spellEnd"/>
            <w:r w:rsidR="00696507">
              <w:t>,</w:t>
            </w:r>
            <w:r>
              <w:t xml:space="preserve"> complimenting the team on the ‘How are you doing?’ campaign a</w:t>
            </w:r>
            <w:r w:rsidR="00696507">
              <w:t xml:space="preserve">nd the breadth of both internal </w:t>
            </w:r>
            <w:r w:rsidR="000F79DF">
              <w:t>a</w:t>
            </w:r>
            <w:r>
              <w:t>nd external engagement.</w:t>
            </w:r>
          </w:p>
          <w:p w14:paraId="170BB65F" w14:textId="77777777" w:rsidR="004B18C2" w:rsidRDefault="004B18C2" w:rsidP="004B18C2"/>
          <w:p w14:paraId="7D109D0B" w14:textId="4641CDFA" w:rsidR="004B18C2" w:rsidRPr="00802FD7" w:rsidRDefault="004B18C2" w:rsidP="004B18C2">
            <w:pPr>
              <w:rPr>
                <w:b/>
              </w:rPr>
            </w:pPr>
            <w:r w:rsidRPr="004B18C2">
              <w:rPr>
                <w:b/>
              </w:rPr>
              <w:t>Our People</w:t>
            </w:r>
          </w:p>
          <w:p w14:paraId="016599A0" w14:textId="77777777" w:rsidR="004B18C2" w:rsidRDefault="004B18C2" w:rsidP="004B18C2">
            <w:r>
              <w:t>RB-W commented on the state of preparedness for the Plan and the balancing of that requirement with the need to support the Organisational Recovery Programme.</w:t>
            </w:r>
          </w:p>
          <w:p w14:paraId="31C32E85" w14:textId="77777777" w:rsidR="00696507" w:rsidRDefault="00696507" w:rsidP="004B18C2"/>
          <w:p w14:paraId="27DC8248" w14:textId="77777777" w:rsidR="004B18C2" w:rsidRDefault="004B18C2" w:rsidP="004B18C2">
            <w:r>
              <w:t>The health, well-being and safety of staff were paramount and RB-W noted that initial feedback from the staff survey was positive. She also mentioned the launch of the risk assessment tool for staff from a BAME background; this also had wider application and would be introduced accordingly. JR welcomed this, underlining its importance.</w:t>
            </w:r>
          </w:p>
          <w:p w14:paraId="517EBA97" w14:textId="77777777" w:rsidR="004B18C2" w:rsidRDefault="004B18C2" w:rsidP="004B18C2"/>
          <w:p w14:paraId="05C91E6B" w14:textId="2B20ABC4" w:rsidR="004B18C2" w:rsidRDefault="004B18C2" w:rsidP="004B18C2">
            <w:r>
              <w:t>JW thanked RB-W for the update, noting that the Board would have another opportunity to ask about workforce matters in the following agenda item.</w:t>
            </w:r>
          </w:p>
          <w:p w14:paraId="1F6A385A" w14:textId="1DAD84A4" w:rsidR="00802FD7" w:rsidRDefault="00802FD7" w:rsidP="004B18C2"/>
          <w:p w14:paraId="24C64924" w14:textId="3AF82B2F" w:rsidR="00802FD7" w:rsidRDefault="00802FD7" w:rsidP="004B18C2"/>
          <w:p w14:paraId="5D9D85A3" w14:textId="5EF08F27" w:rsidR="00802FD7" w:rsidRDefault="00802FD7" w:rsidP="004B18C2"/>
          <w:p w14:paraId="68986E15" w14:textId="26E2B7F6" w:rsidR="004B18C2" w:rsidRPr="000F79DF" w:rsidRDefault="004B18C2" w:rsidP="004B18C2">
            <w:pPr>
              <w:rPr>
                <w:b/>
              </w:rPr>
            </w:pPr>
            <w:r w:rsidRPr="004B18C2">
              <w:rPr>
                <w:b/>
              </w:rPr>
              <w:t>Digital Requirements</w:t>
            </w:r>
          </w:p>
          <w:p w14:paraId="3AC418AF" w14:textId="77777777" w:rsidR="004B18C2" w:rsidRDefault="004B18C2" w:rsidP="004B18C2">
            <w:r>
              <w:t>QS drew the Board’s attention to the digital risks identified, emphasising the critical importance of both the Case and Contract Management System and IP5 business case approval. He also underlined the importance of effective information governance across the system.</w:t>
            </w:r>
          </w:p>
          <w:p w14:paraId="0FF3D17C" w14:textId="77777777" w:rsidR="004B18C2" w:rsidRDefault="004B18C2" w:rsidP="004B18C2"/>
          <w:p w14:paraId="13CA063F" w14:textId="2F8A4AFA" w:rsidR="004B18C2" w:rsidRPr="000F79DF" w:rsidRDefault="004B18C2" w:rsidP="004B18C2">
            <w:pPr>
              <w:rPr>
                <w:b/>
              </w:rPr>
            </w:pPr>
            <w:r w:rsidRPr="004B18C2">
              <w:rPr>
                <w:b/>
              </w:rPr>
              <w:t>International Learning and Intelligence</w:t>
            </w:r>
          </w:p>
          <w:p w14:paraId="485E6518" w14:textId="77777777" w:rsidR="004B18C2" w:rsidRDefault="004B18C2" w:rsidP="004B18C2">
            <w:r>
              <w:t xml:space="preserve">QS </w:t>
            </w:r>
            <w:proofErr w:type="gramStart"/>
            <w:r>
              <w:t>reminded</w:t>
            </w:r>
            <w:proofErr w:type="gramEnd"/>
            <w:r>
              <w:t xml:space="preserve"> the Board of the active role Public Health Wales played  in IANPHI and the benefits of international engagement through webinars and other mechanisms.</w:t>
            </w:r>
          </w:p>
          <w:p w14:paraId="68592B20" w14:textId="77777777" w:rsidR="004B18C2" w:rsidRDefault="004B18C2" w:rsidP="004B18C2"/>
          <w:p w14:paraId="3FD8498F" w14:textId="4502C4AD" w:rsidR="004B18C2" w:rsidRDefault="004B18C2" w:rsidP="004B18C2">
            <w:r>
              <w:t>MB emphasised the importance of evidence-informed decision-making in mitigating against th</w:t>
            </w:r>
            <w:r w:rsidR="00AC758D">
              <w:t>e negative consequences of COVID</w:t>
            </w:r>
            <w:r>
              <w:t>-19 and in optimising benefits. He noted the ways in which Public Health Wales was applying its WHO Collaborating  Centre status: through the National Public Engagement Survey, International Horizon  Scann</w:t>
            </w:r>
            <w:r w:rsidR="00AC758D">
              <w:t>ing and the development of COVID</w:t>
            </w:r>
            <w:r>
              <w:t>-19 Health Impact Assessments. A Dashboard of broader health trends would complete the suite of systemic intelligence-based products to inform policy and decision-making.</w:t>
            </w:r>
          </w:p>
          <w:p w14:paraId="678AD21B" w14:textId="77777777" w:rsidR="00696507" w:rsidRDefault="00696507" w:rsidP="004B18C2"/>
          <w:p w14:paraId="53AB49DF" w14:textId="77777777" w:rsidR="004B18C2" w:rsidRDefault="004B18C2" w:rsidP="004B18C2">
            <w:r>
              <w:t xml:space="preserve">SP reflected on how this work formed such an important part of `Public Health Wales’ role; KE echoed that </w:t>
            </w:r>
            <w:r w:rsidR="00327B89">
              <w:t>point,</w:t>
            </w:r>
            <w:r>
              <w:t xml:space="preserve"> referencing specifically the value-added contribution of the forthcoming dashboard.</w:t>
            </w:r>
          </w:p>
          <w:p w14:paraId="6D3DD7B6" w14:textId="77777777" w:rsidR="004B18C2" w:rsidRDefault="004B18C2" w:rsidP="004B18C2"/>
          <w:p w14:paraId="45E680E3" w14:textId="014D33B4" w:rsidR="004B18C2" w:rsidRPr="000F79DF" w:rsidRDefault="004B18C2" w:rsidP="004B18C2">
            <w:pPr>
              <w:rPr>
                <w:b/>
              </w:rPr>
            </w:pPr>
            <w:r w:rsidRPr="004B18C2">
              <w:rPr>
                <w:b/>
              </w:rPr>
              <w:t>Research and Evaluation</w:t>
            </w:r>
          </w:p>
          <w:p w14:paraId="36EB5251" w14:textId="77777777" w:rsidR="004B18C2" w:rsidRPr="00696507" w:rsidRDefault="004B18C2" w:rsidP="004B18C2">
            <w:pPr>
              <w:rPr>
                <w:b/>
              </w:rPr>
            </w:pPr>
            <w:r>
              <w:t xml:space="preserve">QS </w:t>
            </w:r>
            <w:proofErr w:type="gramStart"/>
            <w:r>
              <w:t>summarised</w:t>
            </w:r>
            <w:proofErr w:type="gramEnd"/>
            <w:r>
              <w:t xml:space="preserve"> the ways in which existing research and evaluation activities aligned to the Plan </w:t>
            </w:r>
            <w:proofErr w:type="spellStart"/>
            <w:r>
              <w:t>workstreams</w:t>
            </w:r>
            <w:proofErr w:type="spellEnd"/>
            <w:r>
              <w:t>, as did the ongoing evaluation plans. SB confirmed that she would forward the evaluation of the or</w:t>
            </w:r>
            <w:r w:rsidR="00696507">
              <w:t xml:space="preserve">iginal contact tracing function. </w:t>
            </w:r>
            <w:r w:rsidRPr="00696507">
              <w:rPr>
                <w:b/>
              </w:rPr>
              <w:t>ACTION: SB </w:t>
            </w:r>
          </w:p>
          <w:p w14:paraId="7CC1BCB2" w14:textId="77777777" w:rsidR="004B18C2" w:rsidRDefault="004B18C2" w:rsidP="00696C86">
            <w:pPr>
              <w:rPr>
                <w:b/>
              </w:rPr>
            </w:pPr>
          </w:p>
          <w:p w14:paraId="1D0AE2C2" w14:textId="02FD1C6E" w:rsidR="004B18C2" w:rsidRPr="000F79DF" w:rsidRDefault="004B18C2" w:rsidP="004B18C2">
            <w:pPr>
              <w:rPr>
                <w:rFonts w:ascii="Times New Roman" w:eastAsiaTheme="minorHAnsi" w:hAnsi="Times New Roman"/>
                <w:b/>
              </w:rPr>
            </w:pPr>
            <w:r w:rsidRPr="004B18C2">
              <w:rPr>
                <w:b/>
              </w:rPr>
              <w:t>Quality, Safety, Information Governance and  Risk</w:t>
            </w:r>
          </w:p>
          <w:p w14:paraId="45A9F335" w14:textId="1DDD95E0" w:rsidR="004B18C2" w:rsidRDefault="004B18C2" w:rsidP="004B18C2">
            <w:r>
              <w:t xml:space="preserve">RB-W outlined the ways in which this </w:t>
            </w:r>
            <w:proofErr w:type="spellStart"/>
            <w:r>
              <w:t>workstream</w:t>
            </w:r>
            <w:proofErr w:type="spellEnd"/>
            <w:r>
              <w:t xml:space="preserve"> would support the 4 public health response </w:t>
            </w:r>
            <w:proofErr w:type="spellStart"/>
            <w:r>
              <w:t>workstreams</w:t>
            </w:r>
            <w:proofErr w:type="spellEnd"/>
            <w:r>
              <w:t xml:space="preserve"> and provide approaches and products to assure Gold, </w:t>
            </w:r>
            <w:r w:rsidR="000F79DF">
              <w:t>Quality, Safety and Improvement Committee (</w:t>
            </w:r>
            <w:r>
              <w:t>QSIC</w:t>
            </w:r>
            <w:r w:rsidR="000F79DF">
              <w:t>)</w:t>
            </w:r>
            <w:r>
              <w:t xml:space="preserve"> and the Board. Board members noted the schedule of </w:t>
            </w:r>
            <w:r w:rsidR="00696507">
              <w:t>products,</w:t>
            </w:r>
            <w:r>
              <w:t xml:space="preserve"> the risks and issues highlighted and the oversight arrangements.</w:t>
            </w:r>
          </w:p>
          <w:p w14:paraId="23E42414" w14:textId="77777777" w:rsidR="004B18C2" w:rsidRDefault="004B18C2" w:rsidP="004B18C2"/>
          <w:p w14:paraId="3F2DBF7A" w14:textId="5E837CA8" w:rsidR="004B18C2" w:rsidRPr="00774210" w:rsidRDefault="004B18C2" w:rsidP="004B18C2">
            <w:pPr>
              <w:rPr>
                <w:b/>
              </w:rPr>
            </w:pPr>
            <w:r w:rsidRPr="004B18C2">
              <w:rPr>
                <w:b/>
              </w:rPr>
              <w:t>Finance and Supply Chain</w:t>
            </w:r>
          </w:p>
          <w:p w14:paraId="591786BC" w14:textId="34DA43B1" w:rsidR="004B18C2" w:rsidRDefault="004B18C2" w:rsidP="004B18C2">
            <w:r>
              <w:t xml:space="preserve">HG drew the Board’s attention to the financial costs associated with </w:t>
            </w:r>
            <w:r w:rsidR="00696507">
              <w:t>testing;</w:t>
            </w:r>
            <w:r>
              <w:t xml:space="preserve"> he had drawn these to the attention of Welsh </w:t>
            </w:r>
            <w:r w:rsidR="00696507">
              <w:t>Government,</w:t>
            </w:r>
            <w:r>
              <w:t xml:space="preserve"> but the total qua</w:t>
            </w:r>
            <w:r w:rsidR="00774210">
              <w:t>ntum of funding to address COVID</w:t>
            </w:r>
            <w:r>
              <w:t>-19 costs across Wales remained fluid and uncertain.</w:t>
            </w:r>
          </w:p>
          <w:p w14:paraId="7698BBDA" w14:textId="77777777" w:rsidR="004B18C2" w:rsidRDefault="004B18C2" w:rsidP="004B18C2"/>
          <w:p w14:paraId="24296E2B" w14:textId="182FB485" w:rsidR="004B18C2" w:rsidRDefault="004B18C2" w:rsidP="004B18C2">
            <w:r>
              <w:t>He also commented on the further cost analysis under way in 56 of the 70 Stage 1 deliverables.</w:t>
            </w:r>
          </w:p>
          <w:p w14:paraId="792D15AC" w14:textId="77777777" w:rsidR="007F56D9" w:rsidRDefault="007F56D9" w:rsidP="004B18C2"/>
          <w:p w14:paraId="36E45691" w14:textId="77777777" w:rsidR="00774210" w:rsidRDefault="00774210" w:rsidP="004B18C2"/>
          <w:p w14:paraId="5A56852B" w14:textId="79A49BAB" w:rsidR="004B18C2" w:rsidRPr="00774210" w:rsidRDefault="004B18C2" w:rsidP="004B18C2">
            <w:pPr>
              <w:rPr>
                <w:b/>
              </w:rPr>
            </w:pPr>
            <w:r w:rsidRPr="004B18C2">
              <w:rPr>
                <w:b/>
              </w:rPr>
              <w:t>Relationships</w:t>
            </w:r>
          </w:p>
          <w:p w14:paraId="443FA8F9" w14:textId="6674397D" w:rsidR="004B18C2" w:rsidRDefault="004B18C2" w:rsidP="004B18C2">
            <w:r>
              <w:t xml:space="preserve">HG </w:t>
            </w:r>
            <w:r w:rsidR="00774210">
              <w:t>outlined</w:t>
            </w:r>
            <w:r>
              <w:t xml:space="preserve"> the work planned against this </w:t>
            </w:r>
            <w:proofErr w:type="spellStart"/>
            <w:r>
              <w:t>workstream</w:t>
            </w:r>
            <w:proofErr w:type="spellEnd"/>
            <w:r>
              <w:t>, noting the connection with communications and engagement.</w:t>
            </w:r>
          </w:p>
          <w:p w14:paraId="594236F1" w14:textId="77777777" w:rsidR="004B18C2" w:rsidRDefault="004B18C2" w:rsidP="004B18C2"/>
          <w:p w14:paraId="5C429743" w14:textId="4A9744FD" w:rsidR="004B18C2" w:rsidRDefault="004B18C2" w:rsidP="004B18C2">
            <w:r>
              <w:t xml:space="preserve">QS </w:t>
            </w:r>
            <w:proofErr w:type="gramStart"/>
            <w:r>
              <w:t>concluded</w:t>
            </w:r>
            <w:proofErr w:type="gramEnd"/>
            <w:r>
              <w:t xml:space="preserve"> by noting that the Operational F</w:t>
            </w:r>
            <w:r w:rsidR="00774210">
              <w:t xml:space="preserve">ramework, </w:t>
            </w:r>
            <w:r w:rsidR="00B97CF9">
              <w:t>set out in Appendix B</w:t>
            </w:r>
            <w:r>
              <w:t>,</w:t>
            </w:r>
            <w:r w:rsidR="00B97CF9">
              <w:t xml:space="preserve"> </w:t>
            </w:r>
            <w:r w:rsidR="001D5B3A">
              <w:t>had been</w:t>
            </w:r>
            <w:r>
              <w:t xml:space="preserve"> prepared prior to </w:t>
            </w:r>
            <w:r w:rsidRPr="00774210">
              <w:rPr>
                <w:i/>
              </w:rPr>
              <w:t>Test, Trace and Protect</w:t>
            </w:r>
            <w:r>
              <w:t xml:space="preserve"> and was presented for information.</w:t>
            </w:r>
          </w:p>
          <w:p w14:paraId="01B1CBC5" w14:textId="77777777" w:rsidR="00696507" w:rsidRDefault="00696507" w:rsidP="004B18C2"/>
          <w:p w14:paraId="1CE303A9" w14:textId="77777777" w:rsidR="004B18C2" w:rsidRDefault="004B18C2" w:rsidP="004B18C2">
            <w:r>
              <w:t>He placed on record his thanks to Sally Atwood and Nathan Jones for their invaluable assistance in compiling the Plan; QS also thanked all colleagues for their inputs and commended the Plan to the Board.</w:t>
            </w:r>
          </w:p>
          <w:p w14:paraId="4C101BA0" w14:textId="77777777" w:rsidR="004B18C2" w:rsidRDefault="004B18C2" w:rsidP="004B18C2"/>
          <w:p w14:paraId="2100A092" w14:textId="77777777" w:rsidR="004B18C2" w:rsidRDefault="004B18C2" w:rsidP="004B18C2">
            <w:r>
              <w:t xml:space="preserve">On behalf of the Board, JW thanked all those involved in producing the Plan; it set out clearly Public Health Wales’ role and responsibilities, itemised the activities, products and risks associated with each </w:t>
            </w:r>
            <w:proofErr w:type="spellStart"/>
            <w:r>
              <w:t>workstream</w:t>
            </w:r>
            <w:proofErr w:type="spellEnd"/>
            <w:r>
              <w:t xml:space="preserve"> and provided a firm foundation for the Stage 2 Plan. JW confirmed that the whole Board would have the opportunity to discuss that in the following week.</w:t>
            </w:r>
          </w:p>
          <w:p w14:paraId="301CB38B" w14:textId="77777777" w:rsidR="00696507" w:rsidRDefault="00696507" w:rsidP="00696507"/>
          <w:p w14:paraId="58209F4E" w14:textId="75A8384F" w:rsidR="004B18C2" w:rsidRDefault="00696507" w:rsidP="00696507">
            <w:r>
              <w:t xml:space="preserve">The Board </w:t>
            </w:r>
            <w:r w:rsidRPr="00696507">
              <w:rPr>
                <w:b/>
              </w:rPr>
              <w:t>resolved</w:t>
            </w:r>
            <w:r>
              <w:t xml:space="preserve"> to approve the Implementation Plan and note</w:t>
            </w:r>
            <w:r w:rsidR="00D6662E">
              <w:t>d</w:t>
            </w:r>
            <w:r>
              <w:t xml:space="preserve"> the progress, including the production of the COVID-19 Case Finding and Contact Tracing Operating Framework.</w:t>
            </w:r>
          </w:p>
          <w:p w14:paraId="768C5BEF" w14:textId="77777777" w:rsidR="004B18C2" w:rsidRPr="005B2B6A" w:rsidRDefault="004B18C2" w:rsidP="00696C86">
            <w:pPr>
              <w:rPr>
                <w:b/>
              </w:rPr>
            </w:pPr>
          </w:p>
        </w:tc>
      </w:tr>
      <w:tr w:rsidR="00120486" w:rsidRPr="00D407B7" w14:paraId="05097D4D" w14:textId="77777777" w:rsidTr="00410CAA">
        <w:trPr>
          <w:jc w:val="center"/>
        </w:trPr>
        <w:tc>
          <w:tcPr>
            <w:tcW w:w="9657" w:type="dxa"/>
            <w:gridSpan w:val="4"/>
            <w:shd w:val="clear" w:color="auto" w:fill="auto"/>
          </w:tcPr>
          <w:p w14:paraId="50B9DABE" w14:textId="77777777" w:rsidR="00120486" w:rsidRDefault="00120486" w:rsidP="00410CAA">
            <w:pPr>
              <w:tabs>
                <w:tab w:val="left" w:pos="2300"/>
              </w:tabs>
            </w:pPr>
            <w:r>
              <w:rPr>
                <w:b/>
              </w:rPr>
              <w:t>PHW90</w:t>
            </w:r>
            <w:r w:rsidRPr="004B18C2">
              <w:rPr>
                <w:b/>
              </w:rPr>
              <w:t xml:space="preserve">/2020 </w:t>
            </w:r>
            <w:r>
              <w:rPr>
                <w:b/>
              </w:rPr>
              <w:tab/>
              <w:t>COVID-19</w:t>
            </w:r>
          </w:p>
        </w:tc>
      </w:tr>
      <w:tr w:rsidR="004B18C2" w:rsidRPr="00D407B7" w14:paraId="2783C721" w14:textId="77777777" w:rsidTr="00E43FD3">
        <w:trPr>
          <w:jc w:val="center"/>
        </w:trPr>
        <w:tc>
          <w:tcPr>
            <w:tcW w:w="9657" w:type="dxa"/>
            <w:gridSpan w:val="4"/>
            <w:shd w:val="clear" w:color="auto" w:fill="auto"/>
          </w:tcPr>
          <w:p w14:paraId="44F2B8BC" w14:textId="1FE1DCEF" w:rsidR="009D19C8" w:rsidRDefault="009D19C8" w:rsidP="009D19C8">
            <w:r w:rsidRPr="00D407B7">
              <w:t xml:space="preserve">The Board </w:t>
            </w:r>
            <w:r w:rsidRPr="00D407B7">
              <w:rPr>
                <w:b/>
              </w:rPr>
              <w:t xml:space="preserve">received </w:t>
            </w:r>
            <w:r w:rsidRPr="00D407B7">
              <w:t xml:space="preserve">the </w:t>
            </w:r>
            <w:r>
              <w:t>COVID-19 Update</w:t>
            </w:r>
            <w:r w:rsidRPr="007C3045">
              <w:t xml:space="preserve"> </w:t>
            </w:r>
            <w:r w:rsidR="000924A8" w:rsidRPr="000924A8">
              <w:t xml:space="preserve">(Ref </w:t>
            </w:r>
            <w:r w:rsidR="000924A8">
              <w:t>4.3.1</w:t>
            </w:r>
            <w:r w:rsidR="000924A8" w:rsidRPr="000924A8">
              <w:t>.280520)</w:t>
            </w:r>
          </w:p>
          <w:p w14:paraId="2EA5D3DF" w14:textId="77777777" w:rsidR="009D19C8" w:rsidRDefault="009D19C8" w:rsidP="009D19C8"/>
          <w:p w14:paraId="2ABDE81B" w14:textId="036E2176" w:rsidR="004B18C2" w:rsidRDefault="004B18C2" w:rsidP="004B18C2">
            <w:r>
              <w:t xml:space="preserve">Given that the detailed discussion on the Plan </w:t>
            </w:r>
            <w:r w:rsidR="00696507">
              <w:t>had covered</w:t>
            </w:r>
            <w:r>
              <w:t xml:space="preserve"> much of the </w:t>
            </w:r>
            <w:r w:rsidR="00696507">
              <w:t>material set</w:t>
            </w:r>
            <w:r>
              <w:t xml:space="preserve"> out in this report, JW proposed to focus on Appendix 5</w:t>
            </w:r>
            <w:r w:rsidR="00802FD7">
              <w:t xml:space="preserve"> </w:t>
            </w:r>
            <w:r>
              <w:t>-</w:t>
            </w:r>
            <w:r w:rsidR="00802FD7">
              <w:t xml:space="preserve"> </w:t>
            </w:r>
            <w:r>
              <w:t xml:space="preserve">the </w:t>
            </w:r>
            <w:r w:rsidR="00696507">
              <w:t>Public Health</w:t>
            </w:r>
            <w:r>
              <w:t xml:space="preserve"> Wales workforce. </w:t>
            </w:r>
            <w:r w:rsidR="00696507">
              <w:t>Board members</w:t>
            </w:r>
            <w:r>
              <w:t xml:space="preserve"> supported this proposition and JW invited RB-W to provide an update</w:t>
            </w:r>
            <w:r w:rsidR="000924A8">
              <w:t>.</w:t>
            </w:r>
          </w:p>
          <w:p w14:paraId="527E2255" w14:textId="77777777" w:rsidR="00696507" w:rsidRDefault="00696507" w:rsidP="004B18C2">
            <w:pPr>
              <w:rPr>
                <w:rFonts w:ascii="Times New Roman" w:eastAsiaTheme="minorHAnsi" w:hAnsi="Times New Roman"/>
              </w:rPr>
            </w:pPr>
          </w:p>
          <w:p w14:paraId="4BF7FE81" w14:textId="38E35EC4" w:rsidR="004B18C2" w:rsidRDefault="004B18C2" w:rsidP="004B18C2">
            <w:r>
              <w:t>RB-W drew attention to the workforce mobilisation system and the number of interactive dashboards; she provided an overview of workforce availability, noting that 1,562 staff members were eithe</w:t>
            </w:r>
            <w:r w:rsidR="00AC758D">
              <w:t>r deployed as part of the COVID</w:t>
            </w:r>
            <w:r>
              <w:t>-19 response or were delivering a critical non-</w:t>
            </w:r>
            <w:r w:rsidR="00696507">
              <w:t>COVID</w:t>
            </w:r>
            <w:r>
              <w:t xml:space="preserve"> service.</w:t>
            </w:r>
            <w:r w:rsidR="00696507">
              <w:t xml:space="preserve"> </w:t>
            </w:r>
            <w:r>
              <w:t>332 were available for internal deployment or for mutual aid to the wider NHS.</w:t>
            </w:r>
          </w:p>
          <w:p w14:paraId="03EB7CB9" w14:textId="77777777" w:rsidR="00696507" w:rsidRDefault="00696507" w:rsidP="004B18C2"/>
          <w:p w14:paraId="7C1C8139" w14:textId="77777777" w:rsidR="004B18C2" w:rsidRDefault="004B18C2" w:rsidP="004B18C2">
            <w:r>
              <w:t xml:space="preserve">RB-W went on to comment on the number of mutual aid requests and the pressures  associated with staffing the National Contact Centre, </w:t>
            </w:r>
            <w:r w:rsidR="00016065">
              <w:t>COVID</w:t>
            </w:r>
            <w:r>
              <w:t xml:space="preserve"> and other business critical functions She acknowledged the genuine anxiety a number of staff were experiencing around returning to the workplace.</w:t>
            </w:r>
          </w:p>
          <w:p w14:paraId="6C965480" w14:textId="77777777" w:rsidR="004B18C2" w:rsidRDefault="004B18C2" w:rsidP="004B18C2"/>
          <w:p w14:paraId="5E34A8CF" w14:textId="77777777" w:rsidR="004B18C2" w:rsidRDefault="004B18C2" w:rsidP="004B18C2">
            <w:r>
              <w:t>KE sought clarity on the numbers of staff available for deployment, asking whether the 322 number resulted from the further analysis of the 500-550 estimate presented at the last Board meeting. </w:t>
            </w:r>
          </w:p>
          <w:p w14:paraId="253D0636" w14:textId="77777777" w:rsidR="00016065" w:rsidRDefault="00016065" w:rsidP="004B18C2"/>
          <w:p w14:paraId="31240682" w14:textId="77777777" w:rsidR="004B18C2" w:rsidRPr="00016065" w:rsidRDefault="004B18C2" w:rsidP="004B18C2">
            <w:pPr>
              <w:rPr>
                <w:b/>
              </w:rPr>
            </w:pPr>
            <w:r>
              <w:t>RB-W set out the work still underway to populate the digital workforce model and agreed to provide added detail outside the meeting.</w:t>
            </w:r>
            <w:r w:rsidR="00016065">
              <w:t xml:space="preserve"> </w:t>
            </w:r>
            <w:r w:rsidR="00B97CF9">
              <w:rPr>
                <w:b/>
              </w:rPr>
              <w:t>ACTION</w:t>
            </w:r>
            <w:r w:rsidRPr="00016065">
              <w:rPr>
                <w:b/>
              </w:rPr>
              <w:t>: RB-W</w:t>
            </w:r>
          </w:p>
          <w:p w14:paraId="661DE325" w14:textId="5CC3E71F" w:rsidR="004B18C2" w:rsidRDefault="004B18C2" w:rsidP="004B18C2">
            <w:r>
              <w:t>JW then invited PB to comment on the work underway in respect of My Contribution, following the limited assurance audit report that the Audit</w:t>
            </w:r>
            <w:r w:rsidR="00016065">
              <w:t xml:space="preserve"> and Corporate Governance </w:t>
            </w:r>
            <w:r>
              <w:t>Committee had considered.</w:t>
            </w:r>
          </w:p>
          <w:p w14:paraId="239FED5E" w14:textId="77777777" w:rsidR="00016065" w:rsidRDefault="00016065" w:rsidP="004B18C2"/>
          <w:p w14:paraId="4961EA57" w14:textId="77777777" w:rsidR="004B18C2" w:rsidRDefault="004B18C2" w:rsidP="004B18C2">
            <w:r>
              <w:t>PB detailed the challenges associated with achieving the level of compliance required and the work in hand to develop an action plan.</w:t>
            </w:r>
          </w:p>
          <w:p w14:paraId="4C67F87A" w14:textId="77777777" w:rsidR="00016065" w:rsidRDefault="00016065" w:rsidP="004B18C2"/>
          <w:p w14:paraId="4BB4373D" w14:textId="77777777" w:rsidR="004B18C2" w:rsidRPr="00016065" w:rsidRDefault="004B18C2" w:rsidP="004B18C2">
            <w:pPr>
              <w:rPr>
                <w:b/>
              </w:rPr>
            </w:pPr>
            <w:r>
              <w:t>TC confirme</w:t>
            </w:r>
            <w:r w:rsidR="00016065">
              <w:t>d that the executive would take</w:t>
            </w:r>
            <w:r>
              <w:t xml:space="preserve"> the opportunity of the </w:t>
            </w:r>
            <w:r w:rsidR="00016065">
              <w:t>Organisational Recovery</w:t>
            </w:r>
            <w:r>
              <w:t xml:space="preserve"> Programme to redesign the process and to present this to the Audit</w:t>
            </w:r>
            <w:r w:rsidR="00016065">
              <w:t xml:space="preserve"> and Corporate Governance</w:t>
            </w:r>
            <w:r>
              <w:t xml:space="preserve"> Committee</w:t>
            </w:r>
            <w:r w:rsidR="00016065">
              <w:t xml:space="preserve">. </w:t>
            </w:r>
            <w:r w:rsidRPr="00016065">
              <w:rPr>
                <w:b/>
              </w:rPr>
              <w:t>ACTION: PB</w:t>
            </w:r>
          </w:p>
          <w:p w14:paraId="5BB7ED9C" w14:textId="77777777" w:rsidR="004B18C2" w:rsidRDefault="004B18C2" w:rsidP="004B18C2"/>
          <w:p w14:paraId="3A235A54" w14:textId="77777777" w:rsidR="004B18C2" w:rsidRDefault="004B18C2" w:rsidP="004B18C2">
            <w:r>
              <w:t xml:space="preserve">PB then summarised the weekly meetings with Trades </w:t>
            </w:r>
            <w:r w:rsidR="00016065">
              <w:t>Union colleagues</w:t>
            </w:r>
            <w:r>
              <w:t>, under the auspices of the Local Partnership Forum;</w:t>
            </w:r>
            <w:r w:rsidR="00016065">
              <w:t xml:space="preserve"> </w:t>
            </w:r>
            <w:r>
              <w:t>SW commented on the utility and value of these meetings.</w:t>
            </w:r>
          </w:p>
          <w:p w14:paraId="794D2E7D" w14:textId="77777777" w:rsidR="004B18C2" w:rsidRDefault="004B18C2" w:rsidP="004B18C2"/>
          <w:p w14:paraId="20FD79C8" w14:textId="77777777" w:rsidR="00016065" w:rsidRDefault="00016065" w:rsidP="004B18C2">
            <w:r>
              <w:t xml:space="preserve">The Board </w:t>
            </w:r>
            <w:r w:rsidRPr="009D19C8">
              <w:rPr>
                <w:b/>
              </w:rPr>
              <w:t>resolved</w:t>
            </w:r>
            <w:r>
              <w:t xml:space="preserve"> to consider and </w:t>
            </w:r>
            <w:r w:rsidRPr="00016065">
              <w:rPr>
                <w:b/>
              </w:rPr>
              <w:t>note</w:t>
            </w:r>
            <w:r>
              <w:t xml:space="preserve"> the update provided in the report in respect of COVID-19. </w:t>
            </w:r>
          </w:p>
          <w:p w14:paraId="3735B79D" w14:textId="77777777" w:rsidR="000924A8" w:rsidRDefault="000924A8" w:rsidP="004B18C2"/>
          <w:p w14:paraId="63C841C4" w14:textId="02CD0105" w:rsidR="000924A8" w:rsidRDefault="000924A8" w:rsidP="00696C86">
            <w:pPr>
              <w:rPr>
                <w:b/>
              </w:rPr>
            </w:pPr>
            <w:r>
              <w:rPr>
                <w:b/>
              </w:rPr>
              <w:t>Enclosed Cell Settings</w:t>
            </w:r>
          </w:p>
          <w:p w14:paraId="148FEE19" w14:textId="77777777" w:rsidR="000924A8" w:rsidRDefault="000924A8" w:rsidP="000924A8">
            <w:pPr>
              <w:rPr>
                <w:rFonts w:eastAsia="Times New Roman"/>
                <w:color w:val="000000" w:themeColor="text1"/>
              </w:rPr>
            </w:pPr>
            <w:r>
              <w:rPr>
                <w:rFonts w:eastAsia="Times New Roman"/>
                <w:color w:val="000000" w:themeColor="text1"/>
              </w:rPr>
              <w:t xml:space="preserve">The Board </w:t>
            </w:r>
            <w:r w:rsidRPr="00640C5A">
              <w:rPr>
                <w:rFonts w:eastAsia="Times New Roman"/>
                <w:b/>
                <w:color w:val="000000" w:themeColor="text1"/>
              </w:rPr>
              <w:t>received</w:t>
            </w:r>
            <w:r>
              <w:rPr>
                <w:rFonts w:eastAsia="Times New Roman"/>
                <w:color w:val="000000" w:themeColor="text1"/>
              </w:rPr>
              <w:t xml:space="preserve"> the Enclosed Setting Cell paper </w:t>
            </w:r>
            <w:r w:rsidRPr="000924A8">
              <w:t xml:space="preserve">(Ref </w:t>
            </w:r>
            <w:r>
              <w:t>4.3.2</w:t>
            </w:r>
            <w:r w:rsidRPr="000924A8">
              <w:t>.280520</w:t>
            </w:r>
            <w:r>
              <w:rPr>
                <w:rFonts w:eastAsia="Times New Roman"/>
                <w:color w:val="000000" w:themeColor="text1"/>
              </w:rPr>
              <w:t xml:space="preserve">). </w:t>
            </w:r>
          </w:p>
          <w:p w14:paraId="70ADEC27" w14:textId="77777777" w:rsidR="000924A8" w:rsidRDefault="000924A8" w:rsidP="000924A8"/>
          <w:p w14:paraId="5B498169" w14:textId="77777777" w:rsidR="000924A8" w:rsidRDefault="000924A8" w:rsidP="000924A8">
            <w:pPr>
              <w:rPr>
                <w:rFonts w:ascii="Times New Roman" w:eastAsiaTheme="minorHAnsi" w:hAnsi="Times New Roman"/>
              </w:rPr>
            </w:pPr>
            <w:r>
              <w:t>TC reminded the Board that this had been set up as part of the acute response phase and that many staff involved in the Cell were new to this area of work. She thanked them all for their readiness to take on this new role and for providing support across a number of enclosed settings.</w:t>
            </w:r>
          </w:p>
          <w:p w14:paraId="2DF6930E" w14:textId="77777777" w:rsidR="000924A8" w:rsidRDefault="000924A8" w:rsidP="000924A8"/>
          <w:p w14:paraId="677447DD" w14:textId="5AF60C56" w:rsidR="000924A8" w:rsidRDefault="000924A8" w:rsidP="000924A8">
            <w:r>
              <w:t xml:space="preserve">QS </w:t>
            </w:r>
            <w:proofErr w:type="gramStart"/>
            <w:r>
              <w:t>outlined</w:t>
            </w:r>
            <w:proofErr w:type="gramEnd"/>
            <w:r>
              <w:t xml:space="preserve"> Public Health Wales’ role around infection prevention and control in these settings: receipt of notifications; public health protection advice; outbreak management and the provision of specialist health protection advice to </w:t>
            </w:r>
            <w:r w:rsidR="001D5B3A">
              <w:t>support outbreaks</w:t>
            </w:r>
            <w:r>
              <w:t xml:space="preserve"> and clusters; the provision of information, evidence and guidance as required.</w:t>
            </w:r>
          </w:p>
          <w:p w14:paraId="72F5E9EF" w14:textId="77777777" w:rsidR="000924A8" w:rsidRDefault="000924A8" w:rsidP="000924A8"/>
          <w:p w14:paraId="5F1C714E" w14:textId="77777777" w:rsidR="000924A8" w:rsidRDefault="000924A8" w:rsidP="000924A8">
            <w:r>
              <w:t>The report set out the breadth of the work that the Cell had  undertaken during the mitigation phase of the response; it also itemised evolving Welsh Government policy in relation to Care Homes .QS asked the Board to note the evaluation exercise underway and transitional  planning.</w:t>
            </w:r>
          </w:p>
          <w:p w14:paraId="6133A45C" w14:textId="77777777" w:rsidR="000924A8" w:rsidRDefault="000924A8" w:rsidP="000924A8"/>
          <w:p w14:paraId="15355443" w14:textId="501816F0" w:rsidR="000924A8" w:rsidRDefault="000924A8" w:rsidP="000924A8">
            <w:r>
              <w:t xml:space="preserve">SP welcomed the role of the Communicable Disease Surveillance Centre in undertaking a number of studies into Care Home settings; this was important work. QS </w:t>
            </w:r>
            <w:proofErr w:type="gramStart"/>
            <w:r>
              <w:t>agreed</w:t>
            </w:r>
            <w:proofErr w:type="gramEnd"/>
            <w:r>
              <w:t xml:space="preserve"> to discuss </w:t>
            </w:r>
            <w:r w:rsidR="001D5B3A">
              <w:t>these epidemiological</w:t>
            </w:r>
            <w:r>
              <w:t xml:space="preserve"> studies further outside the meeting. </w:t>
            </w:r>
            <w:r w:rsidRPr="00016065">
              <w:rPr>
                <w:b/>
              </w:rPr>
              <w:t>ACTION: QS/SP</w:t>
            </w:r>
          </w:p>
          <w:p w14:paraId="39EE44F7" w14:textId="77777777" w:rsidR="000924A8" w:rsidRDefault="000924A8" w:rsidP="000924A8"/>
          <w:p w14:paraId="04D87B2B" w14:textId="77777777" w:rsidR="000924A8" w:rsidRDefault="000924A8" w:rsidP="000924A8">
            <w:r>
              <w:t>In response to a query from JW, AJ provided further detail on the actions in hand to mitigate against the risks set out in section 3.6 of the report. He referenced the shared risk with health boards and advised that the findings from the evaluation would help inform mitigation.</w:t>
            </w:r>
          </w:p>
          <w:p w14:paraId="7FF9E660" w14:textId="77777777" w:rsidR="000924A8" w:rsidRDefault="000924A8" w:rsidP="000924A8"/>
          <w:p w14:paraId="3107F533" w14:textId="77777777" w:rsidR="000924A8" w:rsidRPr="00016065" w:rsidRDefault="000924A8" w:rsidP="000924A8">
            <w:pPr>
              <w:rPr>
                <w:b/>
              </w:rPr>
            </w:pPr>
            <w:r>
              <w:t xml:space="preserve">In view of Board members’ interest in the transitional arrangements, AJ agreed to produce a separate briefing paper. </w:t>
            </w:r>
            <w:r w:rsidRPr="00016065">
              <w:rPr>
                <w:b/>
              </w:rPr>
              <w:t>ACTION: AJ</w:t>
            </w:r>
          </w:p>
          <w:p w14:paraId="195676FA" w14:textId="77777777" w:rsidR="000924A8" w:rsidRDefault="000924A8" w:rsidP="000924A8"/>
          <w:p w14:paraId="251F194F" w14:textId="77777777" w:rsidR="000924A8" w:rsidRDefault="000924A8" w:rsidP="000924A8">
            <w:r>
              <w:t xml:space="preserve">The Board </w:t>
            </w:r>
            <w:r w:rsidRPr="009D19C8">
              <w:rPr>
                <w:b/>
              </w:rPr>
              <w:t>resolved</w:t>
            </w:r>
            <w:r>
              <w:t xml:space="preserve"> to: </w:t>
            </w:r>
          </w:p>
          <w:p w14:paraId="351A9FED" w14:textId="77777777" w:rsidR="000924A8" w:rsidRDefault="000924A8" w:rsidP="000924A8">
            <w:pPr>
              <w:ind w:left="595" w:hanging="567"/>
            </w:pPr>
            <w:r>
              <w:t>•</w:t>
            </w:r>
            <w:r>
              <w:tab/>
              <w:t xml:space="preserve">Receive and </w:t>
            </w:r>
            <w:r w:rsidRPr="00016065">
              <w:rPr>
                <w:b/>
              </w:rPr>
              <w:t>note</w:t>
            </w:r>
            <w:r>
              <w:t xml:space="preserve"> the update report in relation to the work of the Enclosed Setting Cell; and</w:t>
            </w:r>
          </w:p>
          <w:p w14:paraId="597611BA" w14:textId="481542A6" w:rsidR="000924A8" w:rsidRDefault="000924A8" w:rsidP="000924A8">
            <w:pPr>
              <w:ind w:left="595" w:hanging="567"/>
            </w:pPr>
            <w:r>
              <w:t>•</w:t>
            </w:r>
            <w:r>
              <w:tab/>
            </w:r>
            <w:r w:rsidR="008A64A2">
              <w:t xml:space="preserve">Take </w:t>
            </w:r>
            <w:r w:rsidRPr="00016065">
              <w:rPr>
                <w:b/>
              </w:rPr>
              <w:t>assurance</w:t>
            </w:r>
            <w:r>
              <w:t xml:space="preserve"> in relation to the ongoing review of the function of the Cell and the proposal for transition in the next phase of the Public Health Wales response.</w:t>
            </w:r>
          </w:p>
          <w:p w14:paraId="1B1FA182" w14:textId="5D7A4EC0" w:rsidR="000924A8" w:rsidRDefault="000924A8" w:rsidP="00696C86">
            <w:pPr>
              <w:rPr>
                <w:b/>
              </w:rPr>
            </w:pPr>
          </w:p>
        </w:tc>
      </w:tr>
      <w:tr w:rsidR="00120486" w:rsidRPr="00D407B7" w14:paraId="59F1A52F" w14:textId="77777777" w:rsidTr="00410CAA">
        <w:trPr>
          <w:jc w:val="center"/>
        </w:trPr>
        <w:tc>
          <w:tcPr>
            <w:tcW w:w="9657" w:type="dxa"/>
            <w:gridSpan w:val="4"/>
            <w:shd w:val="clear" w:color="auto" w:fill="auto"/>
          </w:tcPr>
          <w:p w14:paraId="057AFABC" w14:textId="77777777" w:rsidR="00120486" w:rsidRPr="00120486" w:rsidRDefault="00120486" w:rsidP="000924A8">
            <w:pPr>
              <w:rPr>
                <w:rFonts w:ascii="Times New Roman" w:eastAsiaTheme="minorHAnsi" w:hAnsi="Times New Roman"/>
              </w:rPr>
            </w:pPr>
            <w:r>
              <w:rPr>
                <w:b/>
              </w:rPr>
              <w:t>PHW9</w:t>
            </w:r>
            <w:r w:rsidR="000924A8">
              <w:rPr>
                <w:b/>
              </w:rPr>
              <w:t>1</w:t>
            </w:r>
            <w:r w:rsidRPr="004B18C2">
              <w:rPr>
                <w:b/>
              </w:rPr>
              <w:t xml:space="preserve">/2020 </w:t>
            </w:r>
            <w:r>
              <w:rPr>
                <w:b/>
              </w:rPr>
              <w:tab/>
              <w:t>Strategic Risk Register</w:t>
            </w:r>
          </w:p>
        </w:tc>
      </w:tr>
      <w:tr w:rsidR="00EA22CB" w:rsidRPr="00D407B7" w14:paraId="41878924" w14:textId="77777777" w:rsidTr="00E43FD3">
        <w:trPr>
          <w:jc w:val="center"/>
        </w:trPr>
        <w:tc>
          <w:tcPr>
            <w:tcW w:w="9657" w:type="dxa"/>
            <w:gridSpan w:val="4"/>
            <w:shd w:val="clear" w:color="auto" w:fill="auto"/>
          </w:tcPr>
          <w:p w14:paraId="075CD1B5" w14:textId="5C0AB46B" w:rsidR="009D19C8" w:rsidRDefault="009D19C8" w:rsidP="009D19C8">
            <w:r w:rsidRPr="00D407B7">
              <w:t xml:space="preserve">The Board </w:t>
            </w:r>
            <w:r w:rsidRPr="00D407B7">
              <w:rPr>
                <w:b/>
              </w:rPr>
              <w:t xml:space="preserve">received </w:t>
            </w:r>
            <w:r w:rsidRPr="00D407B7">
              <w:t xml:space="preserve">the </w:t>
            </w:r>
            <w:r>
              <w:t>Strategic Risk Register</w:t>
            </w:r>
            <w:r w:rsidRPr="007C3045">
              <w:t xml:space="preserve"> </w:t>
            </w:r>
            <w:r w:rsidR="00455A93" w:rsidRPr="000924A8">
              <w:t xml:space="preserve">(Ref </w:t>
            </w:r>
            <w:r w:rsidR="00455A93">
              <w:t>4.4.1</w:t>
            </w:r>
            <w:r w:rsidR="00455A93" w:rsidRPr="000924A8">
              <w:t>.280520</w:t>
            </w:r>
            <w:r w:rsidR="00455A93">
              <w:rPr>
                <w:rFonts w:eastAsia="Times New Roman"/>
                <w:color w:val="000000" w:themeColor="text1"/>
              </w:rPr>
              <w:t>).</w:t>
            </w:r>
          </w:p>
          <w:p w14:paraId="0EE5C268" w14:textId="77777777" w:rsidR="0056755A" w:rsidRDefault="0056755A" w:rsidP="004B18C2"/>
          <w:p w14:paraId="1F5FC55B" w14:textId="5550B243" w:rsidR="004B18C2" w:rsidRDefault="004B18C2" w:rsidP="004B18C2">
            <w:pPr>
              <w:rPr>
                <w:rFonts w:ascii="Times New Roman" w:eastAsiaTheme="minorHAnsi" w:hAnsi="Times New Roman"/>
              </w:rPr>
            </w:pPr>
            <w:r>
              <w:t>JW advised that, as the Board had considered strategic risks 1-8 at its April 2020 meeting, and would d</w:t>
            </w:r>
            <w:r w:rsidR="00802FD7">
              <w:t xml:space="preserve">o so again at its June meeting, </w:t>
            </w:r>
            <w:r>
              <w:t>this meeting would focus on the development of a spec</w:t>
            </w:r>
            <w:r w:rsidR="00802FD7">
              <w:t>ific strategic risk around COVID</w:t>
            </w:r>
            <w:r>
              <w:t>-19</w:t>
            </w:r>
            <w:r w:rsidR="008446B7">
              <w:t xml:space="preserve">. </w:t>
            </w:r>
          </w:p>
          <w:p w14:paraId="38230907" w14:textId="77777777" w:rsidR="004B18C2" w:rsidRDefault="004B18C2" w:rsidP="004B18C2"/>
          <w:p w14:paraId="331E2AA2" w14:textId="23007031" w:rsidR="004B18C2" w:rsidRDefault="004B18C2" w:rsidP="004B18C2">
            <w:r>
              <w:t>TC introduced the report, indicating that the Gold group had con</w:t>
            </w:r>
            <w:r w:rsidR="00802FD7">
              <w:t>sidered the inclusion of a COVID</w:t>
            </w:r>
            <w:r>
              <w:t xml:space="preserve">-19 strategic </w:t>
            </w:r>
            <w:r w:rsidR="00016065">
              <w:t>risk;</w:t>
            </w:r>
            <w:r>
              <w:t xml:space="preserve"> the current framing offered a basis for discussion around the exact nature of the risk, appropriate mitigating actions and sources of corresponding assurance. </w:t>
            </w:r>
          </w:p>
          <w:p w14:paraId="27566192" w14:textId="77777777" w:rsidR="004B18C2" w:rsidRDefault="004B18C2" w:rsidP="004B18C2"/>
          <w:p w14:paraId="37E9D3EA" w14:textId="77777777" w:rsidR="004B18C2" w:rsidRDefault="004B18C2" w:rsidP="004B18C2">
            <w:r>
              <w:t>TC advised that, from her perspective, the key strategic risks centred on: clarity of roles and responsibilities across the system in the delivery of Test, Trace and Protect; the balance between ongoing covid-19 mobilisation and the resumption of non-</w:t>
            </w:r>
            <w:r w:rsidR="00016065">
              <w:t>COVID</w:t>
            </w:r>
            <w:r>
              <w:t xml:space="preserve"> services;</w:t>
            </w:r>
            <w:r w:rsidR="00016065">
              <w:t xml:space="preserve"> </w:t>
            </w:r>
            <w:r>
              <w:t xml:space="preserve">the health, well-being and safety of staff; the agility needed around surveillance studies to influence </w:t>
            </w:r>
            <w:r w:rsidR="00DE0A32">
              <w:t>timely action</w:t>
            </w:r>
            <w:r>
              <w:t>; the approval of the IP5 business case.</w:t>
            </w:r>
          </w:p>
          <w:p w14:paraId="2073827D" w14:textId="77777777" w:rsidR="004B18C2" w:rsidRDefault="004B18C2" w:rsidP="004B18C2"/>
          <w:p w14:paraId="0A61BE05" w14:textId="50C60D83" w:rsidR="004B18C2" w:rsidRDefault="004B18C2" w:rsidP="004B18C2">
            <w:r>
              <w:t xml:space="preserve">In discussions, </w:t>
            </w:r>
            <w:r w:rsidR="00016065">
              <w:t>Board members</w:t>
            </w:r>
            <w:r>
              <w:t xml:space="preserve"> welcomed:  the inclusion of a specific </w:t>
            </w:r>
            <w:r w:rsidR="00016065">
              <w:t xml:space="preserve">COVID </w:t>
            </w:r>
            <w:r>
              <w:t xml:space="preserve">related strategic risk; the focus offered by the identification of the top five strategic risks; the opportunity </w:t>
            </w:r>
            <w:r w:rsidR="00016065">
              <w:t>the Organisational Recovery</w:t>
            </w:r>
            <w:r>
              <w:t xml:space="preserve"> Programme presented to </w:t>
            </w:r>
            <w:proofErr w:type="gramStart"/>
            <w:r>
              <w:t>res</w:t>
            </w:r>
            <w:r w:rsidR="008D57CE">
              <w:t>e</w:t>
            </w:r>
            <w:r>
              <w:t>t  both</w:t>
            </w:r>
            <w:proofErr w:type="gramEnd"/>
            <w:r>
              <w:t xml:space="preserve"> strategic and corporate risks.</w:t>
            </w:r>
          </w:p>
          <w:p w14:paraId="62C379AA" w14:textId="77777777" w:rsidR="00016065" w:rsidRDefault="00016065" w:rsidP="004B18C2"/>
          <w:p w14:paraId="001F6347" w14:textId="77777777" w:rsidR="004B18C2" w:rsidRDefault="004B18C2" w:rsidP="004B18C2">
            <w:r>
              <w:t>JW confirmed that,</w:t>
            </w:r>
            <w:r w:rsidR="00016065">
              <w:t xml:space="preserve"> </w:t>
            </w:r>
            <w:r>
              <w:t xml:space="preserve">at one of the Board briefing sessions  in June, the Board would have the chance to look again at risk appetite and stratification, together with the framing of the </w:t>
            </w:r>
            <w:r w:rsidR="00016065">
              <w:t>COVID</w:t>
            </w:r>
            <w:r>
              <w:t>-related strategic risk</w:t>
            </w:r>
          </w:p>
          <w:p w14:paraId="4F303937" w14:textId="77777777" w:rsidR="004B18C2" w:rsidRDefault="004B18C2" w:rsidP="004B18C2"/>
          <w:p w14:paraId="080FC316" w14:textId="56EC36EC" w:rsidR="00EA22CB" w:rsidRDefault="00016065" w:rsidP="00DE0A32">
            <w:r>
              <w:t xml:space="preserve">The Board resolved to </w:t>
            </w:r>
            <w:r w:rsidR="004B18C2" w:rsidRPr="00016065">
              <w:rPr>
                <w:b/>
              </w:rPr>
              <w:t>approve</w:t>
            </w:r>
            <w:r w:rsidR="004B18C2">
              <w:t xml:space="preserve"> in principle the inclusion of a </w:t>
            </w:r>
            <w:r>
              <w:t>COVID</w:t>
            </w:r>
            <w:r w:rsidR="004B18C2">
              <w:t>-relate</w:t>
            </w:r>
            <w:r w:rsidR="00225257">
              <w:t>d</w:t>
            </w:r>
            <w:r w:rsidR="004B18C2">
              <w:t xml:space="preserve"> strategic risk in the register of such risks;</w:t>
            </w:r>
            <w:r>
              <w:t xml:space="preserve"> </w:t>
            </w:r>
            <w:r w:rsidR="004B18C2">
              <w:t>to note the top five risks set out by the CE</w:t>
            </w:r>
            <w:r w:rsidR="00225257">
              <w:t>O</w:t>
            </w:r>
            <w:r w:rsidR="004B18C2">
              <w:t xml:space="preserve"> and the importance of these for reframing the risk register</w:t>
            </w:r>
            <w:r>
              <w:t xml:space="preserve"> </w:t>
            </w:r>
            <w:r w:rsidR="004B18C2">
              <w:t>to undertake further work on risk appetite and stratification</w:t>
            </w:r>
            <w:r>
              <w:t>.</w:t>
            </w:r>
            <w:r w:rsidR="004B18C2">
              <w:t> </w:t>
            </w:r>
          </w:p>
          <w:p w14:paraId="5FBBC528" w14:textId="77777777" w:rsidR="00455A93" w:rsidRPr="00DE0A32" w:rsidRDefault="00455A93" w:rsidP="00DE0A32"/>
        </w:tc>
      </w:tr>
      <w:tr w:rsidR="00120486" w:rsidRPr="00D407B7" w14:paraId="5F71CD1A" w14:textId="77777777" w:rsidTr="00410CAA">
        <w:trPr>
          <w:jc w:val="center"/>
        </w:trPr>
        <w:tc>
          <w:tcPr>
            <w:tcW w:w="9657" w:type="dxa"/>
            <w:gridSpan w:val="4"/>
            <w:shd w:val="clear" w:color="auto" w:fill="auto"/>
          </w:tcPr>
          <w:p w14:paraId="07A4FC5A" w14:textId="77777777" w:rsidR="00120486" w:rsidRPr="00120486" w:rsidRDefault="00120486" w:rsidP="000924A8">
            <w:pPr>
              <w:rPr>
                <w:rFonts w:ascii="Times New Roman" w:eastAsiaTheme="minorHAnsi" w:hAnsi="Times New Roman"/>
              </w:rPr>
            </w:pPr>
            <w:r>
              <w:rPr>
                <w:b/>
              </w:rPr>
              <w:t>PHW9</w:t>
            </w:r>
            <w:r w:rsidR="000924A8">
              <w:rPr>
                <w:b/>
              </w:rPr>
              <w:t>2</w:t>
            </w:r>
            <w:r w:rsidRPr="004B18C2">
              <w:rPr>
                <w:b/>
              </w:rPr>
              <w:t xml:space="preserve">/2020 </w:t>
            </w:r>
            <w:r>
              <w:rPr>
                <w:b/>
              </w:rPr>
              <w:tab/>
              <w:t>Corporate Risk Register</w:t>
            </w:r>
          </w:p>
        </w:tc>
      </w:tr>
      <w:tr w:rsidR="004B18C2" w:rsidRPr="00D407B7" w14:paraId="415BD046" w14:textId="77777777" w:rsidTr="00E43FD3">
        <w:trPr>
          <w:jc w:val="center"/>
        </w:trPr>
        <w:tc>
          <w:tcPr>
            <w:tcW w:w="9657" w:type="dxa"/>
            <w:gridSpan w:val="4"/>
            <w:shd w:val="clear" w:color="auto" w:fill="auto"/>
          </w:tcPr>
          <w:p w14:paraId="590B42B6" w14:textId="211ADBBF" w:rsidR="009D19C8" w:rsidRDefault="009D19C8" w:rsidP="009D19C8">
            <w:r w:rsidRPr="00D407B7">
              <w:t xml:space="preserve">The Board </w:t>
            </w:r>
            <w:r w:rsidRPr="00D407B7">
              <w:rPr>
                <w:b/>
              </w:rPr>
              <w:t xml:space="preserve">received </w:t>
            </w:r>
            <w:r w:rsidRPr="00D407B7">
              <w:t xml:space="preserve">the </w:t>
            </w:r>
            <w:r>
              <w:t>Corporate Risk Resister</w:t>
            </w:r>
            <w:r w:rsidRPr="007C3045">
              <w:t xml:space="preserve"> </w:t>
            </w:r>
            <w:r w:rsidR="00455A93" w:rsidRPr="000924A8">
              <w:t xml:space="preserve">(Ref </w:t>
            </w:r>
            <w:r w:rsidR="00455A93">
              <w:t>4.4.2</w:t>
            </w:r>
            <w:r w:rsidR="00455A93" w:rsidRPr="000924A8">
              <w:t>.280520</w:t>
            </w:r>
            <w:r w:rsidR="00455A93">
              <w:rPr>
                <w:rFonts w:eastAsia="Times New Roman"/>
                <w:color w:val="000000" w:themeColor="text1"/>
              </w:rPr>
              <w:t>).</w:t>
            </w:r>
          </w:p>
          <w:p w14:paraId="200B1649" w14:textId="77777777" w:rsidR="00016065" w:rsidRDefault="00016065" w:rsidP="004B18C2"/>
          <w:p w14:paraId="6462C403" w14:textId="77777777" w:rsidR="004B18C2" w:rsidRDefault="004B18C2" w:rsidP="004B18C2">
            <w:pPr>
              <w:rPr>
                <w:rFonts w:ascii="Times New Roman" w:eastAsiaTheme="minorHAnsi" w:hAnsi="Times New Roman"/>
              </w:rPr>
            </w:pPr>
            <w:r>
              <w:t xml:space="preserve">TC made reference to the discussion under the previous agenda item, confirming the intention to review both sets of risks. This was </w:t>
            </w:r>
            <w:r w:rsidR="00016065">
              <w:t>timely,</w:t>
            </w:r>
            <w:r>
              <w:t xml:space="preserve"> given that the Plan took </w:t>
            </w:r>
            <w:r w:rsidR="00016065">
              <w:t>Public Health</w:t>
            </w:r>
            <w:r>
              <w:t xml:space="preserve"> Wales into a new phase and that work was accelerating on the Organisational Recovery Programme.</w:t>
            </w:r>
          </w:p>
          <w:p w14:paraId="3C068A98" w14:textId="77777777" w:rsidR="004B18C2" w:rsidRDefault="004B18C2" w:rsidP="004B18C2"/>
          <w:p w14:paraId="61FFCB73" w14:textId="77777777" w:rsidR="00016065" w:rsidRDefault="004B18C2" w:rsidP="004B18C2">
            <w:r>
              <w:t xml:space="preserve">The Board </w:t>
            </w:r>
            <w:r w:rsidRPr="0056755A">
              <w:t>resolved</w:t>
            </w:r>
            <w:r>
              <w:t xml:space="preserve"> to: </w:t>
            </w:r>
          </w:p>
          <w:p w14:paraId="2D2CD9A3" w14:textId="77777777" w:rsidR="004B18C2" w:rsidRDefault="00016065" w:rsidP="00016065">
            <w:pPr>
              <w:pStyle w:val="ListParagraph"/>
              <w:numPr>
                <w:ilvl w:val="0"/>
                <w:numId w:val="14"/>
              </w:numPr>
            </w:pPr>
            <w:r>
              <w:t>Take</w:t>
            </w:r>
            <w:r w:rsidR="004B18C2">
              <w:t xml:space="preserve"> </w:t>
            </w:r>
            <w:r w:rsidR="004B18C2" w:rsidRPr="00016065">
              <w:rPr>
                <w:b/>
              </w:rPr>
              <w:t>assurance</w:t>
            </w:r>
            <w:r w:rsidR="004B18C2">
              <w:t xml:space="preserve"> on the </w:t>
            </w:r>
            <w:r>
              <w:t>management of</w:t>
            </w:r>
            <w:r w:rsidR="004B18C2">
              <w:t xml:space="preserve"> the business as usual risks set out in the report.</w:t>
            </w:r>
          </w:p>
          <w:p w14:paraId="2CA61A68" w14:textId="77777777" w:rsidR="004B18C2" w:rsidRDefault="00DE0A32" w:rsidP="005B2B6A">
            <w:pPr>
              <w:pStyle w:val="ListParagraph"/>
              <w:numPr>
                <w:ilvl w:val="0"/>
                <w:numId w:val="14"/>
              </w:numPr>
            </w:pPr>
            <w:r w:rsidRPr="00016065">
              <w:rPr>
                <w:b/>
              </w:rPr>
              <w:t>Note</w:t>
            </w:r>
            <w:r w:rsidR="004B18C2">
              <w:t xml:space="preserve"> the intention to review the corporate risks as</w:t>
            </w:r>
            <w:r w:rsidR="00016065">
              <w:t>sociated with COVID-1</w:t>
            </w:r>
            <w:r w:rsidR="004B18C2">
              <w:t>9</w:t>
            </w:r>
            <w:r w:rsidR="00016065">
              <w:t>.</w:t>
            </w:r>
          </w:p>
          <w:p w14:paraId="7B4FD99A" w14:textId="77777777" w:rsidR="00002025" w:rsidRPr="00002025" w:rsidRDefault="00002025" w:rsidP="00002025">
            <w:pPr>
              <w:pStyle w:val="ListParagraph"/>
            </w:pPr>
          </w:p>
        </w:tc>
      </w:tr>
      <w:tr w:rsidR="00120486" w:rsidRPr="00D407B7" w14:paraId="302B35E2" w14:textId="77777777" w:rsidTr="00410CAA">
        <w:trPr>
          <w:jc w:val="center"/>
        </w:trPr>
        <w:tc>
          <w:tcPr>
            <w:tcW w:w="9657" w:type="dxa"/>
            <w:gridSpan w:val="4"/>
            <w:shd w:val="clear" w:color="auto" w:fill="auto"/>
          </w:tcPr>
          <w:p w14:paraId="7A51D37C" w14:textId="77777777" w:rsidR="00120486" w:rsidRPr="00120486" w:rsidRDefault="00120486" w:rsidP="000924A8">
            <w:pPr>
              <w:rPr>
                <w:rFonts w:ascii="Times New Roman" w:eastAsiaTheme="minorHAnsi" w:hAnsi="Times New Roman"/>
              </w:rPr>
            </w:pPr>
            <w:r>
              <w:rPr>
                <w:b/>
              </w:rPr>
              <w:t>PHW9</w:t>
            </w:r>
            <w:r w:rsidR="000924A8">
              <w:rPr>
                <w:b/>
              </w:rPr>
              <w:t>3</w:t>
            </w:r>
            <w:r w:rsidRPr="004B18C2">
              <w:rPr>
                <w:b/>
              </w:rPr>
              <w:t xml:space="preserve">/2020 </w:t>
            </w:r>
            <w:r>
              <w:rPr>
                <w:b/>
              </w:rPr>
              <w:tab/>
            </w:r>
            <w:r w:rsidRPr="00120486">
              <w:rPr>
                <w:b/>
              </w:rPr>
              <w:t>Integrated Performance Report( IPR) </w:t>
            </w:r>
          </w:p>
        </w:tc>
      </w:tr>
      <w:tr w:rsidR="004B18C2" w:rsidRPr="00D407B7" w14:paraId="58F3C131" w14:textId="77777777" w:rsidTr="00E43FD3">
        <w:trPr>
          <w:jc w:val="center"/>
        </w:trPr>
        <w:tc>
          <w:tcPr>
            <w:tcW w:w="9657" w:type="dxa"/>
            <w:gridSpan w:val="4"/>
            <w:shd w:val="clear" w:color="auto" w:fill="auto"/>
          </w:tcPr>
          <w:p w14:paraId="29A6B229" w14:textId="020A88F3" w:rsidR="009D19C8" w:rsidRDefault="00802FD7" w:rsidP="009D19C8">
            <w:r>
              <w:t>T</w:t>
            </w:r>
            <w:r w:rsidR="009D19C8" w:rsidRPr="00D407B7">
              <w:t xml:space="preserve">he Board </w:t>
            </w:r>
            <w:r w:rsidR="009D19C8" w:rsidRPr="00D407B7">
              <w:rPr>
                <w:b/>
              </w:rPr>
              <w:t xml:space="preserve">received </w:t>
            </w:r>
            <w:r w:rsidR="009D19C8" w:rsidRPr="00D407B7">
              <w:t xml:space="preserve">the </w:t>
            </w:r>
            <w:r w:rsidR="009D19C8">
              <w:t>Integrated Performance Report</w:t>
            </w:r>
            <w:r w:rsidR="009D19C8" w:rsidRPr="007C3045">
              <w:t xml:space="preserve"> </w:t>
            </w:r>
            <w:r w:rsidR="00455A93" w:rsidRPr="000924A8">
              <w:t xml:space="preserve">(Ref </w:t>
            </w:r>
            <w:r w:rsidR="00455A93">
              <w:t>4.5.i</w:t>
            </w:r>
            <w:r w:rsidR="00455A93" w:rsidRPr="000924A8">
              <w:t>.280520</w:t>
            </w:r>
            <w:r w:rsidR="00455A93">
              <w:t xml:space="preserve"> and 4.5.ii.280520</w:t>
            </w:r>
            <w:r w:rsidR="00455A93">
              <w:rPr>
                <w:rFonts w:eastAsia="Times New Roman"/>
                <w:color w:val="000000" w:themeColor="text1"/>
              </w:rPr>
              <w:t>).</w:t>
            </w:r>
          </w:p>
          <w:p w14:paraId="7B0D9B65" w14:textId="77777777" w:rsidR="009D19C8" w:rsidRDefault="009D19C8" w:rsidP="009D19C8"/>
          <w:p w14:paraId="540F5CFD" w14:textId="77777777" w:rsidR="004B18C2" w:rsidRDefault="004B18C2" w:rsidP="004B18C2">
            <w:r>
              <w:t>HG introduced the IPR</w:t>
            </w:r>
            <w:r w:rsidR="009D19C8">
              <w:t xml:space="preserve">, </w:t>
            </w:r>
            <w:r w:rsidR="00016065">
              <w:t>itemising the</w:t>
            </w:r>
            <w:r>
              <w:t xml:space="preserve"> four sections. He began with the COVID -19 dashboard, </w:t>
            </w:r>
            <w:r w:rsidR="00016065">
              <w:t>taking the</w:t>
            </w:r>
            <w:r>
              <w:t xml:space="preserve"> opportunity to provide an update on the in-week daily testing capacity of 9,277. Work was also underway to secure additional capacity in the weeks ahead. </w:t>
            </w:r>
          </w:p>
          <w:p w14:paraId="6C6F33F1" w14:textId="77777777" w:rsidR="00002025" w:rsidRDefault="00002025" w:rsidP="004B18C2">
            <w:pPr>
              <w:rPr>
                <w:rFonts w:ascii="Times New Roman" w:eastAsiaTheme="minorHAnsi" w:hAnsi="Times New Roman"/>
              </w:rPr>
            </w:pPr>
          </w:p>
          <w:p w14:paraId="0128A32F" w14:textId="77777777" w:rsidR="004B18C2" w:rsidRDefault="004B18C2" w:rsidP="004B18C2">
            <w:r>
              <w:t>QS drew attention to the daily number of new confirmed cases</w:t>
            </w:r>
            <w:r w:rsidR="00016065">
              <w:t>: 100</w:t>
            </w:r>
            <w:r>
              <w:t>-150 across Wales; this could increase on the lifting of restrictions.</w:t>
            </w:r>
          </w:p>
          <w:p w14:paraId="0F08F4A7" w14:textId="77777777" w:rsidR="004B18C2" w:rsidRDefault="004B18C2" w:rsidP="004B18C2"/>
          <w:p w14:paraId="659E7572" w14:textId="3094AE42" w:rsidR="004B18C2" w:rsidRDefault="004B18C2" w:rsidP="004B18C2">
            <w:r>
              <w:t>On Finance, HG reported that the year-end forecast still indicated that Public Health Wales </w:t>
            </w:r>
            <w:r w:rsidR="00016065">
              <w:t>would</w:t>
            </w:r>
            <w:r>
              <w:t xml:space="preserve"> hit the three </w:t>
            </w:r>
            <w:r w:rsidR="00002025">
              <w:t>financial targets</w:t>
            </w:r>
            <w:r>
              <w:t xml:space="preserve">. A note of caution </w:t>
            </w:r>
            <w:r w:rsidR="00AC758D">
              <w:t>concerned the risks around COVID</w:t>
            </w:r>
            <w:r>
              <w:t xml:space="preserve">-19 </w:t>
            </w:r>
            <w:r w:rsidR="00016065">
              <w:t>expenditure,</w:t>
            </w:r>
            <w:r>
              <w:t xml:space="preserve"> the Wales-wide funding of which was the subject of discussions with Welsh Government.</w:t>
            </w:r>
          </w:p>
          <w:p w14:paraId="0B0C8666" w14:textId="77777777" w:rsidR="004B18C2" w:rsidRDefault="004B18C2" w:rsidP="004B18C2"/>
          <w:p w14:paraId="7A8CA91B" w14:textId="77777777" w:rsidR="004B18C2" w:rsidRDefault="004B18C2" w:rsidP="004B18C2">
            <w:r>
              <w:t xml:space="preserve">The Board had discussed a number of workforce matters in earlier discussions; these had concerned </w:t>
            </w:r>
            <w:r w:rsidR="00016065">
              <w:t>COVID</w:t>
            </w:r>
            <w:r>
              <w:t xml:space="preserve"> mobilisation; PB reported that general workforce indicators remained consistent.</w:t>
            </w:r>
          </w:p>
          <w:p w14:paraId="0140578A" w14:textId="77777777" w:rsidR="004B18C2" w:rsidRDefault="004B18C2" w:rsidP="004B18C2"/>
          <w:p w14:paraId="1C6AFDCF" w14:textId="77777777" w:rsidR="004B18C2" w:rsidRDefault="004B18C2" w:rsidP="004B18C2">
            <w:r>
              <w:t xml:space="preserve">On business as usual indicators, QS referenced the 2.4% avoidable repeat rate achieved by the </w:t>
            </w:r>
            <w:r w:rsidR="00016065">
              <w:t>new-born</w:t>
            </w:r>
            <w:r>
              <w:t xml:space="preserve"> blood spot </w:t>
            </w:r>
            <w:r w:rsidR="00002025">
              <w:t>programme;</w:t>
            </w:r>
            <w:r>
              <w:t xml:space="preserve"> given the </w:t>
            </w:r>
            <w:r w:rsidR="00016065">
              <w:t>COVID</w:t>
            </w:r>
            <w:r>
              <w:t xml:space="preserve"> compliant operating environment in which the screeners were now working, this was exceptional. The Board expressed its congratulations and thanks to all involved. </w:t>
            </w:r>
          </w:p>
          <w:p w14:paraId="4F97BC46" w14:textId="77777777" w:rsidR="00DE0A32" w:rsidRDefault="00DE0A32" w:rsidP="004B18C2"/>
          <w:p w14:paraId="0B1EB91D" w14:textId="77777777" w:rsidR="004B18C2" w:rsidRDefault="004B18C2" w:rsidP="004B18C2">
            <w:r>
              <w:t xml:space="preserve">RB-W highlighted the narrative in respect of incident management and the distinction between </w:t>
            </w:r>
            <w:r w:rsidR="00016065">
              <w:t>COVID</w:t>
            </w:r>
            <w:r>
              <w:t>-related and other incidents.</w:t>
            </w:r>
          </w:p>
          <w:p w14:paraId="34B04A14" w14:textId="77777777" w:rsidR="004B18C2" w:rsidRDefault="004B18C2" w:rsidP="004B18C2"/>
          <w:p w14:paraId="6A16B21C" w14:textId="4CE4395A" w:rsidR="004B18C2" w:rsidRDefault="004B18C2" w:rsidP="004B18C2">
            <w:r>
              <w:t xml:space="preserve">The Board </w:t>
            </w:r>
            <w:r w:rsidRPr="00DE0A32">
              <w:rPr>
                <w:b/>
              </w:rPr>
              <w:t>resolved</w:t>
            </w:r>
            <w:r>
              <w:t xml:space="preserve"> to</w:t>
            </w:r>
            <w:r w:rsidR="00002025">
              <w:t xml:space="preserve"> </w:t>
            </w:r>
            <w:r w:rsidR="00002025" w:rsidRPr="008D57CE">
              <w:rPr>
                <w:b/>
              </w:rPr>
              <w:t>note</w:t>
            </w:r>
            <w:r w:rsidR="00002025">
              <w:t xml:space="preserve"> the update. </w:t>
            </w:r>
          </w:p>
          <w:p w14:paraId="03BBDC01" w14:textId="77777777" w:rsidR="004B18C2" w:rsidRPr="00EA22CB" w:rsidRDefault="004B18C2" w:rsidP="005B2B6A">
            <w:pPr>
              <w:pStyle w:val="null"/>
              <w:spacing w:before="0" w:beforeAutospacing="0" w:after="0" w:afterAutospacing="0"/>
              <w:rPr>
                <w:rFonts w:ascii="Verdana" w:hAnsi="Verdana"/>
                <w:b/>
              </w:rPr>
            </w:pPr>
          </w:p>
        </w:tc>
      </w:tr>
      <w:tr w:rsidR="00120486" w:rsidRPr="00D407B7" w14:paraId="3FA5F876" w14:textId="77777777" w:rsidTr="00410CAA">
        <w:trPr>
          <w:jc w:val="center"/>
        </w:trPr>
        <w:tc>
          <w:tcPr>
            <w:tcW w:w="9657" w:type="dxa"/>
            <w:gridSpan w:val="4"/>
            <w:shd w:val="clear" w:color="auto" w:fill="auto"/>
          </w:tcPr>
          <w:p w14:paraId="1A4762CC" w14:textId="77777777" w:rsidR="00120486" w:rsidRPr="00120486" w:rsidRDefault="000924A8" w:rsidP="00DE0A32">
            <w:pPr>
              <w:rPr>
                <w:rFonts w:ascii="Times New Roman" w:eastAsiaTheme="minorHAnsi" w:hAnsi="Times New Roman"/>
                <w:b/>
              </w:rPr>
            </w:pPr>
            <w:r>
              <w:rPr>
                <w:b/>
              </w:rPr>
              <w:t>PHW94</w:t>
            </w:r>
            <w:r w:rsidR="00120486" w:rsidRPr="004B18C2">
              <w:rPr>
                <w:b/>
              </w:rPr>
              <w:t xml:space="preserve">/2020 </w:t>
            </w:r>
            <w:r w:rsidR="00120486">
              <w:rPr>
                <w:b/>
              </w:rPr>
              <w:tab/>
            </w:r>
            <w:r w:rsidR="00120486" w:rsidRPr="00120486">
              <w:rPr>
                <w:b/>
              </w:rPr>
              <w:t xml:space="preserve">Committees of the Board: </w:t>
            </w:r>
            <w:r w:rsidR="00DE0A32">
              <w:rPr>
                <w:b/>
              </w:rPr>
              <w:t>A</w:t>
            </w:r>
            <w:r w:rsidR="00120486" w:rsidRPr="00120486">
              <w:rPr>
                <w:b/>
              </w:rPr>
              <w:t xml:space="preserve">nnual </w:t>
            </w:r>
            <w:r w:rsidR="00DE0A32">
              <w:rPr>
                <w:b/>
              </w:rPr>
              <w:t>R</w:t>
            </w:r>
            <w:r w:rsidR="00120486" w:rsidRPr="00120486">
              <w:rPr>
                <w:b/>
              </w:rPr>
              <w:t>eports 2019/20</w:t>
            </w:r>
          </w:p>
        </w:tc>
      </w:tr>
      <w:tr w:rsidR="004B18C2" w:rsidRPr="00D407B7" w14:paraId="3BFDC568" w14:textId="77777777" w:rsidTr="00E43FD3">
        <w:trPr>
          <w:jc w:val="center"/>
        </w:trPr>
        <w:tc>
          <w:tcPr>
            <w:tcW w:w="9657" w:type="dxa"/>
            <w:gridSpan w:val="4"/>
            <w:shd w:val="clear" w:color="auto" w:fill="auto"/>
          </w:tcPr>
          <w:p w14:paraId="075E2B5A" w14:textId="73F77A27" w:rsidR="009D19C8" w:rsidRDefault="009D19C8" w:rsidP="009D19C8">
            <w:r w:rsidRPr="00D407B7">
              <w:t xml:space="preserve">The Board </w:t>
            </w:r>
            <w:r w:rsidRPr="00D407B7">
              <w:rPr>
                <w:b/>
              </w:rPr>
              <w:t xml:space="preserve">received </w:t>
            </w:r>
            <w:r w:rsidRPr="00D407B7">
              <w:t xml:space="preserve">the </w:t>
            </w:r>
            <w:r w:rsidR="00802FD7">
              <w:t>Committee Annual Reports</w:t>
            </w:r>
            <w:r w:rsidRPr="007C3045">
              <w:t xml:space="preserve"> </w:t>
            </w:r>
            <w:r w:rsidR="00455A93" w:rsidRPr="000924A8">
              <w:t xml:space="preserve">(Ref </w:t>
            </w:r>
            <w:r w:rsidR="00455A93">
              <w:t>4.6.1</w:t>
            </w:r>
            <w:r w:rsidR="00455A93" w:rsidRPr="000924A8">
              <w:t>.280520</w:t>
            </w:r>
            <w:r w:rsidR="00455A93">
              <w:t xml:space="preserve">, </w:t>
            </w:r>
            <w:r w:rsidR="00455A93" w:rsidRPr="000924A8">
              <w:t xml:space="preserve">Ref </w:t>
            </w:r>
            <w:r w:rsidR="00455A93">
              <w:t>4.6.2</w:t>
            </w:r>
            <w:r w:rsidR="00455A93" w:rsidRPr="000924A8">
              <w:t>.280520</w:t>
            </w:r>
            <w:r w:rsidR="00455A93">
              <w:t xml:space="preserve">, </w:t>
            </w:r>
            <w:r w:rsidR="00455A93" w:rsidRPr="000924A8">
              <w:t xml:space="preserve">Ref </w:t>
            </w:r>
            <w:r w:rsidR="00455A93">
              <w:t>4.6.3</w:t>
            </w:r>
            <w:r w:rsidR="00455A93" w:rsidRPr="000924A8">
              <w:t>.280520</w:t>
            </w:r>
            <w:r w:rsidR="00455A93">
              <w:t xml:space="preserve"> and </w:t>
            </w:r>
            <w:r w:rsidR="00455A93" w:rsidRPr="000924A8">
              <w:t xml:space="preserve">Ref </w:t>
            </w:r>
            <w:r w:rsidR="00455A93">
              <w:t>4.6.4</w:t>
            </w:r>
            <w:r w:rsidR="00455A93" w:rsidRPr="000924A8">
              <w:t>.280520</w:t>
            </w:r>
            <w:r w:rsidR="00455A93">
              <w:rPr>
                <w:rFonts w:eastAsia="Times New Roman"/>
                <w:color w:val="000000" w:themeColor="text1"/>
              </w:rPr>
              <w:t>).</w:t>
            </w:r>
          </w:p>
          <w:p w14:paraId="42B1CCD9" w14:textId="77777777" w:rsidR="0049768D" w:rsidRDefault="0049768D" w:rsidP="004B18C2"/>
          <w:p w14:paraId="3A0C80AA" w14:textId="77777777" w:rsidR="004B18C2" w:rsidRDefault="004B18C2" w:rsidP="00B62537">
            <w:r>
              <w:t>HB reminded the Board that the annual reports</w:t>
            </w:r>
            <w:r w:rsidR="008446B7">
              <w:t xml:space="preserve"> </w:t>
            </w:r>
            <w:r>
              <w:t xml:space="preserve">from the four committees brought together the business each had conducted and reported on in-year. </w:t>
            </w:r>
            <w:r w:rsidR="0049768D">
              <w:t>They</w:t>
            </w:r>
            <w:r>
              <w:t xml:space="preserve"> were presented for assurance purposes. </w:t>
            </w:r>
          </w:p>
          <w:p w14:paraId="0CB0DFD0" w14:textId="77777777" w:rsidR="004B18C2" w:rsidRDefault="004B18C2" w:rsidP="00B62537"/>
          <w:p w14:paraId="7886F12C" w14:textId="77777777" w:rsidR="004B18C2" w:rsidRDefault="00B62537" w:rsidP="00B62537">
            <w:r>
              <w:t xml:space="preserve">The Board </w:t>
            </w:r>
            <w:r w:rsidRPr="00B62537">
              <w:rPr>
                <w:b/>
              </w:rPr>
              <w:t>resolved</w:t>
            </w:r>
            <w:r>
              <w:t xml:space="preserve"> to:</w:t>
            </w:r>
          </w:p>
          <w:p w14:paraId="6BDF112E" w14:textId="77777777" w:rsidR="00B62537" w:rsidRDefault="00B62537" w:rsidP="00B62537"/>
          <w:p w14:paraId="67A2F6A3" w14:textId="77777777" w:rsidR="00B62537" w:rsidRDefault="00B62537" w:rsidP="00B62537">
            <w:pPr>
              <w:pStyle w:val="null"/>
              <w:numPr>
                <w:ilvl w:val="0"/>
                <w:numId w:val="17"/>
              </w:numPr>
              <w:spacing w:before="0" w:beforeAutospacing="0" w:after="0" w:afterAutospacing="0"/>
              <w:rPr>
                <w:rFonts w:ascii="Verdana" w:hAnsi="Verdana"/>
              </w:rPr>
            </w:pPr>
            <w:r w:rsidRPr="008170E7">
              <w:rPr>
                <w:rFonts w:ascii="Verdana" w:hAnsi="Verdana"/>
                <w:b/>
              </w:rPr>
              <w:t xml:space="preserve">Consider </w:t>
            </w:r>
            <w:r w:rsidRPr="00B62537">
              <w:rPr>
                <w:rFonts w:ascii="Verdana" w:hAnsi="Verdana"/>
              </w:rPr>
              <w:t xml:space="preserve">the Annual Reports for 2019/20 for the four Committees summarising the key areas of business activity undertaken; </w:t>
            </w:r>
            <w:r>
              <w:rPr>
                <w:rFonts w:ascii="Verdana" w:hAnsi="Verdana"/>
              </w:rPr>
              <w:t>and</w:t>
            </w:r>
          </w:p>
          <w:p w14:paraId="71DCBED4" w14:textId="15B539AC" w:rsidR="004B18C2" w:rsidRDefault="008A64A2" w:rsidP="00B62537">
            <w:pPr>
              <w:pStyle w:val="null"/>
              <w:numPr>
                <w:ilvl w:val="0"/>
                <w:numId w:val="17"/>
              </w:numPr>
              <w:spacing w:before="0" w:beforeAutospacing="0" w:after="0" w:afterAutospacing="0"/>
              <w:rPr>
                <w:rFonts w:ascii="Verdana" w:hAnsi="Verdana"/>
              </w:rPr>
            </w:pPr>
            <w:r>
              <w:rPr>
                <w:rFonts w:ascii="Verdana" w:hAnsi="Verdana"/>
              </w:rPr>
              <w:t>Take</w:t>
            </w:r>
            <w:r w:rsidR="00B62537" w:rsidRPr="00B62537">
              <w:rPr>
                <w:rFonts w:ascii="Verdana" w:hAnsi="Verdana"/>
              </w:rPr>
              <w:t xml:space="preserve"> </w:t>
            </w:r>
            <w:r w:rsidR="00B62537" w:rsidRPr="00B62537">
              <w:rPr>
                <w:rFonts w:ascii="Verdana" w:hAnsi="Verdana"/>
                <w:b/>
              </w:rPr>
              <w:t>assurance</w:t>
            </w:r>
            <w:r w:rsidR="00B62537" w:rsidRPr="00B62537">
              <w:rPr>
                <w:rFonts w:ascii="Verdana" w:hAnsi="Verdana"/>
              </w:rPr>
              <w:t xml:space="preserve"> that the Committee</w:t>
            </w:r>
            <w:r w:rsidR="00B62537">
              <w:rPr>
                <w:rFonts w:ascii="Verdana" w:hAnsi="Verdana"/>
              </w:rPr>
              <w:t>s were</w:t>
            </w:r>
            <w:r w:rsidR="00B62537" w:rsidRPr="00B62537">
              <w:rPr>
                <w:rFonts w:ascii="Verdana" w:hAnsi="Verdana"/>
              </w:rPr>
              <w:t xml:space="preserve"> fit for purpose</w:t>
            </w:r>
            <w:r w:rsidR="00B62537">
              <w:rPr>
                <w:rFonts w:ascii="Verdana" w:hAnsi="Verdana"/>
              </w:rPr>
              <w:t>.</w:t>
            </w:r>
          </w:p>
          <w:p w14:paraId="3C91AF45" w14:textId="77777777" w:rsidR="00B62537" w:rsidRPr="00B62537" w:rsidRDefault="00B62537" w:rsidP="00B62537">
            <w:pPr>
              <w:pStyle w:val="null"/>
              <w:spacing w:before="0" w:beforeAutospacing="0" w:after="0" w:afterAutospacing="0"/>
              <w:ind w:left="720"/>
              <w:rPr>
                <w:rFonts w:ascii="Verdana" w:hAnsi="Verdana"/>
              </w:rPr>
            </w:pPr>
          </w:p>
        </w:tc>
      </w:tr>
      <w:tr w:rsidR="00120486" w:rsidRPr="00D407B7" w14:paraId="194DEBD9" w14:textId="77777777" w:rsidTr="00410CAA">
        <w:trPr>
          <w:jc w:val="center"/>
        </w:trPr>
        <w:tc>
          <w:tcPr>
            <w:tcW w:w="9657" w:type="dxa"/>
            <w:gridSpan w:val="4"/>
            <w:shd w:val="clear" w:color="auto" w:fill="auto"/>
          </w:tcPr>
          <w:p w14:paraId="118AEA5F" w14:textId="77777777" w:rsidR="00120486" w:rsidRPr="00120486" w:rsidRDefault="00120486" w:rsidP="000924A8">
            <w:pPr>
              <w:rPr>
                <w:rFonts w:ascii="Times New Roman" w:eastAsiaTheme="minorHAnsi" w:hAnsi="Times New Roman"/>
              </w:rPr>
            </w:pPr>
            <w:r>
              <w:rPr>
                <w:b/>
              </w:rPr>
              <w:t>PHW9</w:t>
            </w:r>
            <w:r w:rsidR="000924A8">
              <w:rPr>
                <w:b/>
              </w:rPr>
              <w:t>5</w:t>
            </w:r>
            <w:r w:rsidRPr="004B18C2">
              <w:rPr>
                <w:b/>
              </w:rPr>
              <w:t xml:space="preserve">/2020 </w:t>
            </w:r>
            <w:r>
              <w:rPr>
                <w:b/>
              </w:rPr>
              <w:tab/>
            </w:r>
            <w:r w:rsidRPr="00B62537">
              <w:rPr>
                <w:b/>
              </w:rPr>
              <w:t xml:space="preserve">Committees of the Board: </w:t>
            </w:r>
            <w:r w:rsidR="00B62537">
              <w:rPr>
                <w:b/>
              </w:rPr>
              <w:t>R</w:t>
            </w:r>
            <w:r w:rsidRPr="00B62537">
              <w:rPr>
                <w:b/>
              </w:rPr>
              <w:t xml:space="preserve">eports from </w:t>
            </w:r>
            <w:r w:rsidR="00B62537">
              <w:rPr>
                <w:b/>
              </w:rPr>
              <w:t>C</w:t>
            </w:r>
            <w:r w:rsidRPr="00B62537">
              <w:rPr>
                <w:b/>
              </w:rPr>
              <w:t xml:space="preserve">ommittee </w:t>
            </w:r>
            <w:r w:rsidR="00B62537">
              <w:rPr>
                <w:b/>
              </w:rPr>
              <w:t>C</w:t>
            </w:r>
            <w:r w:rsidRPr="00B62537">
              <w:rPr>
                <w:b/>
              </w:rPr>
              <w:t>hairs</w:t>
            </w:r>
          </w:p>
        </w:tc>
      </w:tr>
      <w:tr w:rsidR="004B18C2" w:rsidRPr="00D407B7" w14:paraId="54EE5026" w14:textId="77777777" w:rsidTr="00E43FD3">
        <w:trPr>
          <w:jc w:val="center"/>
        </w:trPr>
        <w:tc>
          <w:tcPr>
            <w:tcW w:w="9657" w:type="dxa"/>
            <w:gridSpan w:val="4"/>
            <w:shd w:val="clear" w:color="auto" w:fill="auto"/>
          </w:tcPr>
          <w:p w14:paraId="69E46A7B" w14:textId="1925C0CA" w:rsidR="009D19C8" w:rsidRDefault="009D19C8" w:rsidP="009D19C8">
            <w:r w:rsidRPr="00D407B7">
              <w:t xml:space="preserve">The Board </w:t>
            </w:r>
            <w:r w:rsidRPr="00D407B7">
              <w:rPr>
                <w:b/>
              </w:rPr>
              <w:t xml:space="preserve">received </w:t>
            </w:r>
            <w:r w:rsidRPr="00D407B7">
              <w:t xml:space="preserve">the </w:t>
            </w:r>
            <w:r>
              <w:t>report from the Committee Chairs</w:t>
            </w:r>
            <w:r w:rsidRPr="007C3045">
              <w:t xml:space="preserve"> </w:t>
            </w:r>
            <w:r w:rsidR="00455A93" w:rsidRPr="000924A8">
              <w:t xml:space="preserve">Ref </w:t>
            </w:r>
            <w:r w:rsidR="00455A93">
              <w:t>4.7.1</w:t>
            </w:r>
            <w:r w:rsidR="00455A93" w:rsidRPr="000924A8">
              <w:t>.280520</w:t>
            </w:r>
            <w:r w:rsidR="00455A93">
              <w:rPr>
                <w:rFonts w:eastAsia="Times New Roman"/>
                <w:color w:val="000000" w:themeColor="text1"/>
              </w:rPr>
              <w:t>).</w:t>
            </w:r>
          </w:p>
          <w:p w14:paraId="7AD5ECE9" w14:textId="77777777" w:rsidR="004B18C2" w:rsidRDefault="004B18C2" w:rsidP="004B18C2">
            <w:pPr>
              <w:rPr>
                <w:rFonts w:ascii="Times New Roman" w:eastAsiaTheme="minorHAnsi" w:hAnsi="Times New Roman"/>
              </w:rPr>
            </w:pPr>
          </w:p>
          <w:p w14:paraId="7BEEACFD" w14:textId="77777777" w:rsidR="004B18C2" w:rsidRPr="0049768D" w:rsidRDefault="0049768D" w:rsidP="004B18C2">
            <w:pPr>
              <w:rPr>
                <w:b/>
              </w:rPr>
            </w:pPr>
            <w:r w:rsidRPr="0049768D">
              <w:rPr>
                <w:b/>
              </w:rPr>
              <w:t>Audit and Corporate Governance Committee</w:t>
            </w:r>
            <w:r>
              <w:rPr>
                <w:b/>
              </w:rPr>
              <w:t xml:space="preserve"> (ACGC)</w:t>
            </w:r>
          </w:p>
          <w:p w14:paraId="0E6F59FA" w14:textId="77777777" w:rsidR="004B18C2" w:rsidRDefault="004B18C2" w:rsidP="004B18C2">
            <w:r>
              <w:t xml:space="preserve">DE reported on the key matters considered at the </w:t>
            </w:r>
            <w:r w:rsidR="0049768D">
              <w:t>ACGC</w:t>
            </w:r>
            <w:r>
              <w:t xml:space="preserve"> meeting on 18</w:t>
            </w:r>
            <w:r w:rsidR="0049768D">
              <w:t> May </w:t>
            </w:r>
            <w:r>
              <w:t>2020. He complimented the team involved in compiling the annual counts; their exceptional accounts management throughout the year enabled the committee to cover a wide- ranging work programme. DE then turned to : the substantial rating against internal audit reports on ‘Core Financials`</w:t>
            </w:r>
            <w:r w:rsidR="0049768D">
              <w:t xml:space="preserve"> </w:t>
            </w:r>
            <w:r>
              <w:t>and</w:t>
            </w:r>
            <w:r w:rsidR="0049768D">
              <w:t xml:space="preserve"> </w:t>
            </w:r>
            <w:r>
              <w:t>`Board and Committee Governance’ ; the limited assurance rating against ‘Personal Development/ My Contribution’ , citing  the discussion earlier in the Board meeting; assurance against organisational management of risk.</w:t>
            </w:r>
          </w:p>
          <w:p w14:paraId="60DB8D3B" w14:textId="77777777" w:rsidR="004B18C2" w:rsidRDefault="004B18C2" w:rsidP="004B18C2"/>
          <w:p w14:paraId="04038B37" w14:textId="741C9F83" w:rsidR="004B18C2" w:rsidRPr="005B512F" w:rsidRDefault="0049768D" w:rsidP="004B18C2">
            <w:pPr>
              <w:rPr>
                <w:b/>
              </w:rPr>
            </w:pPr>
            <w:r w:rsidRPr="0049768D">
              <w:rPr>
                <w:b/>
              </w:rPr>
              <w:t xml:space="preserve">Quality, Safety and Improvement Committee </w:t>
            </w:r>
          </w:p>
          <w:p w14:paraId="247E5108" w14:textId="5F5D9A3B" w:rsidR="005B512F" w:rsidRDefault="004B18C2" w:rsidP="004B18C2">
            <w:r>
              <w:t>KE provided a verbal update on th</w:t>
            </w:r>
            <w:r w:rsidR="008170E7">
              <w:t>e QSIC committee meeting on the 19 May 2002. S</w:t>
            </w:r>
            <w:r>
              <w:t xml:space="preserve">he </w:t>
            </w:r>
            <w:r w:rsidR="0049768D">
              <w:t>referenced the following</w:t>
            </w:r>
            <w:r>
              <w:t xml:space="preserve">: </w:t>
            </w:r>
          </w:p>
          <w:p w14:paraId="24F2BF13" w14:textId="77777777" w:rsidR="005B512F" w:rsidRDefault="005B512F" w:rsidP="004B18C2"/>
          <w:p w14:paraId="041B4A62" w14:textId="65F7F65A" w:rsidR="004B18C2" w:rsidRDefault="0049768D" w:rsidP="0049768D">
            <w:pPr>
              <w:pStyle w:val="ListParagraph"/>
              <w:numPr>
                <w:ilvl w:val="0"/>
                <w:numId w:val="16"/>
              </w:numPr>
            </w:pPr>
            <w:r>
              <w:t>Discussions</w:t>
            </w:r>
            <w:r w:rsidR="004B18C2">
              <w:t xml:space="preserve"> around the resumption of those screening programmes suspended currently; immunisation programmes;</w:t>
            </w:r>
            <w:r>
              <w:t xml:space="preserve"> </w:t>
            </w:r>
            <w:r w:rsidR="00491289">
              <w:t xml:space="preserve">standard operating procedures and Putting Things Right. </w:t>
            </w:r>
          </w:p>
          <w:p w14:paraId="26013AF7" w14:textId="77777777" w:rsidR="004B18C2" w:rsidRDefault="004B18C2" w:rsidP="004B18C2"/>
          <w:p w14:paraId="183FD366" w14:textId="4153BF96" w:rsidR="004B18C2" w:rsidRDefault="004B18C2" w:rsidP="004B18C2">
            <w:r>
              <w:t xml:space="preserve">KE also noted the limited assurance rating following an internal audit report on the management of </w:t>
            </w:r>
            <w:r w:rsidR="0049768D">
              <w:t>alerts. ACGC</w:t>
            </w:r>
            <w:r>
              <w:t xml:space="preserve"> was aware of this and the action</w:t>
            </w:r>
            <w:r w:rsidR="008170E7">
              <w:t>s</w:t>
            </w:r>
            <w:r>
              <w:t xml:space="preserve"> being taken</w:t>
            </w:r>
            <w:r w:rsidR="008170E7">
              <w:t xml:space="preserve">, most of which had been completed. </w:t>
            </w:r>
          </w:p>
          <w:p w14:paraId="44E9A559" w14:textId="201188DB" w:rsidR="005B512F" w:rsidRDefault="005B512F" w:rsidP="004B18C2"/>
          <w:p w14:paraId="5BBC084F" w14:textId="33BF60D7" w:rsidR="005B512F" w:rsidRDefault="005B512F" w:rsidP="004B18C2">
            <w:r>
              <w:t xml:space="preserve">KE also confirmed the Committee would be meeting 8-weekly for the foreseeable future. </w:t>
            </w:r>
          </w:p>
          <w:p w14:paraId="639DB656" w14:textId="77777777" w:rsidR="004B18C2" w:rsidRDefault="004B18C2" w:rsidP="004B18C2"/>
          <w:p w14:paraId="3468E99E" w14:textId="77777777" w:rsidR="004B18C2" w:rsidRDefault="004B18C2" w:rsidP="004B18C2">
            <w:r>
              <w:t xml:space="preserve">The Board </w:t>
            </w:r>
            <w:r w:rsidRPr="0049768D">
              <w:rPr>
                <w:b/>
              </w:rPr>
              <w:t>resolved</w:t>
            </w:r>
            <w:r>
              <w:t xml:space="preserve"> to</w:t>
            </w:r>
            <w:r w:rsidR="0049768D">
              <w:t xml:space="preserve"> consider and note the update from the Committee Chairs. </w:t>
            </w:r>
          </w:p>
          <w:p w14:paraId="37D72D36" w14:textId="77777777" w:rsidR="004B18C2" w:rsidRDefault="004B18C2" w:rsidP="00120486"/>
        </w:tc>
      </w:tr>
      <w:tr w:rsidR="00120486" w:rsidRPr="00D407B7" w14:paraId="0517D36E" w14:textId="77777777" w:rsidTr="00410CAA">
        <w:trPr>
          <w:jc w:val="center"/>
        </w:trPr>
        <w:tc>
          <w:tcPr>
            <w:tcW w:w="9657" w:type="dxa"/>
            <w:gridSpan w:val="4"/>
            <w:shd w:val="clear" w:color="auto" w:fill="auto"/>
          </w:tcPr>
          <w:p w14:paraId="5585B259" w14:textId="77777777" w:rsidR="00120486" w:rsidRPr="00120486" w:rsidRDefault="00120486" w:rsidP="000924A8">
            <w:pPr>
              <w:rPr>
                <w:rFonts w:eastAsiaTheme="minorHAnsi" w:cs="Verdana"/>
                <w:color w:val="000000"/>
                <w:sz w:val="23"/>
                <w:szCs w:val="23"/>
              </w:rPr>
            </w:pPr>
            <w:r>
              <w:rPr>
                <w:b/>
              </w:rPr>
              <w:t>PHW9</w:t>
            </w:r>
            <w:r w:rsidR="000924A8">
              <w:rPr>
                <w:b/>
              </w:rPr>
              <w:t>6</w:t>
            </w:r>
            <w:r w:rsidRPr="004B18C2">
              <w:rPr>
                <w:b/>
              </w:rPr>
              <w:t xml:space="preserve">/2020 </w:t>
            </w:r>
            <w:r>
              <w:rPr>
                <w:b/>
              </w:rPr>
              <w:tab/>
            </w:r>
            <w:r w:rsidRPr="00120486">
              <w:rPr>
                <w:b/>
              </w:rPr>
              <w:t>Board and Committee Work Plans 2020/21</w:t>
            </w:r>
          </w:p>
        </w:tc>
      </w:tr>
      <w:tr w:rsidR="004B18C2" w:rsidRPr="00D407B7" w14:paraId="6656B34E" w14:textId="77777777" w:rsidTr="00E43FD3">
        <w:trPr>
          <w:jc w:val="center"/>
        </w:trPr>
        <w:tc>
          <w:tcPr>
            <w:tcW w:w="9657" w:type="dxa"/>
            <w:gridSpan w:val="4"/>
            <w:shd w:val="clear" w:color="auto" w:fill="auto"/>
          </w:tcPr>
          <w:p w14:paraId="4B86AC49" w14:textId="3C27DF38" w:rsidR="009D19C8" w:rsidRDefault="009D19C8" w:rsidP="009D19C8">
            <w:r w:rsidRPr="00D407B7">
              <w:t xml:space="preserve">The Board </w:t>
            </w:r>
            <w:r w:rsidRPr="00D407B7">
              <w:rPr>
                <w:b/>
              </w:rPr>
              <w:t xml:space="preserve">received </w:t>
            </w:r>
            <w:r>
              <w:t>a verbal update on the Board and Committee Work Plans 2020/21</w:t>
            </w:r>
            <w:r w:rsidR="00455A93">
              <w:t>.</w:t>
            </w:r>
          </w:p>
          <w:p w14:paraId="088C4949" w14:textId="6CFE2376" w:rsidR="009D19C8" w:rsidRDefault="008170E7" w:rsidP="009D19C8">
            <w:r>
              <w:t xml:space="preserve">HB outlined that the work plan would project forwards to September 2020 and provide oversight of the main items being considered in each fora. The Plan would be circulated to the Board in the next week. </w:t>
            </w:r>
            <w:r w:rsidRPr="008170E7">
              <w:rPr>
                <w:b/>
              </w:rPr>
              <w:t>Action: HB</w:t>
            </w:r>
            <w:r>
              <w:t xml:space="preserve"> </w:t>
            </w:r>
          </w:p>
          <w:p w14:paraId="3347D8D8" w14:textId="078BA64F" w:rsidR="00120486" w:rsidRDefault="00120486" w:rsidP="004B18C2"/>
        </w:tc>
      </w:tr>
      <w:tr w:rsidR="00120486" w:rsidRPr="00D407B7" w14:paraId="0100D988" w14:textId="77777777" w:rsidTr="00410CAA">
        <w:trPr>
          <w:jc w:val="center"/>
        </w:trPr>
        <w:tc>
          <w:tcPr>
            <w:tcW w:w="9657" w:type="dxa"/>
            <w:gridSpan w:val="4"/>
            <w:shd w:val="clear" w:color="auto" w:fill="auto"/>
          </w:tcPr>
          <w:p w14:paraId="27299333" w14:textId="77777777" w:rsidR="00120486" w:rsidRPr="00120486" w:rsidRDefault="00120486" w:rsidP="000924A8">
            <w:pPr>
              <w:ind w:left="2154" w:hanging="2126"/>
              <w:rPr>
                <w:b/>
              </w:rPr>
            </w:pPr>
            <w:r>
              <w:rPr>
                <w:b/>
              </w:rPr>
              <w:t>PHW9</w:t>
            </w:r>
            <w:r w:rsidR="000924A8">
              <w:rPr>
                <w:b/>
              </w:rPr>
              <w:t>7</w:t>
            </w:r>
            <w:r w:rsidRPr="004B18C2">
              <w:rPr>
                <w:b/>
              </w:rPr>
              <w:t xml:space="preserve">/2020 </w:t>
            </w:r>
            <w:r>
              <w:rPr>
                <w:b/>
              </w:rPr>
              <w:tab/>
              <w:t>Ratification of Chair’s Action and Affixing of the Common Seal</w:t>
            </w:r>
          </w:p>
        </w:tc>
      </w:tr>
      <w:tr w:rsidR="00120486" w:rsidRPr="00D407B7" w14:paraId="15BE16EE" w14:textId="77777777" w:rsidTr="00E43FD3">
        <w:trPr>
          <w:jc w:val="center"/>
        </w:trPr>
        <w:tc>
          <w:tcPr>
            <w:tcW w:w="9657" w:type="dxa"/>
            <w:gridSpan w:val="4"/>
            <w:shd w:val="clear" w:color="auto" w:fill="auto"/>
          </w:tcPr>
          <w:p w14:paraId="18A5ED42" w14:textId="77777777" w:rsidR="009D19C8" w:rsidRDefault="009D19C8" w:rsidP="009D19C8">
            <w:r w:rsidRPr="00D407B7">
              <w:t xml:space="preserve">The Board </w:t>
            </w:r>
            <w:r w:rsidRPr="00D407B7">
              <w:rPr>
                <w:b/>
              </w:rPr>
              <w:t xml:space="preserve">received </w:t>
            </w:r>
            <w:r>
              <w:t xml:space="preserve">the </w:t>
            </w:r>
            <w:r w:rsidRPr="009D19C8">
              <w:t xml:space="preserve">Ratification of Chair’s Action and Affixing of the Common Seal report </w:t>
            </w:r>
            <w:r w:rsidR="00455A93" w:rsidRPr="000924A8">
              <w:t xml:space="preserve">Ref </w:t>
            </w:r>
            <w:r w:rsidR="00455A93">
              <w:t>4.9</w:t>
            </w:r>
            <w:r w:rsidR="00455A93" w:rsidRPr="000924A8">
              <w:t>.280520</w:t>
            </w:r>
            <w:r w:rsidR="00455A93">
              <w:rPr>
                <w:rFonts w:eastAsia="Times New Roman"/>
                <w:color w:val="000000" w:themeColor="text1"/>
              </w:rPr>
              <w:t>).</w:t>
            </w:r>
          </w:p>
          <w:p w14:paraId="308BAEF5" w14:textId="77777777" w:rsidR="0049768D" w:rsidRDefault="0049768D" w:rsidP="0049768D"/>
          <w:p w14:paraId="79C3B1E6" w14:textId="77777777" w:rsidR="0049768D" w:rsidRDefault="0049768D" w:rsidP="0049768D">
            <w:r>
              <w:t xml:space="preserve">The Board </w:t>
            </w:r>
            <w:r w:rsidRPr="0049768D">
              <w:rPr>
                <w:b/>
              </w:rPr>
              <w:t>resolved</w:t>
            </w:r>
            <w:r>
              <w:t xml:space="preserve"> to: </w:t>
            </w:r>
          </w:p>
          <w:p w14:paraId="638CB249" w14:textId="77777777" w:rsidR="0049768D" w:rsidRDefault="0049768D" w:rsidP="0049768D">
            <w:pPr>
              <w:ind w:left="599" w:hanging="567"/>
            </w:pPr>
            <w:r>
              <w:t>•</w:t>
            </w:r>
            <w:r>
              <w:tab/>
            </w:r>
            <w:r w:rsidRPr="009D19C8">
              <w:rPr>
                <w:b/>
              </w:rPr>
              <w:t>Note</w:t>
            </w:r>
            <w:r>
              <w:t xml:space="preserve"> the occasion where Chair’s Action was taken; </w:t>
            </w:r>
          </w:p>
          <w:p w14:paraId="27A08824" w14:textId="77777777" w:rsidR="0049768D" w:rsidRDefault="0049768D" w:rsidP="0049768D">
            <w:pPr>
              <w:ind w:left="599" w:hanging="567"/>
            </w:pPr>
            <w:r>
              <w:t>•</w:t>
            </w:r>
            <w:r>
              <w:tab/>
            </w:r>
            <w:r w:rsidRPr="009D19C8">
              <w:rPr>
                <w:b/>
              </w:rPr>
              <w:t>Receive</w:t>
            </w:r>
            <w:r>
              <w:t xml:space="preserve"> assurance that the actions were taken in accordance with Section 2 of the Standing Orders; </w:t>
            </w:r>
          </w:p>
          <w:p w14:paraId="54939CF3" w14:textId="77777777" w:rsidR="00120486" w:rsidRDefault="0049768D" w:rsidP="0049768D">
            <w:pPr>
              <w:ind w:left="599" w:hanging="567"/>
            </w:pPr>
            <w:r>
              <w:t>•</w:t>
            </w:r>
            <w:r>
              <w:tab/>
            </w:r>
            <w:r w:rsidRPr="009D19C8">
              <w:rPr>
                <w:b/>
              </w:rPr>
              <w:t>Ratify</w:t>
            </w:r>
            <w:r>
              <w:t xml:space="preserve"> the Chair’s Action as Chair of the Remuneration and Terms of Service Committee to approve an application for VERS (Voluntary Early Release Scheme). This </w:t>
            </w:r>
            <w:r w:rsidR="00DE0A32">
              <w:t>was</w:t>
            </w:r>
            <w:r>
              <w:t xml:space="preserve"> being reported to Board for ratification, and will be reported to the Remuneration and Terms of Service Committee at its next meeting.</w:t>
            </w:r>
          </w:p>
          <w:p w14:paraId="3DF9083E" w14:textId="77777777" w:rsidR="0049768D" w:rsidRDefault="0049768D" w:rsidP="0049768D">
            <w:pPr>
              <w:ind w:left="599" w:hanging="567"/>
            </w:pPr>
          </w:p>
        </w:tc>
      </w:tr>
      <w:tr w:rsidR="00120486" w:rsidRPr="0049768D" w14:paraId="7E583D79" w14:textId="77777777" w:rsidTr="00E43FD3">
        <w:trPr>
          <w:jc w:val="center"/>
        </w:trPr>
        <w:tc>
          <w:tcPr>
            <w:tcW w:w="9657" w:type="dxa"/>
            <w:gridSpan w:val="4"/>
            <w:shd w:val="clear" w:color="auto" w:fill="auto"/>
          </w:tcPr>
          <w:p w14:paraId="38826B39" w14:textId="30E9567A" w:rsidR="00120486" w:rsidRPr="0049768D" w:rsidRDefault="00120486" w:rsidP="0049768D">
            <w:pPr>
              <w:ind w:left="2154" w:hanging="2126"/>
              <w:rPr>
                <w:b/>
              </w:rPr>
            </w:pPr>
            <w:r w:rsidRPr="0049768D">
              <w:rPr>
                <w:b/>
              </w:rPr>
              <w:t>Date of Ne</w:t>
            </w:r>
            <w:r w:rsidR="007F56D9">
              <w:rPr>
                <w:b/>
              </w:rPr>
              <w:t xml:space="preserve">xt Formal Meeting of the Board </w:t>
            </w:r>
          </w:p>
        </w:tc>
      </w:tr>
      <w:tr w:rsidR="00DE0A32" w:rsidRPr="00D407B7" w14:paraId="76730CFE" w14:textId="77777777" w:rsidTr="00086910">
        <w:trPr>
          <w:jc w:val="center"/>
        </w:trPr>
        <w:tc>
          <w:tcPr>
            <w:tcW w:w="9657" w:type="dxa"/>
            <w:gridSpan w:val="4"/>
            <w:shd w:val="clear" w:color="auto" w:fill="auto"/>
          </w:tcPr>
          <w:p w14:paraId="1A3B4E02" w14:textId="77777777" w:rsidR="00DE0A32" w:rsidRDefault="00DE0A32" w:rsidP="00086910">
            <w:pPr>
              <w:tabs>
                <w:tab w:val="left" w:pos="2124"/>
              </w:tabs>
            </w:pPr>
          </w:p>
          <w:p w14:paraId="1B80EE50" w14:textId="448183CD" w:rsidR="008170E7" w:rsidRDefault="00095484" w:rsidP="00095484">
            <w:pPr>
              <w:tabs>
                <w:tab w:val="left" w:pos="2124"/>
              </w:tabs>
            </w:pPr>
            <w:r>
              <w:t xml:space="preserve">The next meeting was scheduled for the </w:t>
            </w:r>
            <w:r w:rsidR="008170E7">
              <w:t>25 June 2020</w:t>
            </w:r>
            <w:r>
              <w:t>.</w:t>
            </w:r>
          </w:p>
          <w:p w14:paraId="73ED6CC7" w14:textId="0E34D2A0" w:rsidR="00DE0A32" w:rsidRDefault="008170E7" w:rsidP="008170E7">
            <w:pPr>
              <w:pStyle w:val="ListParagraph"/>
              <w:tabs>
                <w:tab w:val="left" w:pos="2124"/>
              </w:tabs>
            </w:pPr>
            <w:r>
              <w:t xml:space="preserve"> </w:t>
            </w:r>
          </w:p>
        </w:tc>
      </w:tr>
      <w:tr w:rsidR="00DE0A32" w:rsidRPr="00D407B7" w14:paraId="1CBFC1CA" w14:textId="77777777" w:rsidTr="00E43FD3">
        <w:trPr>
          <w:jc w:val="center"/>
        </w:trPr>
        <w:tc>
          <w:tcPr>
            <w:tcW w:w="9657" w:type="dxa"/>
            <w:gridSpan w:val="4"/>
            <w:shd w:val="clear" w:color="auto" w:fill="auto"/>
          </w:tcPr>
          <w:p w14:paraId="36C67279" w14:textId="77777777" w:rsidR="00DE0A32" w:rsidRDefault="00DE0A32" w:rsidP="00DE0A32">
            <w:pPr>
              <w:ind w:left="28"/>
            </w:pPr>
            <w:r w:rsidRPr="0049768D">
              <w:t>JW brought the open session of the Board to an end, thanking everyone for their contributions. </w:t>
            </w:r>
          </w:p>
          <w:p w14:paraId="76224BB8" w14:textId="77777777" w:rsidR="00DE0A32" w:rsidRDefault="00DE0A32" w:rsidP="00DE0A32">
            <w:pPr>
              <w:ind w:left="28"/>
            </w:pPr>
          </w:p>
        </w:tc>
      </w:tr>
      <w:tr w:rsidR="00120486" w:rsidRPr="00D407B7" w14:paraId="7FCD51C2" w14:textId="77777777" w:rsidTr="00E43FD3">
        <w:trPr>
          <w:jc w:val="center"/>
        </w:trPr>
        <w:tc>
          <w:tcPr>
            <w:tcW w:w="9657" w:type="dxa"/>
            <w:gridSpan w:val="4"/>
            <w:shd w:val="clear" w:color="auto" w:fill="auto"/>
          </w:tcPr>
          <w:p w14:paraId="037A2440" w14:textId="00692497" w:rsidR="0049768D" w:rsidRDefault="008170E7" w:rsidP="00DE0A32">
            <w:pPr>
              <w:ind w:left="28"/>
              <w:jc w:val="center"/>
            </w:pPr>
            <w:r>
              <w:t>Meeting closed at 12:45</w:t>
            </w:r>
          </w:p>
        </w:tc>
      </w:tr>
    </w:tbl>
    <w:p w14:paraId="02C68D9F" w14:textId="77777777" w:rsidR="00F53FA3" w:rsidRPr="00D407B7" w:rsidRDefault="00F53FA3" w:rsidP="00696C86">
      <w:pPr>
        <w:jc w:val="center"/>
      </w:pPr>
    </w:p>
    <w:p w14:paraId="1633AFE8" w14:textId="77777777" w:rsidR="00A80448" w:rsidRDefault="00A80448" w:rsidP="00F84770"/>
    <w:sectPr w:rsidR="00A80448" w:rsidSect="000203FB">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6610" w14:textId="77777777" w:rsidR="00410CAA" w:rsidRDefault="00410CAA" w:rsidP="00527C44">
      <w:r>
        <w:separator/>
      </w:r>
    </w:p>
  </w:endnote>
  <w:endnote w:type="continuationSeparator" w:id="0">
    <w:p w14:paraId="0D82FF09" w14:textId="77777777" w:rsidR="00410CAA" w:rsidRDefault="00410CAA" w:rsidP="005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tis Sans Serif Std Light">
    <w:altName w:val="Rotis Sans Serif Std Ligh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016"/>
      <w:gridCol w:w="3005"/>
    </w:tblGrid>
    <w:tr w:rsidR="00ED484C" w:rsidRPr="00511AFF" w14:paraId="0ED9629C" w14:textId="77777777" w:rsidTr="000A7404">
      <w:tc>
        <w:tcPr>
          <w:tcW w:w="3255" w:type="dxa"/>
        </w:tcPr>
        <w:p w14:paraId="07C55F10" w14:textId="77777777" w:rsidR="00ED484C" w:rsidRPr="00915027" w:rsidRDefault="00ED484C" w:rsidP="0049768D">
          <w:pPr>
            <w:pStyle w:val="Footer"/>
            <w:tabs>
              <w:tab w:val="right" w:pos="9090"/>
            </w:tabs>
            <w:jc w:val="center"/>
            <w:rPr>
              <w:sz w:val="20"/>
              <w:highlight w:val="yellow"/>
            </w:rPr>
          </w:pPr>
          <w:r w:rsidRPr="00511AFF">
            <w:rPr>
              <w:b/>
              <w:sz w:val="20"/>
            </w:rPr>
            <w:t xml:space="preserve">Date: </w:t>
          </w:r>
          <w:r w:rsidR="0049768D">
            <w:rPr>
              <w:sz w:val="20"/>
            </w:rPr>
            <w:t>28</w:t>
          </w:r>
          <w:r w:rsidR="005B2B6A">
            <w:rPr>
              <w:sz w:val="20"/>
            </w:rPr>
            <w:t xml:space="preserve"> May</w:t>
          </w:r>
          <w:r>
            <w:rPr>
              <w:sz w:val="20"/>
            </w:rPr>
            <w:t xml:space="preserve"> 2020</w:t>
          </w:r>
        </w:p>
      </w:tc>
      <w:tc>
        <w:tcPr>
          <w:tcW w:w="3082" w:type="dxa"/>
        </w:tcPr>
        <w:p w14:paraId="39DCA8E0" w14:textId="77777777" w:rsidR="00ED484C" w:rsidRPr="00511AFF" w:rsidRDefault="00ED484C" w:rsidP="00BF7B9A">
          <w:pPr>
            <w:pStyle w:val="Footer"/>
            <w:tabs>
              <w:tab w:val="right" w:pos="9090"/>
            </w:tabs>
            <w:jc w:val="center"/>
            <w:rPr>
              <w:b/>
              <w:sz w:val="20"/>
            </w:rPr>
          </w:pPr>
          <w:r w:rsidRPr="00511AFF">
            <w:rPr>
              <w:b/>
              <w:sz w:val="20"/>
            </w:rPr>
            <w:t>Version:</w:t>
          </w:r>
          <w:r>
            <w:rPr>
              <w:sz w:val="20"/>
            </w:rPr>
            <w:t xml:space="preserve"> 0.</w:t>
          </w:r>
          <w:r w:rsidR="00BF7B9A">
            <w:rPr>
              <w:sz w:val="20"/>
            </w:rPr>
            <w:t>1</w:t>
          </w:r>
        </w:p>
      </w:tc>
      <w:tc>
        <w:tcPr>
          <w:tcW w:w="3081" w:type="dxa"/>
        </w:tcPr>
        <w:p w14:paraId="61477ED4" w14:textId="63023C8D" w:rsidR="00ED484C" w:rsidRPr="00511AFF" w:rsidRDefault="00ED484C" w:rsidP="000A7404">
          <w:pPr>
            <w:pStyle w:val="Footer"/>
            <w:tabs>
              <w:tab w:val="clear" w:pos="4513"/>
              <w:tab w:val="center" w:pos="4500"/>
              <w:tab w:val="right" w:pos="9090"/>
            </w:tabs>
            <w:jc w:val="center"/>
            <w:rPr>
              <w:b/>
              <w:sz w:val="20"/>
            </w:rPr>
          </w:pPr>
          <w:r w:rsidRPr="00511AFF">
            <w:rPr>
              <w:b/>
              <w:sz w:val="20"/>
            </w:rPr>
            <w:t xml:space="preserve">Page: </w:t>
          </w:r>
          <w:r w:rsidRPr="00511AFF">
            <w:rPr>
              <w:rStyle w:val="PageNumber"/>
              <w:sz w:val="20"/>
            </w:rPr>
            <w:fldChar w:fldCharType="begin"/>
          </w:r>
          <w:r w:rsidRPr="00511AFF">
            <w:rPr>
              <w:rStyle w:val="PageNumber"/>
              <w:sz w:val="20"/>
            </w:rPr>
            <w:instrText xml:space="preserve"> PAGE </w:instrText>
          </w:r>
          <w:r w:rsidRPr="00511AFF">
            <w:rPr>
              <w:rStyle w:val="PageNumber"/>
              <w:sz w:val="20"/>
            </w:rPr>
            <w:fldChar w:fldCharType="separate"/>
          </w:r>
          <w:r w:rsidR="00D6662E">
            <w:rPr>
              <w:rStyle w:val="PageNumber"/>
              <w:noProof/>
              <w:sz w:val="20"/>
            </w:rPr>
            <w:t>12</w:t>
          </w:r>
          <w:r w:rsidRPr="00511AFF">
            <w:rPr>
              <w:rStyle w:val="PageNumber"/>
              <w:sz w:val="20"/>
            </w:rPr>
            <w:fldChar w:fldCharType="end"/>
          </w:r>
          <w:r w:rsidRPr="00511AFF">
            <w:rPr>
              <w:rStyle w:val="PageNumber"/>
              <w:sz w:val="20"/>
            </w:rPr>
            <w:t xml:space="preserve"> of </w:t>
          </w:r>
          <w:r w:rsidRPr="00511AFF">
            <w:rPr>
              <w:rStyle w:val="PageNumber"/>
              <w:sz w:val="20"/>
            </w:rPr>
            <w:fldChar w:fldCharType="begin"/>
          </w:r>
          <w:r w:rsidRPr="00511AFF">
            <w:rPr>
              <w:rStyle w:val="PageNumber"/>
              <w:sz w:val="20"/>
            </w:rPr>
            <w:instrText xml:space="preserve"> NUMPAGES </w:instrText>
          </w:r>
          <w:r w:rsidRPr="00511AFF">
            <w:rPr>
              <w:rStyle w:val="PageNumber"/>
              <w:sz w:val="20"/>
            </w:rPr>
            <w:fldChar w:fldCharType="separate"/>
          </w:r>
          <w:r w:rsidR="00D6662E">
            <w:rPr>
              <w:rStyle w:val="PageNumber"/>
              <w:noProof/>
              <w:sz w:val="20"/>
            </w:rPr>
            <w:t>12</w:t>
          </w:r>
          <w:r w:rsidRPr="00511AFF">
            <w:rPr>
              <w:rStyle w:val="PageNumber"/>
              <w:sz w:val="20"/>
            </w:rPr>
            <w:fldChar w:fldCharType="end"/>
          </w:r>
        </w:p>
      </w:tc>
    </w:tr>
  </w:tbl>
  <w:p w14:paraId="44A8BB1C" w14:textId="77777777" w:rsidR="00ED484C" w:rsidRDefault="00ED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ACE3" w14:textId="77777777" w:rsidR="00410CAA" w:rsidRDefault="00410CAA" w:rsidP="00527C44">
      <w:r>
        <w:separator/>
      </w:r>
    </w:p>
  </w:footnote>
  <w:footnote w:type="continuationSeparator" w:id="0">
    <w:p w14:paraId="224B82F1" w14:textId="77777777" w:rsidR="00410CAA" w:rsidRDefault="00410CAA" w:rsidP="0052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26"/>
    </w:tblGrid>
    <w:tr w:rsidR="00ED484C" w:rsidRPr="00E82498" w14:paraId="5DD4B387" w14:textId="77777777" w:rsidTr="00743889">
      <w:trPr>
        <w:jc w:val="center"/>
      </w:trPr>
      <w:tc>
        <w:tcPr>
          <w:tcW w:w="4537" w:type="dxa"/>
        </w:tcPr>
        <w:p w14:paraId="195116BE" w14:textId="77777777" w:rsidR="00ED484C" w:rsidRPr="00E82498" w:rsidRDefault="00ED484C" w:rsidP="00A52AF7">
          <w:pPr>
            <w:pStyle w:val="Header"/>
          </w:pPr>
          <w:r w:rsidRPr="00E82498">
            <w:rPr>
              <w:sz w:val="22"/>
            </w:rPr>
            <w:t>Public Health Wales</w:t>
          </w:r>
        </w:p>
      </w:tc>
      <w:tc>
        <w:tcPr>
          <w:tcW w:w="5126" w:type="dxa"/>
        </w:tcPr>
        <w:p w14:paraId="56E227A7" w14:textId="77777777" w:rsidR="00ED484C" w:rsidRDefault="00ED484C" w:rsidP="00781A33">
          <w:pPr>
            <w:tabs>
              <w:tab w:val="left" w:pos="6795"/>
            </w:tabs>
            <w:jc w:val="right"/>
            <w:rPr>
              <w:sz w:val="22"/>
            </w:rPr>
          </w:pPr>
          <w:r>
            <w:rPr>
              <w:sz w:val="22"/>
            </w:rPr>
            <w:t xml:space="preserve">Unconfirmed Minutes </w:t>
          </w:r>
        </w:p>
        <w:p w14:paraId="3D180716" w14:textId="77777777" w:rsidR="00ED484C" w:rsidRPr="00E82498" w:rsidRDefault="00E214CA" w:rsidP="000E72B3">
          <w:pPr>
            <w:tabs>
              <w:tab w:val="left" w:pos="6795"/>
            </w:tabs>
            <w:jc w:val="right"/>
          </w:pPr>
          <w:r>
            <w:rPr>
              <w:sz w:val="22"/>
            </w:rPr>
            <w:t xml:space="preserve">28 </w:t>
          </w:r>
          <w:r w:rsidR="00CE5739">
            <w:rPr>
              <w:sz w:val="22"/>
            </w:rPr>
            <w:t>May</w:t>
          </w:r>
          <w:r w:rsidR="00ED484C">
            <w:rPr>
              <w:sz w:val="22"/>
            </w:rPr>
            <w:t xml:space="preserve"> 2020</w:t>
          </w:r>
        </w:p>
      </w:tc>
    </w:tr>
  </w:tbl>
  <w:p w14:paraId="43F82865" w14:textId="77777777" w:rsidR="00ED484C" w:rsidRDefault="00ED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2C7"/>
    <w:multiLevelType w:val="hybridMultilevel"/>
    <w:tmpl w:val="3F0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38C9"/>
    <w:multiLevelType w:val="hybridMultilevel"/>
    <w:tmpl w:val="FC7265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83C50"/>
    <w:multiLevelType w:val="hybridMultilevel"/>
    <w:tmpl w:val="02A6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131E"/>
    <w:multiLevelType w:val="hybridMultilevel"/>
    <w:tmpl w:val="43301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11FC7"/>
    <w:multiLevelType w:val="hybridMultilevel"/>
    <w:tmpl w:val="E8DC016C"/>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35A004BE"/>
    <w:multiLevelType w:val="hybridMultilevel"/>
    <w:tmpl w:val="43A21FD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3ABF6F6C"/>
    <w:multiLevelType w:val="hybridMultilevel"/>
    <w:tmpl w:val="BE12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71481"/>
    <w:multiLevelType w:val="hybridMultilevel"/>
    <w:tmpl w:val="A73A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D70A6"/>
    <w:multiLevelType w:val="hybridMultilevel"/>
    <w:tmpl w:val="A74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F6620"/>
    <w:multiLevelType w:val="hybridMultilevel"/>
    <w:tmpl w:val="6156AB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2F7EDE"/>
    <w:multiLevelType w:val="hybridMultilevel"/>
    <w:tmpl w:val="2E4E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D1904"/>
    <w:multiLevelType w:val="hybridMultilevel"/>
    <w:tmpl w:val="AC08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66790"/>
    <w:multiLevelType w:val="hybridMultilevel"/>
    <w:tmpl w:val="BE3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549FF"/>
    <w:multiLevelType w:val="multilevel"/>
    <w:tmpl w:val="36D63F6A"/>
    <w:lvl w:ilvl="0">
      <w:start w:val="1"/>
      <w:numFmt w:val="decimal"/>
      <w:pStyle w:val="Heading1"/>
      <w:lvlText w:val="%1"/>
      <w:lvlJc w:val="left"/>
      <w:pPr>
        <w:tabs>
          <w:tab w:val="num" w:pos="1008"/>
        </w:tabs>
        <w:ind w:left="1008" w:hanging="1008"/>
      </w:pPr>
    </w:lvl>
    <w:lvl w:ilvl="1">
      <w:start w:val="1"/>
      <w:numFmt w:val="bullet"/>
      <w:pStyle w:val="Heading2"/>
      <w:lvlText w:val=""/>
      <w:lvlJc w:val="left"/>
      <w:pPr>
        <w:tabs>
          <w:tab w:val="num" w:pos="1292"/>
        </w:tabs>
        <w:ind w:left="1292" w:hanging="1008"/>
      </w:pPr>
      <w:rPr>
        <w:rFonts w:ascii="Symbol" w:hAnsi="Symbol" w:hint="default"/>
        <w:b w:val="0"/>
        <w:sz w:val="24"/>
        <w:szCs w:val="24"/>
      </w:r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3A135B3"/>
    <w:multiLevelType w:val="hybridMultilevel"/>
    <w:tmpl w:val="92D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5E21"/>
    <w:multiLevelType w:val="hybridMultilevel"/>
    <w:tmpl w:val="DD3A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5"/>
  </w:num>
  <w:num w:numId="9">
    <w:abstractNumId w:val="6"/>
  </w:num>
  <w:num w:numId="10">
    <w:abstractNumId w:val="12"/>
  </w:num>
  <w:num w:numId="11">
    <w:abstractNumId w:val="4"/>
  </w:num>
  <w:num w:numId="12">
    <w:abstractNumId w:val="1"/>
  </w:num>
  <w:num w:numId="13">
    <w:abstractNumId w:val="3"/>
  </w:num>
  <w:num w:numId="14">
    <w:abstractNumId w:val="0"/>
  </w:num>
  <w:num w:numId="15">
    <w:abstractNumId w:val="8"/>
  </w:num>
  <w:num w:numId="16">
    <w:abstractNumId w:val="10"/>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93"/>
    <w:rsid w:val="00000724"/>
    <w:rsid w:val="00000814"/>
    <w:rsid w:val="000012DE"/>
    <w:rsid w:val="00001C2B"/>
    <w:rsid w:val="00002025"/>
    <w:rsid w:val="00002622"/>
    <w:rsid w:val="00002A19"/>
    <w:rsid w:val="00002CAA"/>
    <w:rsid w:val="00003007"/>
    <w:rsid w:val="00003FFA"/>
    <w:rsid w:val="00004725"/>
    <w:rsid w:val="00005329"/>
    <w:rsid w:val="0000561F"/>
    <w:rsid w:val="00005A8C"/>
    <w:rsid w:val="000070CC"/>
    <w:rsid w:val="000074C5"/>
    <w:rsid w:val="0000761D"/>
    <w:rsid w:val="000102D4"/>
    <w:rsid w:val="000106A8"/>
    <w:rsid w:val="00010CA8"/>
    <w:rsid w:val="00010F19"/>
    <w:rsid w:val="0001127D"/>
    <w:rsid w:val="00011804"/>
    <w:rsid w:val="0001253D"/>
    <w:rsid w:val="00012C69"/>
    <w:rsid w:val="00013931"/>
    <w:rsid w:val="00013A04"/>
    <w:rsid w:val="00014204"/>
    <w:rsid w:val="00014EC8"/>
    <w:rsid w:val="00015B39"/>
    <w:rsid w:val="00015E8A"/>
    <w:rsid w:val="00016065"/>
    <w:rsid w:val="0001643E"/>
    <w:rsid w:val="000168DE"/>
    <w:rsid w:val="00016A37"/>
    <w:rsid w:val="00016FA9"/>
    <w:rsid w:val="000171B5"/>
    <w:rsid w:val="00017FDE"/>
    <w:rsid w:val="000203FB"/>
    <w:rsid w:val="00021130"/>
    <w:rsid w:val="00021416"/>
    <w:rsid w:val="00021778"/>
    <w:rsid w:val="00021CC1"/>
    <w:rsid w:val="0002250B"/>
    <w:rsid w:val="000230CF"/>
    <w:rsid w:val="00023130"/>
    <w:rsid w:val="00023162"/>
    <w:rsid w:val="00023BC0"/>
    <w:rsid w:val="00024292"/>
    <w:rsid w:val="000247F9"/>
    <w:rsid w:val="00024E0D"/>
    <w:rsid w:val="000265EB"/>
    <w:rsid w:val="000275C5"/>
    <w:rsid w:val="00027A98"/>
    <w:rsid w:val="00027B47"/>
    <w:rsid w:val="00027F50"/>
    <w:rsid w:val="00030ACB"/>
    <w:rsid w:val="00031F9C"/>
    <w:rsid w:val="00032130"/>
    <w:rsid w:val="00032E47"/>
    <w:rsid w:val="00032E4D"/>
    <w:rsid w:val="000333DA"/>
    <w:rsid w:val="000334B8"/>
    <w:rsid w:val="00033754"/>
    <w:rsid w:val="000344EA"/>
    <w:rsid w:val="000362F9"/>
    <w:rsid w:val="00041731"/>
    <w:rsid w:val="00041FCB"/>
    <w:rsid w:val="000422B1"/>
    <w:rsid w:val="000423AC"/>
    <w:rsid w:val="00042A16"/>
    <w:rsid w:val="00042CAE"/>
    <w:rsid w:val="00042CCC"/>
    <w:rsid w:val="00043727"/>
    <w:rsid w:val="00043AC0"/>
    <w:rsid w:val="00043AF2"/>
    <w:rsid w:val="00044222"/>
    <w:rsid w:val="00044D8F"/>
    <w:rsid w:val="00044E24"/>
    <w:rsid w:val="00045D2A"/>
    <w:rsid w:val="00046979"/>
    <w:rsid w:val="00046A00"/>
    <w:rsid w:val="00046C62"/>
    <w:rsid w:val="00046EEC"/>
    <w:rsid w:val="00046F90"/>
    <w:rsid w:val="00047C57"/>
    <w:rsid w:val="00047EAB"/>
    <w:rsid w:val="000501B7"/>
    <w:rsid w:val="000505CE"/>
    <w:rsid w:val="000506F6"/>
    <w:rsid w:val="000514BF"/>
    <w:rsid w:val="00051D52"/>
    <w:rsid w:val="00053E58"/>
    <w:rsid w:val="000562A6"/>
    <w:rsid w:val="00056F2A"/>
    <w:rsid w:val="000573AF"/>
    <w:rsid w:val="000575FD"/>
    <w:rsid w:val="00057C95"/>
    <w:rsid w:val="0006019D"/>
    <w:rsid w:val="0006034B"/>
    <w:rsid w:val="000609C6"/>
    <w:rsid w:val="00060A6C"/>
    <w:rsid w:val="00060C14"/>
    <w:rsid w:val="00060CBC"/>
    <w:rsid w:val="000613BB"/>
    <w:rsid w:val="0006159F"/>
    <w:rsid w:val="000618D7"/>
    <w:rsid w:val="00061C4F"/>
    <w:rsid w:val="000620A0"/>
    <w:rsid w:val="000622F0"/>
    <w:rsid w:val="000627DC"/>
    <w:rsid w:val="00063EC2"/>
    <w:rsid w:val="00063F08"/>
    <w:rsid w:val="000640F6"/>
    <w:rsid w:val="00064720"/>
    <w:rsid w:val="00066006"/>
    <w:rsid w:val="0006672C"/>
    <w:rsid w:val="00066941"/>
    <w:rsid w:val="000670E4"/>
    <w:rsid w:val="00067929"/>
    <w:rsid w:val="00067C00"/>
    <w:rsid w:val="000704AD"/>
    <w:rsid w:val="000707EF"/>
    <w:rsid w:val="00070DC6"/>
    <w:rsid w:val="00071255"/>
    <w:rsid w:val="00072017"/>
    <w:rsid w:val="00072423"/>
    <w:rsid w:val="000726EB"/>
    <w:rsid w:val="0007291F"/>
    <w:rsid w:val="000733BC"/>
    <w:rsid w:val="000734C4"/>
    <w:rsid w:val="00074460"/>
    <w:rsid w:val="000744BA"/>
    <w:rsid w:val="00074631"/>
    <w:rsid w:val="00075B6B"/>
    <w:rsid w:val="00076452"/>
    <w:rsid w:val="00076D1C"/>
    <w:rsid w:val="00076E31"/>
    <w:rsid w:val="00076FD5"/>
    <w:rsid w:val="00077AF3"/>
    <w:rsid w:val="00077D35"/>
    <w:rsid w:val="00077DF2"/>
    <w:rsid w:val="00080195"/>
    <w:rsid w:val="00080340"/>
    <w:rsid w:val="00080994"/>
    <w:rsid w:val="0008147F"/>
    <w:rsid w:val="00081B13"/>
    <w:rsid w:val="00081D08"/>
    <w:rsid w:val="0008238C"/>
    <w:rsid w:val="000828C1"/>
    <w:rsid w:val="00082926"/>
    <w:rsid w:val="00082AB8"/>
    <w:rsid w:val="00082D4A"/>
    <w:rsid w:val="00083205"/>
    <w:rsid w:val="000832E6"/>
    <w:rsid w:val="000833C9"/>
    <w:rsid w:val="00083846"/>
    <w:rsid w:val="00083C92"/>
    <w:rsid w:val="00083EA3"/>
    <w:rsid w:val="0008428B"/>
    <w:rsid w:val="0008441B"/>
    <w:rsid w:val="00084958"/>
    <w:rsid w:val="00085164"/>
    <w:rsid w:val="000853FA"/>
    <w:rsid w:val="00085424"/>
    <w:rsid w:val="00085482"/>
    <w:rsid w:val="00085753"/>
    <w:rsid w:val="00086F34"/>
    <w:rsid w:val="00090045"/>
    <w:rsid w:val="000903AE"/>
    <w:rsid w:val="00091021"/>
    <w:rsid w:val="00091651"/>
    <w:rsid w:val="000924A8"/>
    <w:rsid w:val="00092C05"/>
    <w:rsid w:val="00092C49"/>
    <w:rsid w:val="00092F4B"/>
    <w:rsid w:val="00093066"/>
    <w:rsid w:val="0009325C"/>
    <w:rsid w:val="000936B0"/>
    <w:rsid w:val="00093AB3"/>
    <w:rsid w:val="00093D9B"/>
    <w:rsid w:val="00093E0E"/>
    <w:rsid w:val="00094EFA"/>
    <w:rsid w:val="00095142"/>
    <w:rsid w:val="00095484"/>
    <w:rsid w:val="00095D77"/>
    <w:rsid w:val="00095EBE"/>
    <w:rsid w:val="000962A0"/>
    <w:rsid w:val="0009665D"/>
    <w:rsid w:val="00096C84"/>
    <w:rsid w:val="00097772"/>
    <w:rsid w:val="00097A92"/>
    <w:rsid w:val="00097CE8"/>
    <w:rsid w:val="000A00FB"/>
    <w:rsid w:val="000A0BF3"/>
    <w:rsid w:val="000A1019"/>
    <w:rsid w:val="000A1EAE"/>
    <w:rsid w:val="000A2852"/>
    <w:rsid w:val="000A29FC"/>
    <w:rsid w:val="000A2A1B"/>
    <w:rsid w:val="000A2F98"/>
    <w:rsid w:val="000A34A5"/>
    <w:rsid w:val="000A42C4"/>
    <w:rsid w:val="000A530B"/>
    <w:rsid w:val="000A6D08"/>
    <w:rsid w:val="000A6E3B"/>
    <w:rsid w:val="000A7404"/>
    <w:rsid w:val="000A7515"/>
    <w:rsid w:val="000A7F8A"/>
    <w:rsid w:val="000B0130"/>
    <w:rsid w:val="000B0320"/>
    <w:rsid w:val="000B12F9"/>
    <w:rsid w:val="000B1B3E"/>
    <w:rsid w:val="000B27E2"/>
    <w:rsid w:val="000B2BAF"/>
    <w:rsid w:val="000B2D12"/>
    <w:rsid w:val="000B2D65"/>
    <w:rsid w:val="000B3108"/>
    <w:rsid w:val="000B3819"/>
    <w:rsid w:val="000B4D43"/>
    <w:rsid w:val="000B53B3"/>
    <w:rsid w:val="000B56E4"/>
    <w:rsid w:val="000B5848"/>
    <w:rsid w:val="000B62F9"/>
    <w:rsid w:val="000B63A7"/>
    <w:rsid w:val="000B689F"/>
    <w:rsid w:val="000B6B02"/>
    <w:rsid w:val="000B7836"/>
    <w:rsid w:val="000B790C"/>
    <w:rsid w:val="000B7BC4"/>
    <w:rsid w:val="000B7C0A"/>
    <w:rsid w:val="000C0432"/>
    <w:rsid w:val="000C07B3"/>
    <w:rsid w:val="000C1270"/>
    <w:rsid w:val="000C1B6C"/>
    <w:rsid w:val="000C3050"/>
    <w:rsid w:val="000C324C"/>
    <w:rsid w:val="000C376B"/>
    <w:rsid w:val="000C3C1C"/>
    <w:rsid w:val="000C3C86"/>
    <w:rsid w:val="000C4B58"/>
    <w:rsid w:val="000C4E5C"/>
    <w:rsid w:val="000C4F0F"/>
    <w:rsid w:val="000C54A9"/>
    <w:rsid w:val="000C5A04"/>
    <w:rsid w:val="000C5F8F"/>
    <w:rsid w:val="000C60C4"/>
    <w:rsid w:val="000C661D"/>
    <w:rsid w:val="000C6B72"/>
    <w:rsid w:val="000C72B7"/>
    <w:rsid w:val="000C73D6"/>
    <w:rsid w:val="000C7409"/>
    <w:rsid w:val="000D0EC9"/>
    <w:rsid w:val="000D1A27"/>
    <w:rsid w:val="000D1BE5"/>
    <w:rsid w:val="000D21BA"/>
    <w:rsid w:val="000D2E29"/>
    <w:rsid w:val="000D362B"/>
    <w:rsid w:val="000D3C43"/>
    <w:rsid w:val="000D45D1"/>
    <w:rsid w:val="000D48BC"/>
    <w:rsid w:val="000D4F52"/>
    <w:rsid w:val="000D579B"/>
    <w:rsid w:val="000D62FC"/>
    <w:rsid w:val="000D6353"/>
    <w:rsid w:val="000D67D6"/>
    <w:rsid w:val="000D68D7"/>
    <w:rsid w:val="000D7051"/>
    <w:rsid w:val="000E135D"/>
    <w:rsid w:val="000E1360"/>
    <w:rsid w:val="000E1B86"/>
    <w:rsid w:val="000E2372"/>
    <w:rsid w:val="000E265D"/>
    <w:rsid w:val="000E3441"/>
    <w:rsid w:val="000E37E9"/>
    <w:rsid w:val="000E3967"/>
    <w:rsid w:val="000E3A74"/>
    <w:rsid w:val="000E47F7"/>
    <w:rsid w:val="000E5400"/>
    <w:rsid w:val="000E5B45"/>
    <w:rsid w:val="000E5C00"/>
    <w:rsid w:val="000E72B3"/>
    <w:rsid w:val="000E74B5"/>
    <w:rsid w:val="000E7D86"/>
    <w:rsid w:val="000F076A"/>
    <w:rsid w:val="000F0C03"/>
    <w:rsid w:val="000F11F1"/>
    <w:rsid w:val="000F1590"/>
    <w:rsid w:val="000F1A32"/>
    <w:rsid w:val="000F1AF5"/>
    <w:rsid w:val="000F23C2"/>
    <w:rsid w:val="000F27BF"/>
    <w:rsid w:val="000F2A63"/>
    <w:rsid w:val="000F2B98"/>
    <w:rsid w:val="000F3075"/>
    <w:rsid w:val="000F30A4"/>
    <w:rsid w:val="000F316E"/>
    <w:rsid w:val="000F354F"/>
    <w:rsid w:val="000F37F8"/>
    <w:rsid w:val="000F39F8"/>
    <w:rsid w:val="000F3E94"/>
    <w:rsid w:val="000F419A"/>
    <w:rsid w:val="000F4210"/>
    <w:rsid w:val="000F4554"/>
    <w:rsid w:val="000F4964"/>
    <w:rsid w:val="000F4FDC"/>
    <w:rsid w:val="000F5343"/>
    <w:rsid w:val="000F5B10"/>
    <w:rsid w:val="000F6A54"/>
    <w:rsid w:val="000F6E5F"/>
    <w:rsid w:val="000F7168"/>
    <w:rsid w:val="000F764E"/>
    <w:rsid w:val="000F79BE"/>
    <w:rsid w:val="000F79DF"/>
    <w:rsid w:val="000F7E59"/>
    <w:rsid w:val="0010031F"/>
    <w:rsid w:val="00100A8A"/>
    <w:rsid w:val="00100BB0"/>
    <w:rsid w:val="00101A33"/>
    <w:rsid w:val="00102A7B"/>
    <w:rsid w:val="00102D59"/>
    <w:rsid w:val="001037D5"/>
    <w:rsid w:val="00104265"/>
    <w:rsid w:val="0010452C"/>
    <w:rsid w:val="00104575"/>
    <w:rsid w:val="001052C2"/>
    <w:rsid w:val="0010595E"/>
    <w:rsid w:val="00105985"/>
    <w:rsid w:val="00106085"/>
    <w:rsid w:val="001062B9"/>
    <w:rsid w:val="0010637B"/>
    <w:rsid w:val="001073B3"/>
    <w:rsid w:val="0010765A"/>
    <w:rsid w:val="00110582"/>
    <w:rsid w:val="00110EC5"/>
    <w:rsid w:val="00111009"/>
    <w:rsid w:val="00111087"/>
    <w:rsid w:val="00111C3C"/>
    <w:rsid w:val="001120DD"/>
    <w:rsid w:val="00112335"/>
    <w:rsid w:val="00112878"/>
    <w:rsid w:val="00112999"/>
    <w:rsid w:val="00112CFC"/>
    <w:rsid w:val="00113361"/>
    <w:rsid w:val="00113A34"/>
    <w:rsid w:val="00113B4F"/>
    <w:rsid w:val="00113BA7"/>
    <w:rsid w:val="00113C50"/>
    <w:rsid w:val="00114620"/>
    <w:rsid w:val="00114898"/>
    <w:rsid w:val="00114DC6"/>
    <w:rsid w:val="00115331"/>
    <w:rsid w:val="00115E9D"/>
    <w:rsid w:val="00116333"/>
    <w:rsid w:val="0011665C"/>
    <w:rsid w:val="00116B17"/>
    <w:rsid w:val="00116C72"/>
    <w:rsid w:val="00116DD7"/>
    <w:rsid w:val="001172D4"/>
    <w:rsid w:val="0011763E"/>
    <w:rsid w:val="001178E5"/>
    <w:rsid w:val="00117F2A"/>
    <w:rsid w:val="001200B4"/>
    <w:rsid w:val="00120299"/>
    <w:rsid w:val="00120486"/>
    <w:rsid w:val="001207CA"/>
    <w:rsid w:val="00120E5C"/>
    <w:rsid w:val="001213EB"/>
    <w:rsid w:val="001218BB"/>
    <w:rsid w:val="00121CA8"/>
    <w:rsid w:val="00121D84"/>
    <w:rsid w:val="0012218E"/>
    <w:rsid w:val="00122243"/>
    <w:rsid w:val="00123386"/>
    <w:rsid w:val="00123617"/>
    <w:rsid w:val="00123631"/>
    <w:rsid w:val="00124383"/>
    <w:rsid w:val="001252FA"/>
    <w:rsid w:val="001255AB"/>
    <w:rsid w:val="00126226"/>
    <w:rsid w:val="00126298"/>
    <w:rsid w:val="0012663A"/>
    <w:rsid w:val="00126CA0"/>
    <w:rsid w:val="001277CD"/>
    <w:rsid w:val="001278D2"/>
    <w:rsid w:val="00130C63"/>
    <w:rsid w:val="00130DD5"/>
    <w:rsid w:val="00130F2A"/>
    <w:rsid w:val="00131850"/>
    <w:rsid w:val="00132119"/>
    <w:rsid w:val="00132195"/>
    <w:rsid w:val="00132933"/>
    <w:rsid w:val="00132C76"/>
    <w:rsid w:val="0013308C"/>
    <w:rsid w:val="0013308E"/>
    <w:rsid w:val="001333FF"/>
    <w:rsid w:val="00134417"/>
    <w:rsid w:val="001344E0"/>
    <w:rsid w:val="00134783"/>
    <w:rsid w:val="0013496C"/>
    <w:rsid w:val="0013535D"/>
    <w:rsid w:val="0013641A"/>
    <w:rsid w:val="00136E36"/>
    <w:rsid w:val="00136F09"/>
    <w:rsid w:val="00137A02"/>
    <w:rsid w:val="00140DE5"/>
    <w:rsid w:val="001413A2"/>
    <w:rsid w:val="00141577"/>
    <w:rsid w:val="001423F7"/>
    <w:rsid w:val="00142EC6"/>
    <w:rsid w:val="0014303E"/>
    <w:rsid w:val="0014369F"/>
    <w:rsid w:val="001439E1"/>
    <w:rsid w:val="00143DF5"/>
    <w:rsid w:val="0014404E"/>
    <w:rsid w:val="001445E4"/>
    <w:rsid w:val="00144855"/>
    <w:rsid w:val="00144B96"/>
    <w:rsid w:val="001454C9"/>
    <w:rsid w:val="0014585D"/>
    <w:rsid w:val="00145CBD"/>
    <w:rsid w:val="00145D0D"/>
    <w:rsid w:val="001460BB"/>
    <w:rsid w:val="00146550"/>
    <w:rsid w:val="00146BF4"/>
    <w:rsid w:val="00146D9B"/>
    <w:rsid w:val="00147565"/>
    <w:rsid w:val="00147A08"/>
    <w:rsid w:val="00147A77"/>
    <w:rsid w:val="00147DD2"/>
    <w:rsid w:val="00150B55"/>
    <w:rsid w:val="00150BD3"/>
    <w:rsid w:val="00150D95"/>
    <w:rsid w:val="00152600"/>
    <w:rsid w:val="00153467"/>
    <w:rsid w:val="0015362D"/>
    <w:rsid w:val="00153C24"/>
    <w:rsid w:val="00154C4D"/>
    <w:rsid w:val="00154CE0"/>
    <w:rsid w:val="00155257"/>
    <w:rsid w:val="0015529A"/>
    <w:rsid w:val="00155408"/>
    <w:rsid w:val="0015596C"/>
    <w:rsid w:val="0015649D"/>
    <w:rsid w:val="00156706"/>
    <w:rsid w:val="001569BB"/>
    <w:rsid w:val="00157467"/>
    <w:rsid w:val="00157596"/>
    <w:rsid w:val="0015780B"/>
    <w:rsid w:val="00157FE3"/>
    <w:rsid w:val="001601FB"/>
    <w:rsid w:val="00160B44"/>
    <w:rsid w:val="0016169A"/>
    <w:rsid w:val="0016248D"/>
    <w:rsid w:val="001634D8"/>
    <w:rsid w:val="00163EBE"/>
    <w:rsid w:val="0016424A"/>
    <w:rsid w:val="00164402"/>
    <w:rsid w:val="001645B8"/>
    <w:rsid w:val="001648E7"/>
    <w:rsid w:val="001653E8"/>
    <w:rsid w:val="00165E6B"/>
    <w:rsid w:val="001661D1"/>
    <w:rsid w:val="00166522"/>
    <w:rsid w:val="00166897"/>
    <w:rsid w:val="00166F57"/>
    <w:rsid w:val="00167456"/>
    <w:rsid w:val="0016792F"/>
    <w:rsid w:val="00167B06"/>
    <w:rsid w:val="00170608"/>
    <w:rsid w:val="00170711"/>
    <w:rsid w:val="001723FC"/>
    <w:rsid w:val="00173F94"/>
    <w:rsid w:val="00174174"/>
    <w:rsid w:val="00174419"/>
    <w:rsid w:val="001744FE"/>
    <w:rsid w:val="0017463B"/>
    <w:rsid w:val="0017465D"/>
    <w:rsid w:val="00175675"/>
    <w:rsid w:val="00175B18"/>
    <w:rsid w:val="00175E64"/>
    <w:rsid w:val="001762C6"/>
    <w:rsid w:val="0017685E"/>
    <w:rsid w:val="00176A90"/>
    <w:rsid w:val="001773C7"/>
    <w:rsid w:val="00180113"/>
    <w:rsid w:val="001802DC"/>
    <w:rsid w:val="001804BD"/>
    <w:rsid w:val="001805E1"/>
    <w:rsid w:val="00180745"/>
    <w:rsid w:val="00180A5C"/>
    <w:rsid w:val="00180B89"/>
    <w:rsid w:val="00181413"/>
    <w:rsid w:val="001819FD"/>
    <w:rsid w:val="001827DD"/>
    <w:rsid w:val="00183582"/>
    <w:rsid w:val="001837E7"/>
    <w:rsid w:val="00183CA2"/>
    <w:rsid w:val="00184689"/>
    <w:rsid w:val="001853CD"/>
    <w:rsid w:val="001866FC"/>
    <w:rsid w:val="00186E55"/>
    <w:rsid w:val="00187202"/>
    <w:rsid w:val="00187F0B"/>
    <w:rsid w:val="00190220"/>
    <w:rsid w:val="001903DF"/>
    <w:rsid w:val="001907BC"/>
    <w:rsid w:val="00190D8D"/>
    <w:rsid w:val="001913CA"/>
    <w:rsid w:val="001915A3"/>
    <w:rsid w:val="00191EEB"/>
    <w:rsid w:val="00191F99"/>
    <w:rsid w:val="00192927"/>
    <w:rsid w:val="00192B04"/>
    <w:rsid w:val="00193245"/>
    <w:rsid w:val="00193724"/>
    <w:rsid w:val="001937C2"/>
    <w:rsid w:val="00193942"/>
    <w:rsid w:val="00193DD1"/>
    <w:rsid w:val="00194646"/>
    <w:rsid w:val="0019551F"/>
    <w:rsid w:val="00195F1A"/>
    <w:rsid w:val="0019608A"/>
    <w:rsid w:val="001966B7"/>
    <w:rsid w:val="00197062"/>
    <w:rsid w:val="00197553"/>
    <w:rsid w:val="00197596"/>
    <w:rsid w:val="001976C5"/>
    <w:rsid w:val="00197E03"/>
    <w:rsid w:val="001A0CDE"/>
    <w:rsid w:val="001A1389"/>
    <w:rsid w:val="001A1C1C"/>
    <w:rsid w:val="001A2285"/>
    <w:rsid w:val="001A295A"/>
    <w:rsid w:val="001A296F"/>
    <w:rsid w:val="001A2992"/>
    <w:rsid w:val="001A2E45"/>
    <w:rsid w:val="001A2EB5"/>
    <w:rsid w:val="001A343B"/>
    <w:rsid w:val="001A3F23"/>
    <w:rsid w:val="001A4FBE"/>
    <w:rsid w:val="001A50CD"/>
    <w:rsid w:val="001A5688"/>
    <w:rsid w:val="001A5DF0"/>
    <w:rsid w:val="001A6471"/>
    <w:rsid w:val="001A67E9"/>
    <w:rsid w:val="001A69FC"/>
    <w:rsid w:val="001A6EB6"/>
    <w:rsid w:val="001A7536"/>
    <w:rsid w:val="001B0600"/>
    <w:rsid w:val="001B0EE6"/>
    <w:rsid w:val="001B1395"/>
    <w:rsid w:val="001B160D"/>
    <w:rsid w:val="001B1C1F"/>
    <w:rsid w:val="001B2AD7"/>
    <w:rsid w:val="001B2FF8"/>
    <w:rsid w:val="001B3C6C"/>
    <w:rsid w:val="001B4353"/>
    <w:rsid w:val="001B4533"/>
    <w:rsid w:val="001B4A53"/>
    <w:rsid w:val="001B4BC8"/>
    <w:rsid w:val="001B4E50"/>
    <w:rsid w:val="001B4E60"/>
    <w:rsid w:val="001B4F1D"/>
    <w:rsid w:val="001B5453"/>
    <w:rsid w:val="001B5A88"/>
    <w:rsid w:val="001B6AF2"/>
    <w:rsid w:val="001B775F"/>
    <w:rsid w:val="001B7835"/>
    <w:rsid w:val="001C0469"/>
    <w:rsid w:val="001C04C5"/>
    <w:rsid w:val="001C0663"/>
    <w:rsid w:val="001C079A"/>
    <w:rsid w:val="001C0CEE"/>
    <w:rsid w:val="001C116B"/>
    <w:rsid w:val="001C1543"/>
    <w:rsid w:val="001C19F4"/>
    <w:rsid w:val="001C1D7E"/>
    <w:rsid w:val="001C267E"/>
    <w:rsid w:val="001C387A"/>
    <w:rsid w:val="001C48EF"/>
    <w:rsid w:val="001C4F64"/>
    <w:rsid w:val="001C55CC"/>
    <w:rsid w:val="001C5F81"/>
    <w:rsid w:val="001C60AD"/>
    <w:rsid w:val="001C6492"/>
    <w:rsid w:val="001C6771"/>
    <w:rsid w:val="001C67AB"/>
    <w:rsid w:val="001C780F"/>
    <w:rsid w:val="001C7895"/>
    <w:rsid w:val="001C7C93"/>
    <w:rsid w:val="001D03C5"/>
    <w:rsid w:val="001D0599"/>
    <w:rsid w:val="001D0786"/>
    <w:rsid w:val="001D0E95"/>
    <w:rsid w:val="001D1267"/>
    <w:rsid w:val="001D13E3"/>
    <w:rsid w:val="001D183D"/>
    <w:rsid w:val="001D1896"/>
    <w:rsid w:val="001D35A1"/>
    <w:rsid w:val="001D3C42"/>
    <w:rsid w:val="001D3DC1"/>
    <w:rsid w:val="001D44AC"/>
    <w:rsid w:val="001D5114"/>
    <w:rsid w:val="001D512A"/>
    <w:rsid w:val="001D560A"/>
    <w:rsid w:val="001D5B3A"/>
    <w:rsid w:val="001D619A"/>
    <w:rsid w:val="001D61E2"/>
    <w:rsid w:val="001D6A3B"/>
    <w:rsid w:val="001D6AAE"/>
    <w:rsid w:val="001D7B9D"/>
    <w:rsid w:val="001E06D4"/>
    <w:rsid w:val="001E0A8C"/>
    <w:rsid w:val="001E0E96"/>
    <w:rsid w:val="001E1222"/>
    <w:rsid w:val="001E1279"/>
    <w:rsid w:val="001E26B6"/>
    <w:rsid w:val="001E2861"/>
    <w:rsid w:val="001E2A0A"/>
    <w:rsid w:val="001E3903"/>
    <w:rsid w:val="001E3D0E"/>
    <w:rsid w:val="001E41BD"/>
    <w:rsid w:val="001E4464"/>
    <w:rsid w:val="001E54D7"/>
    <w:rsid w:val="001E5829"/>
    <w:rsid w:val="001E691D"/>
    <w:rsid w:val="001E693E"/>
    <w:rsid w:val="001E6D21"/>
    <w:rsid w:val="001E7591"/>
    <w:rsid w:val="001F1204"/>
    <w:rsid w:val="001F1596"/>
    <w:rsid w:val="001F178D"/>
    <w:rsid w:val="001F1BF8"/>
    <w:rsid w:val="001F2596"/>
    <w:rsid w:val="001F34C7"/>
    <w:rsid w:val="001F3C1B"/>
    <w:rsid w:val="001F501C"/>
    <w:rsid w:val="001F509D"/>
    <w:rsid w:val="001F5567"/>
    <w:rsid w:val="001F55DC"/>
    <w:rsid w:val="001F6F85"/>
    <w:rsid w:val="001F71FA"/>
    <w:rsid w:val="001F7468"/>
    <w:rsid w:val="001F7D10"/>
    <w:rsid w:val="001F7D93"/>
    <w:rsid w:val="001F7E61"/>
    <w:rsid w:val="001F7F7B"/>
    <w:rsid w:val="002009EF"/>
    <w:rsid w:val="00201721"/>
    <w:rsid w:val="0020186D"/>
    <w:rsid w:val="002022ED"/>
    <w:rsid w:val="002025D0"/>
    <w:rsid w:val="00203858"/>
    <w:rsid w:val="00203E38"/>
    <w:rsid w:val="0020472B"/>
    <w:rsid w:val="00204873"/>
    <w:rsid w:val="00205E5F"/>
    <w:rsid w:val="0020637D"/>
    <w:rsid w:val="00206395"/>
    <w:rsid w:val="002064CE"/>
    <w:rsid w:val="00206766"/>
    <w:rsid w:val="00212273"/>
    <w:rsid w:val="0021274C"/>
    <w:rsid w:val="00212FF3"/>
    <w:rsid w:val="002136F3"/>
    <w:rsid w:val="0021387F"/>
    <w:rsid w:val="00213A02"/>
    <w:rsid w:val="00213BF6"/>
    <w:rsid w:val="002150C7"/>
    <w:rsid w:val="00215868"/>
    <w:rsid w:val="00215B00"/>
    <w:rsid w:val="0021612E"/>
    <w:rsid w:val="0021682E"/>
    <w:rsid w:val="002169B7"/>
    <w:rsid w:val="00216CEC"/>
    <w:rsid w:val="00217013"/>
    <w:rsid w:val="00217348"/>
    <w:rsid w:val="0021791E"/>
    <w:rsid w:val="00217B31"/>
    <w:rsid w:val="00220AD9"/>
    <w:rsid w:val="00220C2A"/>
    <w:rsid w:val="00220C2B"/>
    <w:rsid w:val="002215B9"/>
    <w:rsid w:val="00221A54"/>
    <w:rsid w:val="00221E69"/>
    <w:rsid w:val="00221F70"/>
    <w:rsid w:val="002224A5"/>
    <w:rsid w:val="0022257F"/>
    <w:rsid w:val="0022309D"/>
    <w:rsid w:val="00223B65"/>
    <w:rsid w:val="00223EC1"/>
    <w:rsid w:val="00224BE9"/>
    <w:rsid w:val="00224DC9"/>
    <w:rsid w:val="00224E3E"/>
    <w:rsid w:val="00224E57"/>
    <w:rsid w:val="00225257"/>
    <w:rsid w:val="002255F3"/>
    <w:rsid w:val="00225ACC"/>
    <w:rsid w:val="00225F75"/>
    <w:rsid w:val="002263FF"/>
    <w:rsid w:val="00226E0E"/>
    <w:rsid w:val="00226E5A"/>
    <w:rsid w:val="00227429"/>
    <w:rsid w:val="002302D0"/>
    <w:rsid w:val="0023092E"/>
    <w:rsid w:val="00231407"/>
    <w:rsid w:val="00231B03"/>
    <w:rsid w:val="0023201E"/>
    <w:rsid w:val="00232156"/>
    <w:rsid w:val="00232BB3"/>
    <w:rsid w:val="0023314F"/>
    <w:rsid w:val="00233903"/>
    <w:rsid w:val="00233D05"/>
    <w:rsid w:val="002342AE"/>
    <w:rsid w:val="00234514"/>
    <w:rsid w:val="002351E9"/>
    <w:rsid w:val="00235621"/>
    <w:rsid w:val="00236464"/>
    <w:rsid w:val="00236598"/>
    <w:rsid w:val="00236F0D"/>
    <w:rsid w:val="00237388"/>
    <w:rsid w:val="00240D6A"/>
    <w:rsid w:val="00240E04"/>
    <w:rsid w:val="00241005"/>
    <w:rsid w:val="00241D25"/>
    <w:rsid w:val="00242098"/>
    <w:rsid w:val="00242852"/>
    <w:rsid w:val="00242BF9"/>
    <w:rsid w:val="00242D30"/>
    <w:rsid w:val="00243403"/>
    <w:rsid w:val="00243E53"/>
    <w:rsid w:val="00244984"/>
    <w:rsid w:val="0024605A"/>
    <w:rsid w:val="00246371"/>
    <w:rsid w:val="00247433"/>
    <w:rsid w:val="00247603"/>
    <w:rsid w:val="0024762D"/>
    <w:rsid w:val="00250166"/>
    <w:rsid w:val="002505FB"/>
    <w:rsid w:val="002506E8"/>
    <w:rsid w:val="00250973"/>
    <w:rsid w:val="00251680"/>
    <w:rsid w:val="00251692"/>
    <w:rsid w:val="00251774"/>
    <w:rsid w:val="00252DC3"/>
    <w:rsid w:val="00253CB3"/>
    <w:rsid w:val="00254874"/>
    <w:rsid w:val="002549A8"/>
    <w:rsid w:val="00254D1D"/>
    <w:rsid w:val="00255B53"/>
    <w:rsid w:val="00255BE3"/>
    <w:rsid w:val="00256892"/>
    <w:rsid w:val="00256B6F"/>
    <w:rsid w:val="00256CDB"/>
    <w:rsid w:val="002570C7"/>
    <w:rsid w:val="0025715A"/>
    <w:rsid w:val="00257798"/>
    <w:rsid w:val="00260A91"/>
    <w:rsid w:val="002631D7"/>
    <w:rsid w:val="00263DA8"/>
    <w:rsid w:val="00264B3D"/>
    <w:rsid w:val="00264D6A"/>
    <w:rsid w:val="00265103"/>
    <w:rsid w:val="00265449"/>
    <w:rsid w:val="00265A8E"/>
    <w:rsid w:val="0026686C"/>
    <w:rsid w:val="00266952"/>
    <w:rsid w:val="00266F8D"/>
    <w:rsid w:val="00271544"/>
    <w:rsid w:val="00271DF2"/>
    <w:rsid w:val="00271E5B"/>
    <w:rsid w:val="00273C6D"/>
    <w:rsid w:val="00273E14"/>
    <w:rsid w:val="00274020"/>
    <w:rsid w:val="00274C36"/>
    <w:rsid w:val="00274E38"/>
    <w:rsid w:val="00275525"/>
    <w:rsid w:val="00276B5E"/>
    <w:rsid w:val="002775EB"/>
    <w:rsid w:val="0027768B"/>
    <w:rsid w:val="00280E77"/>
    <w:rsid w:val="002818F4"/>
    <w:rsid w:val="00281E9D"/>
    <w:rsid w:val="002837E6"/>
    <w:rsid w:val="002839B5"/>
    <w:rsid w:val="00284447"/>
    <w:rsid w:val="00284B45"/>
    <w:rsid w:val="00285E0A"/>
    <w:rsid w:val="00285F49"/>
    <w:rsid w:val="00286032"/>
    <w:rsid w:val="0028615D"/>
    <w:rsid w:val="00286B7B"/>
    <w:rsid w:val="0028725B"/>
    <w:rsid w:val="00287CFE"/>
    <w:rsid w:val="00287FB8"/>
    <w:rsid w:val="002902EA"/>
    <w:rsid w:val="00291045"/>
    <w:rsid w:val="00291EB1"/>
    <w:rsid w:val="00294E2C"/>
    <w:rsid w:val="0029504D"/>
    <w:rsid w:val="002953D9"/>
    <w:rsid w:val="0029586D"/>
    <w:rsid w:val="002965C9"/>
    <w:rsid w:val="002968F5"/>
    <w:rsid w:val="00296C5D"/>
    <w:rsid w:val="00297077"/>
    <w:rsid w:val="00297407"/>
    <w:rsid w:val="00297EC4"/>
    <w:rsid w:val="002A1744"/>
    <w:rsid w:val="002A25FE"/>
    <w:rsid w:val="002A2608"/>
    <w:rsid w:val="002A2D38"/>
    <w:rsid w:val="002A3F57"/>
    <w:rsid w:val="002A4018"/>
    <w:rsid w:val="002A5A6F"/>
    <w:rsid w:val="002A5B67"/>
    <w:rsid w:val="002A6039"/>
    <w:rsid w:val="002A6588"/>
    <w:rsid w:val="002A701F"/>
    <w:rsid w:val="002A75EB"/>
    <w:rsid w:val="002A7738"/>
    <w:rsid w:val="002A7CFD"/>
    <w:rsid w:val="002B00A1"/>
    <w:rsid w:val="002B10A4"/>
    <w:rsid w:val="002B19DE"/>
    <w:rsid w:val="002B1F09"/>
    <w:rsid w:val="002B219B"/>
    <w:rsid w:val="002B2643"/>
    <w:rsid w:val="002B40DD"/>
    <w:rsid w:val="002B432F"/>
    <w:rsid w:val="002B4D3D"/>
    <w:rsid w:val="002B7836"/>
    <w:rsid w:val="002B7AED"/>
    <w:rsid w:val="002B7CDB"/>
    <w:rsid w:val="002C0FCB"/>
    <w:rsid w:val="002C1F16"/>
    <w:rsid w:val="002C2068"/>
    <w:rsid w:val="002C20DC"/>
    <w:rsid w:val="002C212E"/>
    <w:rsid w:val="002C29E3"/>
    <w:rsid w:val="002C2BCE"/>
    <w:rsid w:val="002C3329"/>
    <w:rsid w:val="002C3C33"/>
    <w:rsid w:val="002C48B9"/>
    <w:rsid w:val="002C4D96"/>
    <w:rsid w:val="002C534F"/>
    <w:rsid w:val="002C6494"/>
    <w:rsid w:val="002C68DE"/>
    <w:rsid w:val="002C6977"/>
    <w:rsid w:val="002C69CC"/>
    <w:rsid w:val="002C6AE7"/>
    <w:rsid w:val="002C6D22"/>
    <w:rsid w:val="002C77C4"/>
    <w:rsid w:val="002C7AD3"/>
    <w:rsid w:val="002C7BB6"/>
    <w:rsid w:val="002D07ED"/>
    <w:rsid w:val="002D111D"/>
    <w:rsid w:val="002D1301"/>
    <w:rsid w:val="002D152F"/>
    <w:rsid w:val="002D1BF7"/>
    <w:rsid w:val="002D2694"/>
    <w:rsid w:val="002D277B"/>
    <w:rsid w:val="002D358A"/>
    <w:rsid w:val="002D40C2"/>
    <w:rsid w:val="002D4158"/>
    <w:rsid w:val="002D4953"/>
    <w:rsid w:val="002D50CB"/>
    <w:rsid w:val="002D5B21"/>
    <w:rsid w:val="002D62A7"/>
    <w:rsid w:val="002D7661"/>
    <w:rsid w:val="002D773C"/>
    <w:rsid w:val="002D7B81"/>
    <w:rsid w:val="002E061F"/>
    <w:rsid w:val="002E0946"/>
    <w:rsid w:val="002E1384"/>
    <w:rsid w:val="002E24AC"/>
    <w:rsid w:val="002E251D"/>
    <w:rsid w:val="002E2574"/>
    <w:rsid w:val="002E397B"/>
    <w:rsid w:val="002E68A1"/>
    <w:rsid w:val="002E6D90"/>
    <w:rsid w:val="002E7654"/>
    <w:rsid w:val="002F08AB"/>
    <w:rsid w:val="002F0F3A"/>
    <w:rsid w:val="002F453B"/>
    <w:rsid w:val="002F50DC"/>
    <w:rsid w:val="002F52E6"/>
    <w:rsid w:val="002F537E"/>
    <w:rsid w:val="002F58D7"/>
    <w:rsid w:val="002F6675"/>
    <w:rsid w:val="002F6F8C"/>
    <w:rsid w:val="0030013F"/>
    <w:rsid w:val="00300C23"/>
    <w:rsid w:val="00300D73"/>
    <w:rsid w:val="003010D1"/>
    <w:rsid w:val="0030120E"/>
    <w:rsid w:val="00301DEC"/>
    <w:rsid w:val="003021DF"/>
    <w:rsid w:val="003022CE"/>
    <w:rsid w:val="00302774"/>
    <w:rsid w:val="00302933"/>
    <w:rsid w:val="00302B7A"/>
    <w:rsid w:val="00302C0E"/>
    <w:rsid w:val="003055E8"/>
    <w:rsid w:val="00306FE7"/>
    <w:rsid w:val="003070A5"/>
    <w:rsid w:val="003102C4"/>
    <w:rsid w:val="003103B5"/>
    <w:rsid w:val="00310D9C"/>
    <w:rsid w:val="003116F6"/>
    <w:rsid w:val="00311C0B"/>
    <w:rsid w:val="00311CA6"/>
    <w:rsid w:val="0031227A"/>
    <w:rsid w:val="003129C2"/>
    <w:rsid w:val="00312CBA"/>
    <w:rsid w:val="00312D56"/>
    <w:rsid w:val="00314077"/>
    <w:rsid w:val="00314AAD"/>
    <w:rsid w:val="0031642A"/>
    <w:rsid w:val="0031654E"/>
    <w:rsid w:val="0031673A"/>
    <w:rsid w:val="003172CA"/>
    <w:rsid w:val="00317366"/>
    <w:rsid w:val="003173D0"/>
    <w:rsid w:val="003176C0"/>
    <w:rsid w:val="00317891"/>
    <w:rsid w:val="00317B9D"/>
    <w:rsid w:val="00320167"/>
    <w:rsid w:val="00320E4D"/>
    <w:rsid w:val="0032126C"/>
    <w:rsid w:val="003212C8"/>
    <w:rsid w:val="003213F3"/>
    <w:rsid w:val="0032191E"/>
    <w:rsid w:val="00321B63"/>
    <w:rsid w:val="00321BBA"/>
    <w:rsid w:val="00321D8F"/>
    <w:rsid w:val="00321DA6"/>
    <w:rsid w:val="00322B9A"/>
    <w:rsid w:val="0032312F"/>
    <w:rsid w:val="00323A46"/>
    <w:rsid w:val="00323CD2"/>
    <w:rsid w:val="00324EEF"/>
    <w:rsid w:val="00324FDC"/>
    <w:rsid w:val="0032573B"/>
    <w:rsid w:val="003259AA"/>
    <w:rsid w:val="00325A8B"/>
    <w:rsid w:val="0032608F"/>
    <w:rsid w:val="003274FD"/>
    <w:rsid w:val="00327B89"/>
    <w:rsid w:val="00330173"/>
    <w:rsid w:val="00331B2D"/>
    <w:rsid w:val="00331BFD"/>
    <w:rsid w:val="00331CAB"/>
    <w:rsid w:val="00331E46"/>
    <w:rsid w:val="0033249E"/>
    <w:rsid w:val="0033304E"/>
    <w:rsid w:val="00333B8C"/>
    <w:rsid w:val="003342C4"/>
    <w:rsid w:val="003344FD"/>
    <w:rsid w:val="003349B4"/>
    <w:rsid w:val="00334CB1"/>
    <w:rsid w:val="00334DA5"/>
    <w:rsid w:val="00334E68"/>
    <w:rsid w:val="003353EF"/>
    <w:rsid w:val="00335909"/>
    <w:rsid w:val="00335B84"/>
    <w:rsid w:val="00335CD6"/>
    <w:rsid w:val="00336A8D"/>
    <w:rsid w:val="003400DF"/>
    <w:rsid w:val="0034050C"/>
    <w:rsid w:val="0034058E"/>
    <w:rsid w:val="00340696"/>
    <w:rsid w:val="003409C3"/>
    <w:rsid w:val="00340CEE"/>
    <w:rsid w:val="00340F52"/>
    <w:rsid w:val="00341A48"/>
    <w:rsid w:val="00342418"/>
    <w:rsid w:val="00342C6C"/>
    <w:rsid w:val="00342E49"/>
    <w:rsid w:val="00344749"/>
    <w:rsid w:val="00344E06"/>
    <w:rsid w:val="00345B68"/>
    <w:rsid w:val="003462E3"/>
    <w:rsid w:val="00347082"/>
    <w:rsid w:val="00347E5E"/>
    <w:rsid w:val="0035020F"/>
    <w:rsid w:val="00350291"/>
    <w:rsid w:val="003502E5"/>
    <w:rsid w:val="0035057A"/>
    <w:rsid w:val="00350AC1"/>
    <w:rsid w:val="00350F45"/>
    <w:rsid w:val="00350F65"/>
    <w:rsid w:val="00351A8C"/>
    <w:rsid w:val="00351AD2"/>
    <w:rsid w:val="00351F0A"/>
    <w:rsid w:val="00352149"/>
    <w:rsid w:val="00352F8B"/>
    <w:rsid w:val="00353F33"/>
    <w:rsid w:val="00354BEA"/>
    <w:rsid w:val="00354DF9"/>
    <w:rsid w:val="003557D9"/>
    <w:rsid w:val="00355A03"/>
    <w:rsid w:val="00355D7D"/>
    <w:rsid w:val="00356A6F"/>
    <w:rsid w:val="00356B3B"/>
    <w:rsid w:val="00356C10"/>
    <w:rsid w:val="00356E03"/>
    <w:rsid w:val="00356EBD"/>
    <w:rsid w:val="003571A4"/>
    <w:rsid w:val="00357B4B"/>
    <w:rsid w:val="0036023D"/>
    <w:rsid w:val="00360E54"/>
    <w:rsid w:val="00361950"/>
    <w:rsid w:val="00361D2D"/>
    <w:rsid w:val="00362A61"/>
    <w:rsid w:val="0036320A"/>
    <w:rsid w:val="00363288"/>
    <w:rsid w:val="003635F6"/>
    <w:rsid w:val="00363FD5"/>
    <w:rsid w:val="003642DC"/>
    <w:rsid w:val="00365214"/>
    <w:rsid w:val="003652D1"/>
    <w:rsid w:val="003655D8"/>
    <w:rsid w:val="00365B1E"/>
    <w:rsid w:val="00365CFC"/>
    <w:rsid w:val="003665B3"/>
    <w:rsid w:val="00366BD6"/>
    <w:rsid w:val="00366C3D"/>
    <w:rsid w:val="003677A1"/>
    <w:rsid w:val="00367AE0"/>
    <w:rsid w:val="00371BEC"/>
    <w:rsid w:val="00372966"/>
    <w:rsid w:val="00372D5A"/>
    <w:rsid w:val="00373200"/>
    <w:rsid w:val="003736F6"/>
    <w:rsid w:val="00373A8E"/>
    <w:rsid w:val="003747D5"/>
    <w:rsid w:val="00374E31"/>
    <w:rsid w:val="0037579F"/>
    <w:rsid w:val="00375EB4"/>
    <w:rsid w:val="003761C7"/>
    <w:rsid w:val="00377018"/>
    <w:rsid w:val="003801F8"/>
    <w:rsid w:val="003813A1"/>
    <w:rsid w:val="0038143C"/>
    <w:rsid w:val="0038157A"/>
    <w:rsid w:val="00381913"/>
    <w:rsid w:val="003824C2"/>
    <w:rsid w:val="0038252A"/>
    <w:rsid w:val="00382A19"/>
    <w:rsid w:val="00382CE0"/>
    <w:rsid w:val="00383895"/>
    <w:rsid w:val="00384288"/>
    <w:rsid w:val="003851E3"/>
    <w:rsid w:val="00385291"/>
    <w:rsid w:val="00386CC2"/>
    <w:rsid w:val="00386F0F"/>
    <w:rsid w:val="00387F3D"/>
    <w:rsid w:val="00390A62"/>
    <w:rsid w:val="00390C6A"/>
    <w:rsid w:val="00390F5D"/>
    <w:rsid w:val="0039123C"/>
    <w:rsid w:val="003913CC"/>
    <w:rsid w:val="00392B68"/>
    <w:rsid w:val="0039333B"/>
    <w:rsid w:val="0039367D"/>
    <w:rsid w:val="00393AB0"/>
    <w:rsid w:val="0039410C"/>
    <w:rsid w:val="0039412A"/>
    <w:rsid w:val="00395938"/>
    <w:rsid w:val="00395A53"/>
    <w:rsid w:val="00395BAD"/>
    <w:rsid w:val="0039602A"/>
    <w:rsid w:val="00397D99"/>
    <w:rsid w:val="003A0433"/>
    <w:rsid w:val="003A0E4C"/>
    <w:rsid w:val="003A1006"/>
    <w:rsid w:val="003A1AFF"/>
    <w:rsid w:val="003A4464"/>
    <w:rsid w:val="003A4BE9"/>
    <w:rsid w:val="003A5038"/>
    <w:rsid w:val="003A5332"/>
    <w:rsid w:val="003A5B61"/>
    <w:rsid w:val="003A603B"/>
    <w:rsid w:val="003A6152"/>
    <w:rsid w:val="003A615C"/>
    <w:rsid w:val="003A6BC3"/>
    <w:rsid w:val="003A6FDB"/>
    <w:rsid w:val="003B0212"/>
    <w:rsid w:val="003B079A"/>
    <w:rsid w:val="003B0852"/>
    <w:rsid w:val="003B0A50"/>
    <w:rsid w:val="003B1630"/>
    <w:rsid w:val="003B2EBE"/>
    <w:rsid w:val="003B32D9"/>
    <w:rsid w:val="003B3596"/>
    <w:rsid w:val="003B3878"/>
    <w:rsid w:val="003B3936"/>
    <w:rsid w:val="003B4618"/>
    <w:rsid w:val="003B49AB"/>
    <w:rsid w:val="003B4AF5"/>
    <w:rsid w:val="003B4BA1"/>
    <w:rsid w:val="003B4D60"/>
    <w:rsid w:val="003B50CF"/>
    <w:rsid w:val="003B5998"/>
    <w:rsid w:val="003B5F14"/>
    <w:rsid w:val="003B5FA6"/>
    <w:rsid w:val="003B671E"/>
    <w:rsid w:val="003B67E1"/>
    <w:rsid w:val="003B6F85"/>
    <w:rsid w:val="003B7959"/>
    <w:rsid w:val="003C01E3"/>
    <w:rsid w:val="003C04AA"/>
    <w:rsid w:val="003C1534"/>
    <w:rsid w:val="003C1991"/>
    <w:rsid w:val="003C1AC9"/>
    <w:rsid w:val="003C1ACE"/>
    <w:rsid w:val="003C2167"/>
    <w:rsid w:val="003C256F"/>
    <w:rsid w:val="003C4697"/>
    <w:rsid w:val="003C4B83"/>
    <w:rsid w:val="003C4F77"/>
    <w:rsid w:val="003C5B01"/>
    <w:rsid w:val="003C6C2F"/>
    <w:rsid w:val="003D0988"/>
    <w:rsid w:val="003D1366"/>
    <w:rsid w:val="003D19CE"/>
    <w:rsid w:val="003D19FC"/>
    <w:rsid w:val="003D1A02"/>
    <w:rsid w:val="003D3326"/>
    <w:rsid w:val="003D35C9"/>
    <w:rsid w:val="003D390A"/>
    <w:rsid w:val="003D3CD0"/>
    <w:rsid w:val="003D417F"/>
    <w:rsid w:val="003D43BC"/>
    <w:rsid w:val="003D4B45"/>
    <w:rsid w:val="003D4BFC"/>
    <w:rsid w:val="003D5A8B"/>
    <w:rsid w:val="003D5DA1"/>
    <w:rsid w:val="003D5F3D"/>
    <w:rsid w:val="003D63E9"/>
    <w:rsid w:val="003D704A"/>
    <w:rsid w:val="003D747D"/>
    <w:rsid w:val="003D74D9"/>
    <w:rsid w:val="003D75A1"/>
    <w:rsid w:val="003D7B86"/>
    <w:rsid w:val="003E0202"/>
    <w:rsid w:val="003E2444"/>
    <w:rsid w:val="003E2D01"/>
    <w:rsid w:val="003E4232"/>
    <w:rsid w:val="003E4302"/>
    <w:rsid w:val="003E44B1"/>
    <w:rsid w:val="003E4A7A"/>
    <w:rsid w:val="003E4F15"/>
    <w:rsid w:val="003E515D"/>
    <w:rsid w:val="003E51C8"/>
    <w:rsid w:val="003E54E4"/>
    <w:rsid w:val="003E5CE0"/>
    <w:rsid w:val="003E6253"/>
    <w:rsid w:val="003E70AC"/>
    <w:rsid w:val="003E7A3C"/>
    <w:rsid w:val="003E7E8D"/>
    <w:rsid w:val="003E7FFB"/>
    <w:rsid w:val="003F09AF"/>
    <w:rsid w:val="003F0F28"/>
    <w:rsid w:val="003F1158"/>
    <w:rsid w:val="003F15A0"/>
    <w:rsid w:val="003F171C"/>
    <w:rsid w:val="003F1965"/>
    <w:rsid w:val="003F2D84"/>
    <w:rsid w:val="003F34A7"/>
    <w:rsid w:val="003F35B4"/>
    <w:rsid w:val="003F3AD7"/>
    <w:rsid w:val="003F4245"/>
    <w:rsid w:val="003F4358"/>
    <w:rsid w:val="003F4B7D"/>
    <w:rsid w:val="003F5052"/>
    <w:rsid w:val="003F542A"/>
    <w:rsid w:val="003F5686"/>
    <w:rsid w:val="003F5842"/>
    <w:rsid w:val="003F5E1D"/>
    <w:rsid w:val="003F6A46"/>
    <w:rsid w:val="003F6BD4"/>
    <w:rsid w:val="003F735E"/>
    <w:rsid w:val="003F7C04"/>
    <w:rsid w:val="00400008"/>
    <w:rsid w:val="0040054D"/>
    <w:rsid w:val="004005D8"/>
    <w:rsid w:val="00400C1C"/>
    <w:rsid w:val="00400DD0"/>
    <w:rsid w:val="004014CA"/>
    <w:rsid w:val="004017DB"/>
    <w:rsid w:val="00401E3B"/>
    <w:rsid w:val="0040332F"/>
    <w:rsid w:val="00403E00"/>
    <w:rsid w:val="00404F87"/>
    <w:rsid w:val="004053A6"/>
    <w:rsid w:val="00405428"/>
    <w:rsid w:val="00405BE3"/>
    <w:rsid w:val="004062EA"/>
    <w:rsid w:val="0040668C"/>
    <w:rsid w:val="004068F4"/>
    <w:rsid w:val="00406C84"/>
    <w:rsid w:val="00407373"/>
    <w:rsid w:val="00407C05"/>
    <w:rsid w:val="0041088E"/>
    <w:rsid w:val="00410A7C"/>
    <w:rsid w:val="00410C7C"/>
    <w:rsid w:val="00410CAA"/>
    <w:rsid w:val="00410DB3"/>
    <w:rsid w:val="00411378"/>
    <w:rsid w:val="0041139A"/>
    <w:rsid w:val="00411742"/>
    <w:rsid w:val="004119F2"/>
    <w:rsid w:val="00411BD9"/>
    <w:rsid w:val="00411E89"/>
    <w:rsid w:val="004120A8"/>
    <w:rsid w:val="00413BB2"/>
    <w:rsid w:val="00413D4D"/>
    <w:rsid w:val="00415E74"/>
    <w:rsid w:val="004161EF"/>
    <w:rsid w:val="00416667"/>
    <w:rsid w:val="00416F37"/>
    <w:rsid w:val="00420094"/>
    <w:rsid w:val="00420135"/>
    <w:rsid w:val="00421B62"/>
    <w:rsid w:val="004223F2"/>
    <w:rsid w:val="004236FB"/>
    <w:rsid w:val="0042431E"/>
    <w:rsid w:val="004243DC"/>
    <w:rsid w:val="00424AC5"/>
    <w:rsid w:val="00424F41"/>
    <w:rsid w:val="004252C5"/>
    <w:rsid w:val="00426291"/>
    <w:rsid w:val="004274E1"/>
    <w:rsid w:val="00427883"/>
    <w:rsid w:val="004279C9"/>
    <w:rsid w:val="00427C72"/>
    <w:rsid w:val="0043067B"/>
    <w:rsid w:val="00431623"/>
    <w:rsid w:val="00432032"/>
    <w:rsid w:val="004322BA"/>
    <w:rsid w:val="00432359"/>
    <w:rsid w:val="00432800"/>
    <w:rsid w:val="00434BBB"/>
    <w:rsid w:val="00434D25"/>
    <w:rsid w:val="004361D0"/>
    <w:rsid w:val="004375BA"/>
    <w:rsid w:val="00437828"/>
    <w:rsid w:val="004402EC"/>
    <w:rsid w:val="00440950"/>
    <w:rsid w:val="00440DAD"/>
    <w:rsid w:val="00440E0F"/>
    <w:rsid w:val="00441372"/>
    <w:rsid w:val="00441DA6"/>
    <w:rsid w:val="00441DED"/>
    <w:rsid w:val="00442598"/>
    <w:rsid w:val="004435AC"/>
    <w:rsid w:val="00445B41"/>
    <w:rsid w:val="00445EC4"/>
    <w:rsid w:val="00446788"/>
    <w:rsid w:val="00446ACD"/>
    <w:rsid w:val="00446BA0"/>
    <w:rsid w:val="0044714C"/>
    <w:rsid w:val="00447BA0"/>
    <w:rsid w:val="00447CBD"/>
    <w:rsid w:val="004504A2"/>
    <w:rsid w:val="0045071B"/>
    <w:rsid w:val="00450D04"/>
    <w:rsid w:val="00450D31"/>
    <w:rsid w:val="00451E0D"/>
    <w:rsid w:val="00452280"/>
    <w:rsid w:val="00452C74"/>
    <w:rsid w:val="004532EF"/>
    <w:rsid w:val="004534BE"/>
    <w:rsid w:val="0045351F"/>
    <w:rsid w:val="004548D0"/>
    <w:rsid w:val="00454ACE"/>
    <w:rsid w:val="00455A93"/>
    <w:rsid w:val="00455AF0"/>
    <w:rsid w:val="00455CFD"/>
    <w:rsid w:val="004576B5"/>
    <w:rsid w:val="00460796"/>
    <w:rsid w:val="00460A29"/>
    <w:rsid w:val="00460AC3"/>
    <w:rsid w:val="00460F35"/>
    <w:rsid w:val="00461102"/>
    <w:rsid w:val="004617FC"/>
    <w:rsid w:val="00461E2A"/>
    <w:rsid w:val="00463561"/>
    <w:rsid w:val="00463DB2"/>
    <w:rsid w:val="0046411D"/>
    <w:rsid w:val="00464240"/>
    <w:rsid w:val="00464B86"/>
    <w:rsid w:val="004651B6"/>
    <w:rsid w:val="0046560B"/>
    <w:rsid w:val="0046588E"/>
    <w:rsid w:val="00465BDB"/>
    <w:rsid w:val="00465C79"/>
    <w:rsid w:val="00465E97"/>
    <w:rsid w:val="00465F7F"/>
    <w:rsid w:val="00466644"/>
    <w:rsid w:val="004668AB"/>
    <w:rsid w:val="00467245"/>
    <w:rsid w:val="0046782F"/>
    <w:rsid w:val="00471634"/>
    <w:rsid w:val="00471FE0"/>
    <w:rsid w:val="00472016"/>
    <w:rsid w:val="004734F2"/>
    <w:rsid w:val="00473CB7"/>
    <w:rsid w:val="00473E35"/>
    <w:rsid w:val="00473F71"/>
    <w:rsid w:val="0047402E"/>
    <w:rsid w:val="0047441F"/>
    <w:rsid w:val="0047459C"/>
    <w:rsid w:val="00474678"/>
    <w:rsid w:val="0047469A"/>
    <w:rsid w:val="004747B3"/>
    <w:rsid w:val="00474E44"/>
    <w:rsid w:val="0047548B"/>
    <w:rsid w:val="00475C5C"/>
    <w:rsid w:val="00475DF9"/>
    <w:rsid w:val="0047663B"/>
    <w:rsid w:val="004771E2"/>
    <w:rsid w:val="00481148"/>
    <w:rsid w:val="00481264"/>
    <w:rsid w:val="00481392"/>
    <w:rsid w:val="00481564"/>
    <w:rsid w:val="004818FE"/>
    <w:rsid w:val="004819A7"/>
    <w:rsid w:val="00481B1D"/>
    <w:rsid w:val="00483119"/>
    <w:rsid w:val="004839A7"/>
    <w:rsid w:val="00483A74"/>
    <w:rsid w:val="00484479"/>
    <w:rsid w:val="00484888"/>
    <w:rsid w:val="0048580D"/>
    <w:rsid w:val="00487C0B"/>
    <w:rsid w:val="00487EF9"/>
    <w:rsid w:val="00491289"/>
    <w:rsid w:val="004918D1"/>
    <w:rsid w:val="00491B6C"/>
    <w:rsid w:val="00491D7F"/>
    <w:rsid w:val="004937F1"/>
    <w:rsid w:val="004944B2"/>
    <w:rsid w:val="004948F3"/>
    <w:rsid w:val="004949F6"/>
    <w:rsid w:val="0049510B"/>
    <w:rsid w:val="00496430"/>
    <w:rsid w:val="00496556"/>
    <w:rsid w:val="00496D95"/>
    <w:rsid w:val="00497101"/>
    <w:rsid w:val="0049745B"/>
    <w:rsid w:val="0049768D"/>
    <w:rsid w:val="004A0300"/>
    <w:rsid w:val="004A08C4"/>
    <w:rsid w:val="004A0DFC"/>
    <w:rsid w:val="004A1040"/>
    <w:rsid w:val="004A1790"/>
    <w:rsid w:val="004A1E9E"/>
    <w:rsid w:val="004A1F38"/>
    <w:rsid w:val="004A2975"/>
    <w:rsid w:val="004A29DD"/>
    <w:rsid w:val="004A2C02"/>
    <w:rsid w:val="004A31F1"/>
    <w:rsid w:val="004A34EF"/>
    <w:rsid w:val="004A3857"/>
    <w:rsid w:val="004A4320"/>
    <w:rsid w:val="004A463F"/>
    <w:rsid w:val="004A46D7"/>
    <w:rsid w:val="004A4C94"/>
    <w:rsid w:val="004A5261"/>
    <w:rsid w:val="004A5968"/>
    <w:rsid w:val="004A621F"/>
    <w:rsid w:val="004A71CF"/>
    <w:rsid w:val="004A7210"/>
    <w:rsid w:val="004A72CC"/>
    <w:rsid w:val="004A74E2"/>
    <w:rsid w:val="004A7AA5"/>
    <w:rsid w:val="004A7D82"/>
    <w:rsid w:val="004B0010"/>
    <w:rsid w:val="004B1297"/>
    <w:rsid w:val="004B15AA"/>
    <w:rsid w:val="004B18C2"/>
    <w:rsid w:val="004B1CD3"/>
    <w:rsid w:val="004B1F34"/>
    <w:rsid w:val="004B1FBF"/>
    <w:rsid w:val="004B21B4"/>
    <w:rsid w:val="004B2740"/>
    <w:rsid w:val="004B276B"/>
    <w:rsid w:val="004B38D4"/>
    <w:rsid w:val="004B397C"/>
    <w:rsid w:val="004B3EC2"/>
    <w:rsid w:val="004B50D1"/>
    <w:rsid w:val="004B593F"/>
    <w:rsid w:val="004B5AAD"/>
    <w:rsid w:val="004B5BD0"/>
    <w:rsid w:val="004B5E7A"/>
    <w:rsid w:val="004B6000"/>
    <w:rsid w:val="004B65A5"/>
    <w:rsid w:val="004B70B7"/>
    <w:rsid w:val="004B79CE"/>
    <w:rsid w:val="004B7CA7"/>
    <w:rsid w:val="004C0350"/>
    <w:rsid w:val="004C046B"/>
    <w:rsid w:val="004C04E3"/>
    <w:rsid w:val="004C07E5"/>
    <w:rsid w:val="004C0A1C"/>
    <w:rsid w:val="004C0A36"/>
    <w:rsid w:val="004C0D43"/>
    <w:rsid w:val="004C1252"/>
    <w:rsid w:val="004C13C3"/>
    <w:rsid w:val="004C1A31"/>
    <w:rsid w:val="004C26BD"/>
    <w:rsid w:val="004C5179"/>
    <w:rsid w:val="004C528D"/>
    <w:rsid w:val="004C52EB"/>
    <w:rsid w:val="004C5457"/>
    <w:rsid w:val="004C6247"/>
    <w:rsid w:val="004D018F"/>
    <w:rsid w:val="004D1697"/>
    <w:rsid w:val="004D1B20"/>
    <w:rsid w:val="004D2847"/>
    <w:rsid w:val="004D2966"/>
    <w:rsid w:val="004D2E30"/>
    <w:rsid w:val="004D3B4B"/>
    <w:rsid w:val="004D3C80"/>
    <w:rsid w:val="004D3D33"/>
    <w:rsid w:val="004D40AD"/>
    <w:rsid w:val="004D4325"/>
    <w:rsid w:val="004D4842"/>
    <w:rsid w:val="004D4B7E"/>
    <w:rsid w:val="004D587B"/>
    <w:rsid w:val="004D589B"/>
    <w:rsid w:val="004D58B2"/>
    <w:rsid w:val="004D5F50"/>
    <w:rsid w:val="004D6B1E"/>
    <w:rsid w:val="004D6F3D"/>
    <w:rsid w:val="004D721E"/>
    <w:rsid w:val="004D7386"/>
    <w:rsid w:val="004D7A1B"/>
    <w:rsid w:val="004E07DD"/>
    <w:rsid w:val="004E112D"/>
    <w:rsid w:val="004E11E1"/>
    <w:rsid w:val="004E15C5"/>
    <w:rsid w:val="004E1973"/>
    <w:rsid w:val="004E335E"/>
    <w:rsid w:val="004E34A7"/>
    <w:rsid w:val="004E360B"/>
    <w:rsid w:val="004E40C2"/>
    <w:rsid w:val="004E41A3"/>
    <w:rsid w:val="004E6126"/>
    <w:rsid w:val="004E64A2"/>
    <w:rsid w:val="004E6FA0"/>
    <w:rsid w:val="004F0000"/>
    <w:rsid w:val="004F0CD3"/>
    <w:rsid w:val="004F15FC"/>
    <w:rsid w:val="004F2028"/>
    <w:rsid w:val="004F25A0"/>
    <w:rsid w:val="004F26F8"/>
    <w:rsid w:val="004F3120"/>
    <w:rsid w:val="004F3298"/>
    <w:rsid w:val="004F4753"/>
    <w:rsid w:val="004F4B91"/>
    <w:rsid w:val="004F519B"/>
    <w:rsid w:val="004F6E1C"/>
    <w:rsid w:val="004F7528"/>
    <w:rsid w:val="005000E1"/>
    <w:rsid w:val="0050079A"/>
    <w:rsid w:val="00500AD7"/>
    <w:rsid w:val="00500FA1"/>
    <w:rsid w:val="00501D8E"/>
    <w:rsid w:val="0050206F"/>
    <w:rsid w:val="00502D0A"/>
    <w:rsid w:val="00503099"/>
    <w:rsid w:val="0050324F"/>
    <w:rsid w:val="00503842"/>
    <w:rsid w:val="00503EE9"/>
    <w:rsid w:val="00504408"/>
    <w:rsid w:val="00504F57"/>
    <w:rsid w:val="00505341"/>
    <w:rsid w:val="00505379"/>
    <w:rsid w:val="00505CEC"/>
    <w:rsid w:val="00505FAC"/>
    <w:rsid w:val="00506191"/>
    <w:rsid w:val="00506230"/>
    <w:rsid w:val="005076FC"/>
    <w:rsid w:val="00507A28"/>
    <w:rsid w:val="00507A34"/>
    <w:rsid w:val="00510426"/>
    <w:rsid w:val="00510695"/>
    <w:rsid w:val="005106A7"/>
    <w:rsid w:val="005107AC"/>
    <w:rsid w:val="00510A71"/>
    <w:rsid w:val="00510B28"/>
    <w:rsid w:val="00510D45"/>
    <w:rsid w:val="0051141E"/>
    <w:rsid w:val="00511760"/>
    <w:rsid w:val="00511C3C"/>
    <w:rsid w:val="00511DA4"/>
    <w:rsid w:val="00513D35"/>
    <w:rsid w:val="00513DBE"/>
    <w:rsid w:val="00514251"/>
    <w:rsid w:val="005149A9"/>
    <w:rsid w:val="00520813"/>
    <w:rsid w:val="00521BBF"/>
    <w:rsid w:val="005223D4"/>
    <w:rsid w:val="00523179"/>
    <w:rsid w:val="00523F91"/>
    <w:rsid w:val="00524177"/>
    <w:rsid w:val="00524C66"/>
    <w:rsid w:val="0052646A"/>
    <w:rsid w:val="00527C44"/>
    <w:rsid w:val="00530063"/>
    <w:rsid w:val="005304EA"/>
    <w:rsid w:val="00530F67"/>
    <w:rsid w:val="005312E2"/>
    <w:rsid w:val="00531319"/>
    <w:rsid w:val="00532318"/>
    <w:rsid w:val="005328F8"/>
    <w:rsid w:val="00533319"/>
    <w:rsid w:val="005341B8"/>
    <w:rsid w:val="00534B99"/>
    <w:rsid w:val="00535D85"/>
    <w:rsid w:val="00536480"/>
    <w:rsid w:val="005370F7"/>
    <w:rsid w:val="0053730A"/>
    <w:rsid w:val="005405C6"/>
    <w:rsid w:val="00540926"/>
    <w:rsid w:val="00540FFB"/>
    <w:rsid w:val="0054136E"/>
    <w:rsid w:val="00541740"/>
    <w:rsid w:val="0054182C"/>
    <w:rsid w:val="0054235F"/>
    <w:rsid w:val="00542B74"/>
    <w:rsid w:val="00542E31"/>
    <w:rsid w:val="00542EFA"/>
    <w:rsid w:val="00542FE2"/>
    <w:rsid w:val="005437A1"/>
    <w:rsid w:val="00543DC2"/>
    <w:rsid w:val="00544916"/>
    <w:rsid w:val="00544A3A"/>
    <w:rsid w:val="00544D7B"/>
    <w:rsid w:val="00544DB3"/>
    <w:rsid w:val="00544DFF"/>
    <w:rsid w:val="00545017"/>
    <w:rsid w:val="005455E0"/>
    <w:rsid w:val="0054564A"/>
    <w:rsid w:val="0054568B"/>
    <w:rsid w:val="005457BF"/>
    <w:rsid w:val="00545BA7"/>
    <w:rsid w:val="0054652D"/>
    <w:rsid w:val="005477B9"/>
    <w:rsid w:val="00547C33"/>
    <w:rsid w:val="00547DE1"/>
    <w:rsid w:val="0055070A"/>
    <w:rsid w:val="00550898"/>
    <w:rsid w:val="005508E3"/>
    <w:rsid w:val="00550F67"/>
    <w:rsid w:val="0055146E"/>
    <w:rsid w:val="00551721"/>
    <w:rsid w:val="00551B6E"/>
    <w:rsid w:val="00551FF6"/>
    <w:rsid w:val="0055310A"/>
    <w:rsid w:val="0055317A"/>
    <w:rsid w:val="00553DC6"/>
    <w:rsid w:val="00554186"/>
    <w:rsid w:val="00554EEE"/>
    <w:rsid w:val="0055511B"/>
    <w:rsid w:val="00555FFC"/>
    <w:rsid w:val="0055608F"/>
    <w:rsid w:val="00556389"/>
    <w:rsid w:val="005565E1"/>
    <w:rsid w:val="00556BDE"/>
    <w:rsid w:val="00556BF3"/>
    <w:rsid w:val="00556DE5"/>
    <w:rsid w:val="00557EA3"/>
    <w:rsid w:val="00560660"/>
    <w:rsid w:val="00561382"/>
    <w:rsid w:val="0056150C"/>
    <w:rsid w:val="00561E04"/>
    <w:rsid w:val="00561F4C"/>
    <w:rsid w:val="00562F28"/>
    <w:rsid w:val="0056308C"/>
    <w:rsid w:val="0056366D"/>
    <w:rsid w:val="005636FF"/>
    <w:rsid w:val="005638DB"/>
    <w:rsid w:val="005645B8"/>
    <w:rsid w:val="005645EC"/>
    <w:rsid w:val="005659FB"/>
    <w:rsid w:val="00565E0F"/>
    <w:rsid w:val="005660F2"/>
    <w:rsid w:val="00566D15"/>
    <w:rsid w:val="00566FCA"/>
    <w:rsid w:val="0056755A"/>
    <w:rsid w:val="005676D5"/>
    <w:rsid w:val="00567C14"/>
    <w:rsid w:val="00567D28"/>
    <w:rsid w:val="00567F86"/>
    <w:rsid w:val="00570437"/>
    <w:rsid w:val="0057068E"/>
    <w:rsid w:val="00571585"/>
    <w:rsid w:val="00571664"/>
    <w:rsid w:val="005719AD"/>
    <w:rsid w:val="00571B89"/>
    <w:rsid w:val="00571CC5"/>
    <w:rsid w:val="0057237E"/>
    <w:rsid w:val="005725DA"/>
    <w:rsid w:val="00572980"/>
    <w:rsid w:val="00574D06"/>
    <w:rsid w:val="00575033"/>
    <w:rsid w:val="0057532B"/>
    <w:rsid w:val="00575917"/>
    <w:rsid w:val="00576171"/>
    <w:rsid w:val="00576276"/>
    <w:rsid w:val="00576B4E"/>
    <w:rsid w:val="00577118"/>
    <w:rsid w:val="00577CBE"/>
    <w:rsid w:val="005803F7"/>
    <w:rsid w:val="005805BD"/>
    <w:rsid w:val="00580AB7"/>
    <w:rsid w:val="005822AF"/>
    <w:rsid w:val="0058236F"/>
    <w:rsid w:val="0058244C"/>
    <w:rsid w:val="0058258E"/>
    <w:rsid w:val="00582BE7"/>
    <w:rsid w:val="005830BD"/>
    <w:rsid w:val="00583723"/>
    <w:rsid w:val="0058406E"/>
    <w:rsid w:val="00586FB6"/>
    <w:rsid w:val="00587533"/>
    <w:rsid w:val="005879B4"/>
    <w:rsid w:val="00587CD6"/>
    <w:rsid w:val="00587F03"/>
    <w:rsid w:val="0059017C"/>
    <w:rsid w:val="00590982"/>
    <w:rsid w:val="00590AA4"/>
    <w:rsid w:val="00591811"/>
    <w:rsid w:val="00591B58"/>
    <w:rsid w:val="005922ED"/>
    <w:rsid w:val="0059269C"/>
    <w:rsid w:val="00593522"/>
    <w:rsid w:val="005935D4"/>
    <w:rsid w:val="00593B04"/>
    <w:rsid w:val="00593E88"/>
    <w:rsid w:val="00596BFA"/>
    <w:rsid w:val="00597019"/>
    <w:rsid w:val="0059767D"/>
    <w:rsid w:val="00597857"/>
    <w:rsid w:val="005978EE"/>
    <w:rsid w:val="00597D0E"/>
    <w:rsid w:val="005A0707"/>
    <w:rsid w:val="005A11EB"/>
    <w:rsid w:val="005A1AA2"/>
    <w:rsid w:val="005A1ED1"/>
    <w:rsid w:val="005A21E7"/>
    <w:rsid w:val="005A27B9"/>
    <w:rsid w:val="005A352C"/>
    <w:rsid w:val="005A3DF7"/>
    <w:rsid w:val="005A41D6"/>
    <w:rsid w:val="005A4957"/>
    <w:rsid w:val="005A4B3C"/>
    <w:rsid w:val="005A5530"/>
    <w:rsid w:val="005A5C3D"/>
    <w:rsid w:val="005A5D54"/>
    <w:rsid w:val="005A5F8F"/>
    <w:rsid w:val="005A6401"/>
    <w:rsid w:val="005A6842"/>
    <w:rsid w:val="005A6B58"/>
    <w:rsid w:val="005A6CFE"/>
    <w:rsid w:val="005A732C"/>
    <w:rsid w:val="005B2882"/>
    <w:rsid w:val="005B2B6A"/>
    <w:rsid w:val="005B332A"/>
    <w:rsid w:val="005B35B6"/>
    <w:rsid w:val="005B3C72"/>
    <w:rsid w:val="005B3D8B"/>
    <w:rsid w:val="005B512F"/>
    <w:rsid w:val="005B51E9"/>
    <w:rsid w:val="005B5286"/>
    <w:rsid w:val="005B53B5"/>
    <w:rsid w:val="005B59C5"/>
    <w:rsid w:val="005B5E62"/>
    <w:rsid w:val="005B61CA"/>
    <w:rsid w:val="005B7228"/>
    <w:rsid w:val="005B73E6"/>
    <w:rsid w:val="005B7B31"/>
    <w:rsid w:val="005B7B78"/>
    <w:rsid w:val="005C0421"/>
    <w:rsid w:val="005C16AE"/>
    <w:rsid w:val="005C245E"/>
    <w:rsid w:val="005C2C8A"/>
    <w:rsid w:val="005C342D"/>
    <w:rsid w:val="005C3CFA"/>
    <w:rsid w:val="005C4A46"/>
    <w:rsid w:val="005C52D1"/>
    <w:rsid w:val="005C52DE"/>
    <w:rsid w:val="005C5A2D"/>
    <w:rsid w:val="005C693D"/>
    <w:rsid w:val="005C7A64"/>
    <w:rsid w:val="005C7A84"/>
    <w:rsid w:val="005D1DA2"/>
    <w:rsid w:val="005D26A5"/>
    <w:rsid w:val="005D386E"/>
    <w:rsid w:val="005D3949"/>
    <w:rsid w:val="005D3C07"/>
    <w:rsid w:val="005D3E37"/>
    <w:rsid w:val="005D459D"/>
    <w:rsid w:val="005D46CE"/>
    <w:rsid w:val="005D4E90"/>
    <w:rsid w:val="005D524A"/>
    <w:rsid w:val="005D528C"/>
    <w:rsid w:val="005D5698"/>
    <w:rsid w:val="005D645F"/>
    <w:rsid w:val="005D647F"/>
    <w:rsid w:val="005D6502"/>
    <w:rsid w:val="005D650F"/>
    <w:rsid w:val="005D6676"/>
    <w:rsid w:val="005D692B"/>
    <w:rsid w:val="005D6AC3"/>
    <w:rsid w:val="005D747A"/>
    <w:rsid w:val="005D75C2"/>
    <w:rsid w:val="005D7B25"/>
    <w:rsid w:val="005E0668"/>
    <w:rsid w:val="005E0F9F"/>
    <w:rsid w:val="005E10FC"/>
    <w:rsid w:val="005E18C7"/>
    <w:rsid w:val="005E2167"/>
    <w:rsid w:val="005E2522"/>
    <w:rsid w:val="005E2866"/>
    <w:rsid w:val="005E2DDA"/>
    <w:rsid w:val="005E2F1C"/>
    <w:rsid w:val="005E2FE9"/>
    <w:rsid w:val="005E317D"/>
    <w:rsid w:val="005E41AA"/>
    <w:rsid w:val="005E432E"/>
    <w:rsid w:val="005E43A7"/>
    <w:rsid w:val="005E43FB"/>
    <w:rsid w:val="005E4D09"/>
    <w:rsid w:val="005E5659"/>
    <w:rsid w:val="005E5A99"/>
    <w:rsid w:val="005E62FC"/>
    <w:rsid w:val="005E6913"/>
    <w:rsid w:val="005E6A3E"/>
    <w:rsid w:val="005E6AC8"/>
    <w:rsid w:val="005E6D3A"/>
    <w:rsid w:val="005E6DA1"/>
    <w:rsid w:val="005E7838"/>
    <w:rsid w:val="005E7C6E"/>
    <w:rsid w:val="005F0C4D"/>
    <w:rsid w:val="005F0F97"/>
    <w:rsid w:val="005F1463"/>
    <w:rsid w:val="005F1E3A"/>
    <w:rsid w:val="005F1F40"/>
    <w:rsid w:val="005F25C2"/>
    <w:rsid w:val="005F297E"/>
    <w:rsid w:val="005F3374"/>
    <w:rsid w:val="005F3766"/>
    <w:rsid w:val="005F376D"/>
    <w:rsid w:val="005F3AFF"/>
    <w:rsid w:val="005F41BA"/>
    <w:rsid w:val="005F4959"/>
    <w:rsid w:val="005F5429"/>
    <w:rsid w:val="005F5BA9"/>
    <w:rsid w:val="005F6B1D"/>
    <w:rsid w:val="005F6C58"/>
    <w:rsid w:val="005F7334"/>
    <w:rsid w:val="005F7BEA"/>
    <w:rsid w:val="005F7DD6"/>
    <w:rsid w:val="005F7F9A"/>
    <w:rsid w:val="00600845"/>
    <w:rsid w:val="00601538"/>
    <w:rsid w:val="006029B9"/>
    <w:rsid w:val="00603977"/>
    <w:rsid w:val="00603A03"/>
    <w:rsid w:val="0060452A"/>
    <w:rsid w:val="00604711"/>
    <w:rsid w:val="0060477D"/>
    <w:rsid w:val="0060585D"/>
    <w:rsid w:val="00605C20"/>
    <w:rsid w:val="00605F4D"/>
    <w:rsid w:val="00605FDA"/>
    <w:rsid w:val="00605FED"/>
    <w:rsid w:val="00607B67"/>
    <w:rsid w:val="00607C23"/>
    <w:rsid w:val="00607F34"/>
    <w:rsid w:val="00610238"/>
    <w:rsid w:val="00610A45"/>
    <w:rsid w:val="006115C2"/>
    <w:rsid w:val="0061189E"/>
    <w:rsid w:val="00611BDC"/>
    <w:rsid w:val="006120E0"/>
    <w:rsid w:val="00613AD5"/>
    <w:rsid w:val="006140B9"/>
    <w:rsid w:val="006140E0"/>
    <w:rsid w:val="00614414"/>
    <w:rsid w:val="0061469F"/>
    <w:rsid w:val="00615082"/>
    <w:rsid w:val="00615364"/>
    <w:rsid w:val="006156E7"/>
    <w:rsid w:val="00615DB6"/>
    <w:rsid w:val="00617AAE"/>
    <w:rsid w:val="00621144"/>
    <w:rsid w:val="006213D8"/>
    <w:rsid w:val="00621A83"/>
    <w:rsid w:val="00621A97"/>
    <w:rsid w:val="00621D38"/>
    <w:rsid w:val="00621D9B"/>
    <w:rsid w:val="00622359"/>
    <w:rsid w:val="00622487"/>
    <w:rsid w:val="00622BE8"/>
    <w:rsid w:val="006236EF"/>
    <w:rsid w:val="00623914"/>
    <w:rsid w:val="00623ED3"/>
    <w:rsid w:val="0062486A"/>
    <w:rsid w:val="00624C1F"/>
    <w:rsid w:val="00624CB9"/>
    <w:rsid w:val="0062543F"/>
    <w:rsid w:val="00625CCE"/>
    <w:rsid w:val="006264B0"/>
    <w:rsid w:val="0062698F"/>
    <w:rsid w:val="0062707F"/>
    <w:rsid w:val="006270D1"/>
    <w:rsid w:val="00627218"/>
    <w:rsid w:val="006278AC"/>
    <w:rsid w:val="00627A9A"/>
    <w:rsid w:val="006303BB"/>
    <w:rsid w:val="006306EB"/>
    <w:rsid w:val="00630A60"/>
    <w:rsid w:val="00630BA3"/>
    <w:rsid w:val="00630D5A"/>
    <w:rsid w:val="0063133E"/>
    <w:rsid w:val="0063192B"/>
    <w:rsid w:val="006330B7"/>
    <w:rsid w:val="006332CC"/>
    <w:rsid w:val="00633EE3"/>
    <w:rsid w:val="00633FBC"/>
    <w:rsid w:val="0063438B"/>
    <w:rsid w:val="006351C3"/>
    <w:rsid w:val="006357DD"/>
    <w:rsid w:val="00635AE3"/>
    <w:rsid w:val="00636346"/>
    <w:rsid w:val="00637A21"/>
    <w:rsid w:val="00637E07"/>
    <w:rsid w:val="006402A7"/>
    <w:rsid w:val="0064045E"/>
    <w:rsid w:val="006408FE"/>
    <w:rsid w:val="006411F0"/>
    <w:rsid w:val="00641387"/>
    <w:rsid w:val="00641606"/>
    <w:rsid w:val="006419C6"/>
    <w:rsid w:val="00641CB6"/>
    <w:rsid w:val="00641FAF"/>
    <w:rsid w:val="00642987"/>
    <w:rsid w:val="00642F73"/>
    <w:rsid w:val="00643765"/>
    <w:rsid w:val="00643910"/>
    <w:rsid w:val="00643933"/>
    <w:rsid w:val="00643D72"/>
    <w:rsid w:val="00643DDC"/>
    <w:rsid w:val="006451B5"/>
    <w:rsid w:val="0064577E"/>
    <w:rsid w:val="0064710E"/>
    <w:rsid w:val="006476D5"/>
    <w:rsid w:val="00647EE4"/>
    <w:rsid w:val="00650EE7"/>
    <w:rsid w:val="006513B8"/>
    <w:rsid w:val="00651997"/>
    <w:rsid w:val="006519C2"/>
    <w:rsid w:val="00651D45"/>
    <w:rsid w:val="0065239D"/>
    <w:rsid w:val="00652595"/>
    <w:rsid w:val="00652A9F"/>
    <w:rsid w:val="00653292"/>
    <w:rsid w:val="0065347E"/>
    <w:rsid w:val="00653DDC"/>
    <w:rsid w:val="00653F7F"/>
    <w:rsid w:val="00654538"/>
    <w:rsid w:val="006553DE"/>
    <w:rsid w:val="0065542E"/>
    <w:rsid w:val="00655AA2"/>
    <w:rsid w:val="006567FD"/>
    <w:rsid w:val="00656F63"/>
    <w:rsid w:val="0065725F"/>
    <w:rsid w:val="00657596"/>
    <w:rsid w:val="00657725"/>
    <w:rsid w:val="006577CB"/>
    <w:rsid w:val="00657846"/>
    <w:rsid w:val="00657AFC"/>
    <w:rsid w:val="00657B6B"/>
    <w:rsid w:val="00657B74"/>
    <w:rsid w:val="00657BC4"/>
    <w:rsid w:val="00657DCE"/>
    <w:rsid w:val="00657E24"/>
    <w:rsid w:val="00657FEA"/>
    <w:rsid w:val="00660184"/>
    <w:rsid w:val="006608D0"/>
    <w:rsid w:val="006619AE"/>
    <w:rsid w:val="00661F71"/>
    <w:rsid w:val="006621C3"/>
    <w:rsid w:val="0066231F"/>
    <w:rsid w:val="0066253F"/>
    <w:rsid w:val="00662EFE"/>
    <w:rsid w:val="006640F7"/>
    <w:rsid w:val="0066479C"/>
    <w:rsid w:val="00664B1B"/>
    <w:rsid w:val="00664DF6"/>
    <w:rsid w:val="00665B65"/>
    <w:rsid w:val="00665B6D"/>
    <w:rsid w:val="006667B3"/>
    <w:rsid w:val="00667DF6"/>
    <w:rsid w:val="006709DC"/>
    <w:rsid w:val="0067114F"/>
    <w:rsid w:val="00671FF0"/>
    <w:rsid w:val="006721D3"/>
    <w:rsid w:val="006729C4"/>
    <w:rsid w:val="00672C2F"/>
    <w:rsid w:val="00672E59"/>
    <w:rsid w:val="006730CF"/>
    <w:rsid w:val="00673673"/>
    <w:rsid w:val="00673BA3"/>
    <w:rsid w:val="00674D4F"/>
    <w:rsid w:val="00675108"/>
    <w:rsid w:val="00675465"/>
    <w:rsid w:val="00676FB5"/>
    <w:rsid w:val="0067764C"/>
    <w:rsid w:val="00680195"/>
    <w:rsid w:val="006803F5"/>
    <w:rsid w:val="00680763"/>
    <w:rsid w:val="006809AC"/>
    <w:rsid w:val="00680B75"/>
    <w:rsid w:val="00681526"/>
    <w:rsid w:val="00682346"/>
    <w:rsid w:val="006828F8"/>
    <w:rsid w:val="0068375F"/>
    <w:rsid w:val="00683A5D"/>
    <w:rsid w:val="006856D5"/>
    <w:rsid w:val="00685E8B"/>
    <w:rsid w:val="00690D11"/>
    <w:rsid w:val="00690E85"/>
    <w:rsid w:val="006927C9"/>
    <w:rsid w:val="00692AC8"/>
    <w:rsid w:val="00692C9E"/>
    <w:rsid w:val="00693A28"/>
    <w:rsid w:val="0069492B"/>
    <w:rsid w:val="00695334"/>
    <w:rsid w:val="006956CE"/>
    <w:rsid w:val="00696507"/>
    <w:rsid w:val="00696722"/>
    <w:rsid w:val="006968D9"/>
    <w:rsid w:val="00696C86"/>
    <w:rsid w:val="00696FA9"/>
    <w:rsid w:val="006971C9"/>
    <w:rsid w:val="0069738E"/>
    <w:rsid w:val="00697DB1"/>
    <w:rsid w:val="00697E3E"/>
    <w:rsid w:val="006A016F"/>
    <w:rsid w:val="006A02D2"/>
    <w:rsid w:val="006A08C1"/>
    <w:rsid w:val="006A0DDB"/>
    <w:rsid w:val="006A1055"/>
    <w:rsid w:val="006A1ECD"/>
    <w:rsid w:val="006A1FC0"/>
    <w:rsid w:val="006A260D"/>
    <w:rsid w:val="006A33E6"/>
    <w:rsid w:val="006A3DA3"/>
    <w:rsid w:val="006A4A09"/>
    <w:rsid w:val="006A4D19"/>
    <w:rsid w:val="006A4DF3"/>
    <w:rsid w:val="006A5AF8"/>
    <w:rsid w:val="006A64A7"/>
    <w:rsid w:val="006A6BCD"/>
    <w:rsid w:val="006A780D"/>
    <w:rsid w:val="006B02A6"/>
    <w:rsid w:val="006B0CE3"/>
    <w:rsid w:val="006B0D4A"/>
    <w:rsid w:val="006B11B8"/>
    <w:rsid w:val="006B17F2"/>
    <w:rsid w:val="006B1B94"/>
    <w:rsid w:val="006B1EE3"/>
    <w:rsid w:val="006B2BE6"/>
    <w:rsid w:val="006B31C2"/>
    <w:rsid w:val="006B3314"/>
    <w:rsid w:val="006B3A8D"/>
    <w:rsid w:val="006B3AF4"/>
    <w:rsid w:val="006B420A"/>
    <w:rsid w:val="006B42F2"/>
    <w:rsid w:val="006B4428"/>
    <w:rsid w:val="006B461E"/>
    <w:rsid w:val="006B4782"/>
    <w:rsid w:val="006B48C0"/>
    <w:rsid w:val="006B579A"/>
    <w:rsid w:val="006B6411"/>
    <w:rsid w:val="006B6920"/>
    <w:rsid w:val="006B6C40"/>
    <w:rsid w:val="006B6FC4"/>
    <w:rsid w:val="006B78DB"/>
    <w:rsid w:val="006C0820"/>
    <w:rsid w:val="006C18DA"/>
    <w:rsid w:val="006C21F1"/>
    <w:rsid w:val="006C228A"/>
    <w:rsid w:val="006C242D"/>
    <w:rsid w:val="006C257A"/>
    <w:rsid w:val="006C2645"/>
    <w:rsid w:val="006C2D6B"/>
    <w:rsid w:val="006C311C"/>
    <w:rsid w:val="006C4FD5"/>
    <w:rsid w:val="006C508A"/>
    <w:rsid w:val="006C5710"/>
    <w:rsid w:val="006C58BB"/>
    <w:rsid w:val="006C76CB"/>
    <w:rsid w:val="006C7F63"/>
    <w:rsid w:val="006D033E"/>
    <w:rsid w:val="006D11AF"/>
    <w:rsid w:val="006D2CC8"/>
    <w:rsid w:val="006D35AB"/>
    <w:rsid w:val="006D3938"/>
    <w:rsid w:val="006D3F21"/>
    <w:rsid w:val="006D433C"/>
    <w:rsid w:val="006D4420"/>
    <w:rsid w:val="006D5188"/>
    <w:rsid w:val="006D5436"/>
    <w:rsid w:val="006D56E3"/>
    <w:rsid w:val="006D5BA9"/>
    <w:rsid w:val="006D6230"/>
    <w:rsid w:val="006D6ABC"/>
    <w:rsid w:val="006D75CE"/>
    <w:rsid w:val="006D7F46"/>
    <w:rsid w:val="006E01C5"/>
    <w:rsid w:val="006E031E"/>
    <w:rsid w:val="006E0558"/>
    <w:rsid w:val="006E0B34"/>
    <w:rsid w:val="006E0E98"/>
    <w:rsid w:val="006E1063"/>
    <w:rsid w:val="006E1449"/>
    <w:rsid w:val="006E1B4C"/>
    <w:rsid w:val="006E3661"/>
    <w:rsid w:val="006E3EE6"/>
    <w:rsid w:val="006E4677"/>
    <w:rsid w:val="006E532E"/>
    <w:rsid w:val="006E55DA"/>
    <w:rsid w:val="006E594C"/>
    <w:rsid w:val="006E60B8"/>
    <w:rsid w:val="006E6442"/>
    <w:rsid w:val="006E67DE"/>
    <w:rsid w:val="006E7267"/>
    <w:rsid w:val="006E7A1A"/>
    <w:rsid w:val="006F0041"/>
    <w:rsid w:val="006F025A"/>
    <w:rsid w:val="006F0569"/>
    <w:rsid w:val="006F4164"/>
    <w:rsid w:val="006F55BA"/>
    <w:rsid w:val="006F595D"/>
    <w:rsid w:val="006F59AB"/>
    <w:rsid w:val="006F703C"/>
    <w:rsid w:val="006F756E"/>
    <w:rsid w:val="006F78FA"/>
    <w:rsid w:val="006F7A06"/>
    <w:rsid w:val="007009BD"/>
    <w:rsid w:val="00700FE2"/>
    <w:rsid w:val="0070193A"/>
    <w:rsid w:val="00701F8F"/>
    <w:rsid w:val="00702EBB"/>
    <w:rsid w:val="007032A7"/>
    <w:rsid w:val="0070332F"/>
    <w:rsid w:val="00703919"/>
    <w:rsid w:val="007045E5"/>
    <w:rsid w:val="00704B84"/>
    <w:rsid w:val="00704BBE"/>
    <w:rsid w:val="00704E9B"/>
    <w:rsid w:val="00704F97"/>
    <w:rsid w:val="00705AEB"/>
    <w:rsid w:val="007062D1"/>
    <w:rsid w:val="00707B41"/>
    <w:rsid w:val="00710105"/>
    <w:rsid w:val="007103B4"/>
    <w:rsid w:val="00710969"/>
    <w:rsid w:val="00710F84"/>
    <w:rsid w:val="00711272"/>
    <w:rsid w:val="007116E9"/>
    <w:rsid w:val="00711954"/>
    <w:rsid w:val="00712BE7"/>
    <w:rsid w:val="00712D45"/>
    <w:rsid w:val="00714F66"/>
    <w:rsid w:val="00715364"/>
    <w:rsid w:val="007154E2"/>
    <w:rsid w:val="0071587B"/>
    <w:rsid w:val="00715F92"/>
    <w:rsid w:val="00715FCB"/>
    <w:rsid w:val="00716BCC"/>
    <w:rsid w:val="00716EC6"/>
    <w:rsid w:val="00717A64"/>
    <w:rsid w:val="00717A6A"/>
    <w:rsid w:val="00717D00"/>
    <w:rsid w:val="00717EE8"/>
    <w:rsid w:val="00720F20"/>
    <w:rsid w:val="00721FFC"/>
    <w:rsid w:val="00722E54"/>
    <w:rsid w:val="007233FB"/>
    <w:rsid w:val="0072353F"/>
    <w:rsid w:val="007246D1"/>
    <w:rsid w:val="00724D64"/>
    <w:rsid w:val="007262C2"/>
    <w:rsid w:val="0072695B"/>
    <w:rsid w:val="00726C4A"/>
    <w:rsid w:val="0072706A"/>
    <w:rsid w:val="00727073"/>
    <w:rsid w:val="007274A7"/>
    <w:rsid w:val="00727D4D"/>
    <w:rsid w:val="00727F23"/>
    <w:rsid w:val="00730988"/>
    <w:rsid w:val="00730ACF"/>
    <w:rsid w:val="00730F46"/>
    <w:rsid w:val="007316D7"/>
    <w:rsid w:val="007319C5"/>
    <w:rsid w:val="00731CF0"/>
    <w:rsid w:val="007321DE"/>
    <w:rsid w:val="00732F62"/>
    <w:rsid w:val="007330E4"/>
    <w:rsid w:val="00734A1F"/>
    <w:rsid w:val="00734C04"/>
    <w:rsid w:val="0073510F"/>
    <w:rsid w:val="00735271"/>
    <w:rsid w:val="00735460"/>
    <w:rsid w:val="00735A30"/>
    <w:rsid w:val="007363BA"/>
    <w:rsid w:val="007371E8"/>
    <w:rsid w:val="00737370"/>
    <w:rsid w:val="007379ED"/>
    <w:rsid w:val="00737A59"/>
    <w:rsid w:val="00737DE3"/>
    <w:rsid w:val="00737E87"/>
    <w:rsid w:val="0074026F"/>
    <w:rsid w:val="00740393"/>
    <w:rsid w:val="00740965"/>
    <w:rsid w:val="00740C0E"/>
    <w:rsid w:val="00740EE5"/>
    <w:rsid w:val="007415BC"/>
    <w:rsid w:val="00741683"/>
    <w:rsid w:val="007419A1"/>
    <w:rsid w:val="00741B4A"/>
    <w:rsid w:val="00742238"/>
    <w:rsid w:val="00742AB1"/>
    <w:rsid w:val="00743055"/>
    <w:rsid w:val="00743889"/>
    <w:rsid w:val="00743F96"/>
    <w:rsid w:val="00744C9C"/>
    <w:rsid w:val="0074528A"/>
    <w:rsid w:val="00745894"/>
    <w:rsid w:val="00745DEE"/>
    <w:rsid w:val="00745E23"/>
    <w:rsid w:val="00747BEE"/>
    <w:rsid w:val="0075119E"/>
    <w:rsid w:val="00751312"/>
    <w:rsid w:val="00751D9F"/>
    <w:rsid w:val="0075251C"/>
    <w:rsid w:val="007532EC"/>
    <w:rsid w:val="00754BEC"/>
    <w:rsid w:val="00754E49"/>
    <w:rsid w:val="0075538E"/>
    <w:rsid w:val="0075559A"/>
    <w:rsid w:val="00755C6A"/>
    <w:rsid w:val="007560E5"/>
    <w:rsid w:val="00756DB3"/>
    <w:rsid w:val="00757081"/>
    <w:rsid w:val="007574EF"/>
    <w:rsid w:val="007579C5"/>
    <w:rsid w:val="00757EB6"/>
    <w:rsid w:val="00760201"/>
    <w:rsid w:val="00760325"/>
    <w:rsid w:val="007605FC"/>
    <w:rsid w:val="007606A6"/>
    <w:rsid w:val="007608B0"/>
    <w:rsid w:val="00760A22"/>
    <w:rsid w:val="00760AFC"/>
    <w:rsid w:val="00760B45"/>
    <w:rsid w:val="00762514"/>
    <w:rsid w:val="007625B0"/>
    <w:rsid w:val="00762FCF"/>
    <w:rsid w:val="00763868"/>
    <w:rsid w:val="007638C0"/>
    <w:rsid w:val="00764EA1"/>
    <w:rsid w:val="00764F6B"/>
    <w:rsid w:val="0076550D"/>
    <w:rsid w:val="00765BC7"/>
    <w:rsid w:val="00766278"/>
    <w:rsid w:val="007664B3"/>
    <w:rsid w:val="00766912"/>
    <w:rsid w:val="00766A45"/>
    <w:rsid w:val="007675BE"/>
    <w:rsid w:val="007679C5"/>
    <w:rsid w:val="00767CB0"/>
    <w:rsid w:val="00767DB9"/>
    <w:rsid w:val="00767F22"/>
    <w:rsid w:val="00770946"/>
    <w:rsid w:val="00771059"/>
    <w:rsid w:val="00771531"/>
    <w:rsid w:val="00771DA0"/>
    <w:rsid w:val="00772079"/>
    <w:rsid w:val="00772173"/>
    <w:rsid w:val="00773520"/>
    <w:rsid w:val="00773D47"/>
    <w:rsid w:val="00774210"/>
    <w:rsid w:val="007749EC"/>
    <w:rsid w:val="00775FE4"/>
    <w:rsid w:val="007763D7"/>
    <w:rsid w:val="0077667C"/>
    <w:rsid w:val="00776FE7"/>
    <w:rsid w:val="0077707E"/>
    <w:rsid w:val="00777F9C"/>
    <w:rsid w:val="00780227"/>
    <w:rsid w:val="00780634"/>
    <w:rsid w:val="00780703"/>
    <w:rsid w:val="00780E08"/>
    <w:rsid w:val="00780F12"/>
    <w:rsid w:val="00781A33"/>
    <w:rsid w:val="00781E67"/>
    <w:rsid w:val="00782D5F"/>
    <w:rsid w:val="00782DA9"/>
    <w:rsid w:val="0078345F"/>
    <w:rsid w:val="00783FDF"/>
    <w:rsid w:val="00784C01"/>
    <w:rsid w:val="00784D84"/>
    <w:rsid w:val="007850C7"/>
    <w:rsid w:val="0078599E"/>
    <w:rsid w:val="00786490"/>
    <w:rsid w:val="007865B6"/>
    <w:rsid w:val="00786C56"/>
    <w:rsid w:val="00786C71"/>
    <w:rsid w:val="00786FA4"/>
    <w:rsid w:val="0078705B"/>
    <w:rsid w:val="00787A42"/>
    <w:rsid w:val="00790295"/>
    <w:rsid w:val="007907DB"/>
    <w:rsid w:val="00790E6B"/>
    <w:rsid w:val="007911B0"/>
    <w:rsid w:val="007916F9"/>
    <w:rsid w:val="007925A1"/>
    <w:rsid w:val="007936C4"/>
    <w:rsid w:val="007947B4"/>
    <w:rsid w:val="007959BB"/>
    <w:rsid w:val="00795CBB"/>
    <w:rsid w:val="007961E8"/>
    <w:rsid w:val="00796815"/>
    <w:rsid w:val="00796BDD"/>
    <w:rsid w:val="00797195"/>
    <w:rsid w:val="007979A6"/>
    <w:rsid w:val="00797DE2"/>
    <w:rsid w:val="00797E16"/>
    <w:rsid w:val="007A06F7"/>
    <w:rsid w:val="007A0F94"/>
    <w:rsid w:val="007A1CBE"/>
    <w:rsid w:val="007A203A"/>
    <w:rsid w:val="007A215B"/>
    <w:rsid w:val="007A25E0"/>
    <w:rsid w:val="007A26EA"/>
    <w:rsid w:val="007A27D4"/>
    <w:rsid w:val="007A3471"/>
    <w:rsid w:val="007A3D8E"/>
    <w:rsid w:val="007A42D3"/>
    <w:rsid w:val="007A4436"/>
    <w:rsid w:val="007A4BED"/>
    <w:rsid w:val="007A529E"/>
    <w:rsid w:val="007A5782"/>
    <w:rsid w:val="007A588C"/>
    <w:rsid w:val="007A58B3"/>
    <w:rsid w:val="007A6857"/>
    <w:rsid w:val="007A6CE3"/>
    <w:rsid w:val="007B0E8B"/>
    <w:rsid w:val="007B0F66"/>
    <w:rsid w:val="007B0F7D"/>
    <w:rsid w:val="007B1391"/>
    <w:rsid w:val="007B1525"/>
    <w:rsid w:val="007B1C4C"/>
    <w:rsid w:val="007B1EDC"/>
    <w:rsid w:val="007B2DAE"/>
    <w:rsid w:val="007B2F5F"/>
    <w:rsid w:val="007B3326"/>
    <w:rsid w:val="007B3419"/>
    <w:rsid w:val="007B447D"/>
    <w:rsid w:val="007B58E6"/>
    <w:rsid w:val="007B61A7"/>
    <w:rsid w:val="007B6FA7"/>
    <w:rsid w:val="007B7238"/>
    <w:rsid w:val="007B7257"/>
    <w:rsid w:val="007B77CE"/>
    <w:rsid w:val="007C0975"/>
    <w:rsid w:val="007C0B52"/>
    <w:rsid w:val="007C0B5C"/>
    <w:rsid w:val="007C10E9"/>
    <w:rsid w:val="007C1490"/>
    <w:rsid w:val="007C1AFA"/>
    <w:rsid w:val="007C1DA4"/>
    <w:rsid w:val="007C1EEF"/>
    <w:rsid w:val="007C2015"/>
    <w:rsid w:val="007C22A0"/>
    <w:rsid w:val="007C3045"/>
    <w:rsid w:val="007C341C"/>
    <w:rsid w:val="007C4881"/>
    <w:rsid w:val="007C4999"/>
    <w:rsid w:val="007C5262"/>
    <w:rsid w:val="007C6510"/>
    <w:rsid w:val="007C668A"/>
    <w:rsid w:val="007C6F81"/>
    <w:rsid w:val="007C75EA"/>
    <w:rsid w:val="007D10AB"/>
    <w:rsid w:val="007D2C2B"/>
    <w:rsid w:val="007D3404"/>
    <w:rsid w:val="007D35C1"/>
    <w:rsid w:val="007D372E"/>
    <w:rsid w:val="007D377D"/>
    <w:rsid w:val="007D395E"/>
    <w:rsid w:val="007D3E83"/>
    <w:rsid w:val="007D5171"/>
    <w:rsid w:val="007D54EF"/>
    <w:rsid w:val="007D57E8"/>
    <w:rsid w:val="007D633E"/>
    <w:rsid w:val="007D6F88"/>
    <w:rsid w:val="007E002C"/>
    <w:rsid w:val="007E00F3"/>
    <w:rsid w:val="007E020A"/>
    <w:rsid w:val="007E10EC"/>
    <w:rsid w:val="007E1CF3"/>
    <w:rsid w:val="007E2BA9"/>
    <w:rsid w:val="007E37F4"/>
    <w:rsid w:val="007E3891"/>
    <w:rsid w:val="007E38EE"/>
    <w:rsid w:val="007E3DD8"/>
    <w:rsid w:val="007E3E8F"/>
    <w:rsid w:val="007E4096"/>
    <w:rsid w:val="007E4272"/>
    <w:rsid w:val="007E49CC"/>
    <w:rsid w:val="007E4B79"/>
    <w:rsid w:val="007E4EDF"/>
    <w:rsid w:val="007E4F9F"/>
    <w:rsid w:val="007E5C8A"/>
    <w:rsid w:val="007E7CFE"/>
    <w:rsid w:val="007E7E9E"/>
    <w:rsid w:val="007F02E2"/>
    <w:rsid w:val="007F06C5"/>
    <w:rsid w:val="007F0B0B"/>
    <w:rsid w:val="007F1687"/>
    <w:rsid w:val="007F19E0"/>
    <w:rsid w:val="007F38B5"/>
    <w:rsid w:val="007F4565"/>
    <w:rsid w:val="007F4863"/>
    <w:rsid w:val="007F486A"/>
    <w:rsid w:val="007F4DA4"/>
    <w:rsid w:val="007F53E1"/>
    <w:rsid w:val="007F56D9"/>
    <w:rsid w:val="007F6CA6"/>
    <w:rsid w:val="007F7374"/>
    <w:rsid w:val="007F775B"/>
    <w:rsid w:val="007F787C"/>
    <w:rsid w:val="007F7B85"/>
    <w:rsid w:val="007F7BC7"/>
    <w:rsid w:val="00800A33"/>
    <w:rsid w:val="00800B98"/>
    <w:rsid w:val="008013EB"/>
    <w:rsid w:val="0080224E"/>
    <w:rsid w:val="00802FD7"/>
    <w:rsid w:val="00803695"/>
    <w:rsid w:val="00803FA5"/>
    <w:rsid w:val="008046B3"/>
    <w:rsid w:val="00804895"/>
    <w:rsid w:val="008048D8"/>
    <w:rsid w:val="00805137"/>
    <w:rsid w:val="00805558"/>
    <w:rsid w:val="0080569A"/>
    <w:rsid w:val="00806012"/>
    <w:rsid w:val="00806CD2"/>
    <w:rsid w:val="00807B14"/>
    <w:rsid w:val="00807D7F"/>
    <w:rsid w:val="008100A4"/>
    <w:rsid w:val="00810675"/>
    <w:rsid w:val="00812DDF"/>
    <w:rsid w:val="00813E93"/>
    <w:rsid w:val="00814668"/>
    <w:rsid w:val="00814C5B"/>
    <w:rsid w:val="00815132"/>
    <w:rsid w:val="00815D27"/>
    <w:rsid w:val="00815EB8"/>
    <w:rsid w:val="0081683D"/>
    <w:rsid w:val="00816EAC"/>
    <w:rsid w:val="008170E7"/>
    <w:rsid w:val="0081763B"/>
    <w:rsid w:val="00820A8D"/>
    <w:rsid w:val="00820B82"/>
    <w:rsid w:val="00820CDE"/>
    <w:rsid w:val="00820D96"/>
    <w:rsid w:val="00821198"/>
    <w:rsid w:val="008215DE"/>
    <w:rsid w:val="008227BE"/>
    <w:rsid w:val="00822AE6"/>
    <w:rsid w:val="00822F97"/>
    <w:rsid w:val="008233B9"/>
    <w:rsid w:val="00823CF7"/>
    <w:rsid w:val="00823E9D"/>
    <w:rsid w:val="00823F1E"/>
    <w:rsid w:val="00824C76"/>
    <w:rsid w:val="0082610F"/>
    <w:rsid w:val="008265F4"/>
    <w:rsid w:val="008269A8"/>
    <w:rsid w:val="00826DFE"/>
    <w:rsid w:val="008271A9"/>
    <w:rsid w:val="00827599"/>
    <w:rsid w:val="00827D95"/>
    <w:rsid w:val="00830683"/>
    <w:rsid w:val="00830BF4"/>
    <w:rsid w:val="00830D25"/>
    <w:rsid w:val="00831EAC"/>
    <w:rsid w:val="008330AE"/>
    <w:rsid w:val="00833274"/>
    <w:rsid w:val="008339F7"/>
    <w:rsid w:val="00834178"/>
    <w:rsid w:val="008345A9"/>
    <w:rsid w:val="00835907"/>
    <w:rsid w:val="00836199"/>
    <w:rsid w:val="008374ED"/>
    <w:rsid w:val="00837B95"/>
    <w:rsid w:val="00837E2D"/>
    <w:rsid w:val="00837F09"/>
    <w:rsid w:val="008401CB"/>
    <w:rsid w:val="008406AC"/>
    <w:rsid w:val="00841A7E"/>
    <w:rsid w:val="008426E9"/>
    <w:rsid w:val="00842B04"/>
    <w:rsid w:val="00843013"/>
    <w:rsid w:val="00843938"/>
    <w:rsid w:val="0084416E"/>
    <w:rsid w:val="008445FC"/>
    <w:rsid w:val="008445FD"/>
    <w:rsid w:val="008446B7"/>
    <w:rsid w:val="00844C08"/>
    <w:rsid w:val="008451B6"/>
    <w:rsid w:val="00845414"/>
    <w:rsid w:val="008473FF"/>
    <w:rsid w:val="00847B48"/>
    <w:rsid w:val="008501B0"/>
    <w:rsid w:val="00850334"/>
    <w:rsid w:val="0085057A"/>
    <w:rsid w:val="0085058D"/>
    <w:rsid w:val="00850A20"/>
    <w:rsid w:val="00851029"/>
    <w:rsid w:val="008511C0"/>
    <w:rsid w:val="00851676"/>
    <w:rsid w:val="00851CE4"/>
    <w:rsid w:val="00852676"/>
    <w:rsid w:val="00852686"/>
    <w:rsid w:val="00852774"/>
    <w:rsid w:val="0085322E"/>
    <w:rsid w:val="00853452"/>
    <w:rsid w:val="008534FF"/>
    <w:rsid w:val="008535C1"/>
    <w:rsid w:val="00853692"/>
    <w:rsid w:val="00853739"/>
    <w:rsid w:val="008541E7"/>
    <w:rsid w:val="0085475D"/>
    <w:rsid w:val="00855291"/>
    <w:rsid w:val="008554B4"/>
    <w:rsid w:val="00857D01"/>
    <w:rsid w:val="0086053F"/>
    <w:rsid w:val="00861440"/>
    <w:rsid w:val="00862900"/>
    <w:rsid w:val="00862F4E"/>
    <w:rsid w:val="008630B6"/>
    <w:rsid w:val="00863A2A"/>
    <w:rsid w:val="008643FA"/>
    <w:rsid w:val="00864B68"/>
    <w:rsid w:val="008650B7"/>
    <w:rsid w:val="00865D77"/>
    <w:rsid w:val="00865E6E"/>
    <w:rsid w:val="008660BB"/>
    <w:rsid w:val="008661E5"/>
    <w:rsid w:val="008665D1"/>
    <w:rsid w:val="00866769"/>
    <w:rsid w:val="008668D1"/>
    <w:rsid w:val="00871509"/>
    <w:rsid w:val="00871D07"/>
    <w:rsid w:val="00872EA0"/>
    <w:rsid w:val="00873362"/>
    <w:rsid w:val="00873620"/>
    <w:rsid w:val="00873A4A"/>
    <w:rsid w:val="00873B43"/>
    <w:rsid w:val="00873C54"/>
    <w:rsid w:val="00873CEF"/>
    <w:rsid w:val="008745C0"/>
    <w:rsid w:val="00874BC3"/>
    <w:rsid w:val="008755C5"/>
    <w:rsid w:val="0087584A"/>
    <w:rsid w:val="0087614C"/>
    <w:rsid w:val="00880C00"/>
    <w:rsid w:val="00880DCD"/>
    <w:rsid w:val="0088148C"/>
    <w:rsid w:val="00881C54"/>
    <w:rsid w:val="00881CED"/>
    <w:rsid w:val="00881EC3"/>
    <w:rsid w:val="00882220"/>
    <w:rsid w:val="00882535"/>
    <w:rsid w:val="008826EA"/>
    <w:rsid w:val="0088332B"/>
    <w:rsid w:val="008837E5"/>
    <w:rsid w:val="00883930"/>
    <w:rsid w:val="00883D8D"/>
    <w:rsid w:val="008841DC"/>
    <w:rsid w:val="00884B43"/>
    <w:rsid w:val="008853AA"/>
    <w:rsid w:val="00885542"/>
    <w:rsid w:val="00885651"/>
    <w:rsid w:val="00886923"/>
    <w:rsid w:val="00887054"/>
    <w:rsid w:val="00887342"/>
    <w:rsid w:val="0088761F"/>
    <w:rsid w:val="00887FFD"/>
    <w:rsid w:val="00890162"/>
    <w:rsid w:val="008904FB"/>
    <w:rsid w:val="008909DA"/>
    <w:rsid w:val="0089103E"/>
    <w:rsid w:val="00891BFF"/>
    <w:rsid w:val="00891C13"/>
    <w:rsid w:val="0089236E"/>
    <w:rsid w:val="008923EC"/>
    <w:rsid w:val="00892AAE"/>
    <w:rsid w:val="0089367B"/>
    <w:rsid w:val="00894357"/>
    <w:rsid w:val="00894376"/>
    <w:rsid w:val="008946EB"/>
    <w:rsid w:val="008948AB"/>
    <w:rsid w:val="00894E3C"/>
    <w:rsid w:val="00895784"/>
    <w:rsid w:val="00895B00"/>
    <w:rsid w:val="00895C1C"/>
    <w:rsid w:val="00895D40"/>
    <w:rsid w:val="0089619F"/>
    <w:rsid w:val="00896291"/>
    <w:rsid w:val="00897700"/>
    <w:rsid w:val="00897EB4"/>
    <w:rsid w:val="008A0343"/>
    <w:rsid w:val="008A0409"/>
    <w:rsid w:val="008A0DC1"/>
    <w:rsid w:val="008A2149"/>
    <w:rsid w:val="008A35E3"/>
    <w:rsid w:val="008A3BC1"/>
    <w:rsid w:val="008A3C23"/>
    <w:rsid w:val="008A3D81"/>
    <w:rsid w:val="008A4120"/>
    <w:rsid w:val="008A414C"/>
    <w:rsid w:val="008A554B"/>
    <w:rsid w:val="008A59F5"/>
    <w:rsid w:val="008A5B08"/>
    <w:rsid w:val="008A64A2"/>
    <w:rsid w:val="008A6593"/>
    <w:rsid w:val="008A6716"/>
    <w:rsid w:val="008A673E"/>
    <w:rsid w:val="008A67D4"/>
    <w:rsid w:val="008B05FA"/>
    <w:rsid w:val="008B0991"/>
    <w:rsid w:val="008B0BA1"/>
    <w:rsid w:val="008B102E"/>
    <w:rsid w:val="008B12F8"/>
    <w:rsid w:val="008B2179"/>
    <w:rsid w:val="008B22C6"/>
    <w:rsid w:val="008B22D0"/>
    <w:rsid w:val="008B2ECA"/>
    <w:rsid w:val="008B302D"/>
    <w:rsid w:val="008B3E03"/>
    <w:rsid w:val="008B4B52"/>
    <w:rsid w:val="008B51DE"/>
    <w:rsid w:val="008B5978"/>
    <w:rsid w:val="008B5BA1"/>
    <w:rsid w:val="008B73AD"/>
    <w:rsid w:val="008B7E5E"/>
    <w:rsid w:val="008B7FCC"/>
    <w:rsid w:val="008C0789"/>
    <w:rsid w:val="008C2AB6"/>
    <w:rsid w:val="008C376C"/>
    <w:rsid w:val="008C41BB"/>
    <w:rsid w:val="008C47E4"/>
    <w:rsid w:val="008C5D97"/>
    <w:rsid w:val="008C661A"/>
    <w:rsid w:val="008C67EB"/>
    <w:rsid w:val="008C6898"/>
    <w:rsid w:val="008C6D6F"/>
    <w:rsid w:val="008C771D"/>
    <w:rsid w:val="008C7809"/>
    <w:rsid w:val="008C7E13"/>
    <w:rsid w:val="008D06A5"/>
    <w:rsid w:val="008D0B38"/>
    <w:rsid w:val="008D0D0F"/>
    <w:rsid w:val="008D13D6"/>
    <w:rsid w:val="008D15E7"/>
    <w:rsid w:val="008D19DE"/>
    <w:rsid w:val="008D1E0B"/>
    <w:rsid w:val="008D2A45"/>
    <w:rsid w:val="008D362D"/>
    <w:rsid w:val="008D3A42"/>
    <w:rsid w:val="008D4163"/>
    <w:rsid w:val="008D44E6"/>
    <w:rsid w:val="008D490B"/>
    <w:rsid w:val="008D4A04"/>
    <w:rsid w:val="008D5180"/>
    <w:rsid w:val="008D51C8"/>
    <w:rsid w:val="008D57CE"/>
    <w:rsid w:val="008D67D1"/>
    <w:rsid w:val="008D6BFE"/>
    <w:rsid w:val="008D7BF2"/>
    <w:rsid w:val="008E0372"/>
    <w:rsid w:val="008E03AC"/>
    <w:rsid w:val="008E08B3"/>
    <w:rsid w:val="008E16EA"/>
    <w:rsid w:val="008E2B84"/>
    <w:rsid w:val="008E3761"/>
    <w:rsid w:val="008E38D1"/>
    <w:rsid w:val="008E3DC2"/>
    <w:rsid w:val="008E3EB6"/>
    <w:rsid w:val="008E454C"/>
    <w:rsid w:val="008E461C"/>
    <w:rsid w:val="008E4B57"/>
    <w:rsid w:val="008E4DA1"/>
    <w:rsid w:val="008E5C9D"/>
    <w:rsid w:val="008E6237"/>
    <w:rsid w:val="008E62DE"/>
    <w:rsid w:val="008E656B"/>
    <w:rsid w:val="008E772E"/>
    <w:rsid w:val="008E7938"/>
    <w:rsid w:val="008E7B30"/>
    <w:rsid w:val="008E7CC8"/>
    <w:rsid w:val="008F0C34"/>
    <w:rsid w:val="008F11DE"/>
    <w:rsid w:val="008F2089"/>
    <w:rsid w:val="008F23A1"/>
    <w:rsid w:val="008F268C"/>
    <w:rsid w:val="008F3685"/>
    <w:rsid w:val="008F3DFA"/>
    <w:rsid w:val="008F50D1"/>
    <w:rsid w:val="008F50F4"/>
    <w:rsid w:val="008F55DC"/>
    <w:rsid w:val="008F5C32"/>
    <w:rsid w:val="008F696E"/>
    <w:rsid w:val="008F6B37"/>
    <w:rsid w:val="008F6E34"/>
    <w:rsid w:val="008F7CAE"/>
    <w:rsid w:val="008F7EB1"/>
    <w:rsid w:val="00900064"/>
    <w:rsid w:val="009009EE"/>
    <w:rsid w:val="00900E57"/>
    <w:rsid w:val="00901048"/>
    <w:rsid w:val="00901A67"/>
    <w:rsid w:val="00901CEB"/>
    <w:rsid w:val="00902D67"/>
    <w:rsid w:val="00902FD8"/>
    <w:rsid w:val="00903420"/>
    <w:rsid w:val="00903CCA"/>
    <w:rsid w:val="00903F61"/>
    <w:rsid w:val="00904033"/>
    <w:rsid w:val="009043C3"/>
    <w:rsid w:val="00904653"/>
    <w:rsid w:val="00904A39"/>
    <w:rsid w:val="0090501D"/>
    <w:rsid w:val="00905232"/>
    <w:rsid w:val="009059A6"/>
    <w:rsid w:val="009059C5"/>
    <w:rsid w:val="00905C45"/>
    <w:rsid w:val="00905E2F"/>
    <w:rsid w:val="0090632D"/>
    <w:rsid w:val="00906898"/>
    <w:rsid w:val="00906B66"/>
    <w:rsid w:val="00907295"/>
    <w:rsid w:val="009106B7"/>
    <w:rsid w:val="00910E4C"/>
    <w:rsid w:val="00912E58"/>
    <w:rsid w:val="00913B88"/>
    <w:rsid w:val="00913B9D"/>
    <w:rsid w:val="0091404E"/>
    <w:rsid w:val="00914245"/>
    <w:rsid w:val="009146AF"/>
    <w:rsid w:val="009148D9"/>
    <w:rsid w:val="00914BB8"/>
    <w:rsid w:val="00915027"/>
    <w:rsid w:val="0091546B"/>
    <w:rsid w:val="009154B7"/>
    <w:rsid w:val="00916498"/>
    <w:rsid w:val="00916B0B"/>
    <w:rsid w:val="009179A7"/>
    <w:rsid w:val="00917BB1"/>
    <w:rsid w:val="00917C2B"/>
    <w:rsid w:val="00920233"/>
    <w:rsid w:val="00921D30"/>
    <w:rsid w:val="0092260A"/>
    <w:rsid w:val="0092288D"/>
    <w:rsid w:val="009233E1"/>
    <w:rsid w:val="00923682"/>
    <w:rsid w:val="00923A94"/>
    <w:rsid w:val="0092478A"/>
    <w:rsid w:val="00925AAF"/>
    <w:rsid w:val="009269A3"/>
    <w:rsid w:val="00926B33"/>
    <w:rsid w:val="00926DF1"/>
    <w:rsid w:val="00926E33"/>
    <w:rsid w:val="009307F9"/>
    <w:rsid w:val="00930D3A"/>
    <w:rsid w:val="0093130C"/>
    <w:rsid w:val="0093138B"/>
    <w:rsid w:val="009315E6"/>
    <w:rsid w:val="00933022"/>
    <w:rsid w:val="009330DA"/>
    <w:rsid w:val="00933348"/>
    <w:rsid w:val="00933FAD"/>
    <w:rsid w:val="00933FBD"/>
    <w:rsid w:val="00934093"/>
    <w:rsid w:val="00934795"/>
    <w:rsid w:val="00934F77"/>
    <w:rsid w:val="00935C0D"/>
    <w:rsid w:val="00936789"/>
    <w:rsid w:val="00936863"/>
    <w:rsid w:val="009375B2"/>
    <w:rsid w:val="00937CF5"/>
    <w:rsid w:val="00941017"/>
    <w:rsid w:val="009415AF"/>
    <w:rsid w:val="00941A80"/>
    <w:rsid w:val="00941B7E"/>
    <w:rsid w:val="00943061"/>
    <w:rsid w:val="00943619"/>
    <w:rsid w:val="00943BC4"/>
    <w:rsid w:val="009444CC"/>
    <w:rsid w:val="00944E71"/>
    <w:rsid w:val="00944FCB"/>
    <w:rsid w:val="00945220"/>
    <w:rsid w:val="00945666"/>
    <w:rsid w:val="00945EFB"/>
    <w:rsid w:val="009460BA"/>
    <w:rsid w:val="00946206"/>
    <w:rsid w:val="00946410"/>
    <w:rsid w:val="00946EEC"/>
    <w:rsid w:val="00946F4C"/>
    <w:rsid w:val="00946FF6"/>
    <w:rsid w:val="009477F2"/>
    <w:rsid w:val="00947846"/>
    <w:rsid w:val="009504C0"/>
    <w:rsid w:val="00950F25"/>
    <w:rsid w:val="009527DE"/>
    <w:rsid w:val="00952C5C"/>
    <w:rsid w:val="00952CDA"/>
    <w:rsid w:val="0095435F"/>
    <w:rsid w:val="009543B0"/>
    <w:rsid w:val="00954BDD"/>
    <w:rsid w:val="00955243"/>
    <w:rsid w:val="00955FCF"/>
    <w:rsid w:val="00956112"/>
    <w:rsid w:val="009562DB"/>
    <w:rsid w:val="00956906"/>
    <w:rsid w:val="00956BA6"/>
    <w:rsid w:val="0095787F"/>
    <w:rsid w:val="00957FF5"/>
    <w:rsid w:val="009604A7"/>
    <w:rsid w:val="00960927"/>
    <w:rsid w:val="00960A25"/>
    <w:rsid w:val="00960A70"/>
    <w:rsid w:val="00960B12"/>
    <w:rsid w:val="00960B3A"/>
    <w:rsid w:val="00960D81"/>
    <w:rsid w:val="0096103B"/>
    <w:rsid w:val="009610A6"/>
    <w:rsid w:val="009624BE"/>
    <w:rsid w:val="0096301D"/>
    <w:rsid w:val="0096360C"/>
    <w:rsid w:val="00964154"/>
    <w:rsid w:val="00964AD8"/>
    <w:rsid w:val="00964F93"/>
    <w:rsid w:val="0096561E"/>
    <w:rsid w:val="00965711"/>
    <w:rsid w:val="00965F28"/>
    <w:rsid w:val="0096636F"/>
    <w:rsid w:val="00966D9E"/>
    <w:rsid w:val="009701F7"/>
    <w:rsid w:val="009702D8"/>
    <w:rsid w:val="00970746"/>
    <w:rsid w:val="00970BC3"/>
    <w:rsid w:val="0097122B"/>
    <w:rsid w:val="00971638"/>
    <w:rsid w:val="009717A7"/>
    <w:rsid w:val="00972386"/>
    <w:rsid w:val="009723D5"/>
    <w:rsid w:val="00972798"/>
    <w:rsid w:val="00972D41"/>
    <w:rsid w:val="00973807"/>
    <w:rsid w:val="00973B2D"/>
    <w:rsid w:val="00973FC8"/>
    <w:rsid w:val="00974DC1"/>
    <w:rsid w:val="009751F0"/>
    <w:rsid w:val="009754CB"/>
    <w:rsid w:val="009755C3"/>
    <w:rsid w:val="009756E7"/>
    <w:rsid w:val="00975E15"/>
    <w:rsid w:val="00975F8E"/>
    <w:rsid w:val="0097721A"/>
    <w:rsid w:val="00977D84"/>
    <w:rsid w:val="00977F6A"/>
    <w:rsid w:val="00980A72"/>
    <w:rsid w:val="00980AB4"/>
    <w:rsid w:val="009817B5"/>
    <w:rsid w:val="00983135"/>
    <w:rsid w:val="00983A66"/>
    <w:rsid w:val="00984107"/>
    <w:rsid w:val="00985415"/>
    <w:rsid w:val="00985783"/>
    <w:rsid w:val="009869B4"/>
    <w:rsid w:val="00986A94"/>
    <w:rsid w:val="00986FBD"/>
    <w:rsid w:val="009872D9"/>
    <w:rsid w:val="0098743A"/>
    <w:rsid w:val="0098747B"/>
    <w:rsid w:val="00990143"/>
    <w:rsid w:val="00990DBF"/>
    <w:rsid w:val="00990F1D"/>
    <w:rsid w:val="00991321"/>
    <w:rsid w:val="009917F6"/>
    <w:rsid w:val="00991E2E"/>
    <w:rsid w:val="0099267C"/>
    <w:rsid w:val="009932ED"/>
    <w:rsid w:val="0099344B"/>
    <w:rsid w:val="00993C1A"/>
    <w:rsid w:val="00994243"/>
    <w:rsid w:val="0099574B"/>
    <w:rsid w:val="00995755"/>
    <w:rsid w:val="00995C72"/>
    <w:rsid w:val="0099647E"/>
    <w:rsid w:val="00997216"/>
    <w:rsid w:val="0099725B"/>
    <w:rsid w:val="0099789A"/>
    <w:rsid w:val="00997B74"/>
    <w:rsid w:val="00997E6C"/>
    <w:rsid w:val="00997FD2"/>
    <w:rsid w:val="009A0C19"/>
    <w:rsid w:val="009A0D05"/>
    <w:rsid w:val="009A0FD5"/>
    <w:rsid w:val="009A10C1"/>
    <w:rsid w:val="009A149A"/>
    <w:rsid w:val="009A34A0"/>
    <w:rsid w:val="009A45B5"/>
    <w:rsid w:val="009A477A"/>
    <w:rsid w:val="009A48B1"/>
    <w:rsid w:val="009A4BB2"/>
    <w:rsid w:val="009A51FF"/>
    <w:rsid w:val="009A53EF"/>
    <w:rsid w:val="009A5C5C"/>
    <w:rsid w:val="009A648D"/>
    <w:rsid w:val="009A737F"/>
    <w:rsid w:val="009A7FE2"/>
    <w:rsid w:val="009B02D1"/>
    <w:rsid w:val="009B134C"/>
    <w:rsid w:val="009B1A40"/>
    <w:rsid w:val="009B2904"/>
    <w:rsid w:val="009B2BC1"/>
    <w:rsid w:val="009B2E58"/>
    <w:rsid w:val="009B408B"/>
    <w:rsid w:val="009B414C"/>
    <w:rsid w:val="009B43B4"/>
    <w:rsid w:val="009B4495"/>
    <w:rsid w:val="009B566D"/>
    <w:rsid w:val="009B5676"/>
    <w:rsid w:val="009B5893"/>
    <w:rsid w:val="009B5A1B"/>
    <w:rsid w:val="009B5D28"/>
    <w:rsid w:val="009B6255"/>
    <w:rsid w:val="009B6B15"/>
    <w:rsid w:val="009B6DDA"/>
    <w:rsid w:val="009B6EA8"/>
    <w:rsid w:val="009B6F68"/>
    <w:rsid w:val="009B7614"/>
    <w:rsid w:val="009C097D"/>
    <w:rsid w:val="009C09CA"/>
    <w:rsid w:val="009C0FA8"/>
    <w:rsid w:val="009C11EF"/>
    <w:rsid w:val="009C20C5"/>
    <w:rsid w:val="009C28D7"/>
    <w:rsid w:val="009C2FA3"/>
    <w:rsid w:val="009C31A9"/>
    <w:rsid w:val="009C342B"/>
    <w:rsid w:val="009C37E0"/>
    <w:rsid w:val="009C3EF3"/>
    <w:rsid w:val="009C4802"/>
    <w:rsid w:val="009C59B3"/>
    <w:rsid w:val="009C68C4"/>
    <w:rsid w:val="009C7157"/>
    <w:rsid w:val="009C78A6"/>
    <w:rsid w:val="009C7C1C"/>
    <w:rsid w:val="009D07E6"/>
    <w:rsid w:val="009D19C8"/>
    <w:rsid w:val="009D23C8"/>
    <w:rsid w:val="009D2DB5"/>
    <w:rsid w:val="009D3128"/>
    <w:rsid w:val="009D453E"/>
    <w:rsid w:val="009D45A5"/>
    <w:rsid w:val="009D45B5"/>
    <w:rsid w:val="009D48FA"/>
    <w:rsid w:val="009D4A2A"/>
    <w:rsid w:val="009D52D8"/>
    <w:rsid w:val="009D572A"/>
    <w:rsid w:val="009D5B2F"/>
    <w:rsid w:val="009D70EA"/>
    <w:rsid w:val="009D73BB"/>
    <w:rsid w:val="009D7586"/>
    <w:rsid w:val="009D7B2D"/>
    <w:rsid w:val="009D7D08"/>
    <w:rsid w:val="009E004F"/>
    <w:rsid w:val="009E01FF"/>
    <w:rsid w:val="009E12C5"/>
    <w:rsid w:val="009E1324"/>
    <w:rsid w:val="009E1B04"/>
    <w:rsid w:val="009E212D"/>
    <w:rsid w:val="009E21E3"/>
    <w:rsid w:val="009E272B"/>
    <w:rsid w:val="009E2953"/>
    <w:rsid w:val="009E2F6C"/>
    <w:rsid w:val="009E2F7B"/>
    <w:rsid w:val="009E3DCA"/>
    <w:rsid w:val="009E40E6"/>
    <w:rsid w:val="009E4116"/>
    <w:rsid w:val="009E4908"/>
    <w:rsid w:val="009E53D6"/>
    <w:rsid w:val="009E5BDC"/>
    <w:rsid w:val="009E5E74"/>
    <w:rsid w:val="009E66CD"/>
    <w:rsid w:val="009E6981"/>
    <w:rsid w:val="009E71F4"/>
    <w:rsid w:val="009E7740"/>
    <w:rsid w:val="009E7C5C"/>
    <w:rsid w:val="009F0F6C"/>
    <w:rsid w:val="009F12E8"/>
    <w:rsid w:val="009F173A"/>
    <w:rsid w:val="009F2253"/>
    <w:rsid w:val="009F2479"/>
    <w:rsid w:val="009F29C5"/>
    <w:rsid w:val="009F36D9"/>
    <w:rsid w:val="009F3FA6"/>
    <w:rsid w:val="009F3FF5"/>
    <w:rsid w:val="009F407B"/>
    <w:rsid w:val="009F5111"/>
    <w:rsid w:val="009F5C16"/>
    <w:rsid w:val="009F63E8"/>
    <w:rsid w:val="009F65CD"/>
    <w:rsid w:val="009F6B6F"/>
    <w:rsid w:val="009F6C56"/>
    <w:rsid w:val="009F6C6F"/>
    <w:rsid w:val="009F6C76"/>
    <w:rsid w:val="009F7E66"/>
    <w:rsid w:val="00A000C7"/>
    <w:rsid w:val="00A00DDA"/>
    <w:rsid w:val="00A01405"/>
    <w:rsid w:val="00A01F69"/>
    <w:rsid w:val="00A02219"/>
    <w:rsid w:val="00A02475"/>
    <w:rsid w:val="00A02B09"/>
    <w:rsid w:val="00A03D37"/>
    <w:rsid w:val="00A03DD3"/>
    <w:rsid w:val="00A04005"/>
    <w:rsid w:val="00A05354"/>
    <w:rsid w:val="00A058E8"/>
    <w:rsid w:val="00A05BB3"/>
    <w:rsid w:val="00A05CE8"/>
    <w:rsid w:val="00A06C19"/>
    <w:rsid w:val="00A07A44"/>
    <w:rsid w:val="00A10A18"/>
    <w:rsid w:val="00A1121D"/>
    <w:rsid w:val="00A11520"/>
    <w:rsid w:val="00A11642"/>
    <w:rsid w:val="00A117C9"/>
    <w:rsid w:val="00A11BC9"/>
    <w:rsid w:val="00A1209F"/>
    <w:rsid w:val="00A12A5D"/>
    <w:rsid w:val="00A12FEB"/>
    <w:rsid w:val="00A13CFA"/>
    <w:rsid w:val="00A1434D"/>
    <w:rsid w:val="00A14498"/>
    <w:rsid w:val="00A148E1"/>
    <w:rsid w:val="00A15072"/>
    <w:rsid w:val="00A15136"/>
    <w:rsid w:val="00A15BE9"/>
    <w:rsid w:val="00A1633E"/>
    <w:rsid w:val="00A176C4"/>
    <w:rsid w:val="00A1795F"/>
    <w:rsid w:val="00A17BBA"/>
    <w:rsid w:val="00A21428"/>
    <w:rsid w:val="00A21A9F"/>
    <w:rsid w:val="00A228B8"/>
    <w:rsid w:val="00A22B8C"/>
    <w:rsid w:val="00A22D2A"/>
    <w:rsid w:val="00A22F08"/>
    <w:rsid w:val="00A22F89"/>
    <w:rsid w:val="00A2323F"/>
    <w:rsid w:val="00A23503"/>
    <w:rsid w:val="00A24C84"/>
    <w:rsid w:val="00A24D68"/>
    <w:rsid w:val="00A253F0"/>
    <w:rsid w:val="00A25904"/>
    <w:rsid w:val="00A25CDF"/>
    <w:rsid w:val="00A26278"/>
    <w:rsid w:val="00A26953"/>
    <w:rsid w:val="00A26C8C"/>
    <w:rsid w:val="00A26F48"/>
    <w:rsid w:val="00A27416"/>
    <w:rsid w:val="00A27501"/>
    <w:rsid w:val="00A308FA"/>
    <w:rsid w:val="00A32D14"/>
    <w:rsid w:val="00A33351"/>
    <w:rsid w:val="00A33FDE"/>
    <w:rsid w:val="00A348CB"/>
    <w:rsid w:val="00A364C2"/>
    <w:rsid w:val="00A36910"/>
    <w:rsid w:val="00A36D20"/>
    <w:rsid w:val="00A36E9E"/>
    <w:rsid w:val="00A36F34"/>
    <w:rsid w:val="00A37711"/>
    <w:rsid w:val="00A4018E"/>
    <w:rsid w:val="00A40ACF"/>
    <w:rsid w:val="00A40AF0"/>
    <w:rsid w:val="00A40C35"/>
    <w:rsid w:val="00A40EDE"/>
    <w:rsid w:val="00A41B28"/>
    <w:rsid w:val="00A4222A"/>
    <w:rsid w:val="00A43662"/>
    <w:rsid w:val="00A43899"/>
    <w:rsid w:val="00A44977"/>
    <w:rsid w:val="00A449DE"/>
    <w:rsid w:val="00A4539B"/>
    <w:rsid w:val="00A46963"/>
    <w:rsid w:val="00A47155"/>
    <w:rsid w:val="00A473AC"/>
    <w:rsid w:val="00A476F1"/>
    <w:rsid w:val="00A500C9"/>
    <w:rsid w:val="00A50301"/>
    <w:rsid w:val="00A504D7"/>
    <w:rsid w:val="00A5051C"/>
    <w:rsid w:val="00A514DD"/>
    <w:rsid w:val="00A5162B"/>
    <w:rsid w:val="00A51685"/>
    <w:rsid w:val="00A516BF"/>
    <w:rsid w:val="00A51D9C"/>
    <w:rsid w:val="00A528F2"/>
    <w:rsid w:val="00A52AF7"/>
    <w:rsid w:val="00A52BF4"/>
    <w:rsid w:val="00A5394F"/>
    <w:rsid w:val="00A54027"/>
    <w:rsid w:val="00A54FA1"/>
    <w:rsid w:val="00A55071"/>
    <w:rsid w:val="00A5526D"/>
    <w:rsid w:val="00A5537B"/>
    <w:rsid w:val="00A569F1"/>
    <w:rsid w:val="00A569FD"/>
    <w:rsid w:val="00A56FA8"/>
    <w:rsid w:val="00A57AD6"/>
    <w:rsid w:val="00A57C34"/>
    <w:rsid w:val="00A602D2"/>
    <w:rsid w:val="00A623B3"/>
    <w:rsid w:val="00A62F33"/>
    <w:rsid w:val="00A63A5E"/>
    <w:rsid w:val="00A64557"/>
    <w:rsid w:val="00A654AF"/>
    <w:rsid w:val="00A65A15"/>
    <w:rsid w:val="00A65A46"/>
    <w:rsid w:val="00A665A5"/>
    <w:rsid w:val="00A6682B"/>
    <w:rsid w:val="00A6692E"/>
    <w:rsid w:val="00A66DC8"/>
    <w:rsid w:val="00A67033"/>
    <w:rsid w:val="00A670A7"/>
    <w:rsid w:val="00A67A0C"/>
    <w:rsid w:val="00A70378"/>
    <w:rsid w:val="00A7189C"/>
    <w:rsid w:val="00A718E6"/>
    <w:rsid w:val="00A72886"/>
    <w:rsid w:val="00A72DA2"/>
    <w:rsid w:val="00A743C8"/>
    <w:rsid w:val="00A743E1"/>
    <w:rsid w:val="00A7473F"/>
    <w:rsid w:val="00A74A51"/>
    <w:rsid w:val="00A74E06"/>
    <w:rsid w:val="00A74E8F"/>
    <w:rsid w:val="00A7516A"/>
    <w:rsid w:val="00A751E0"/>
    <w:rsid w:val="00A75567"/>
    <w:rsid w:val="00A75D52"/>
    <w:rsid w:val="00A75D61"/>
    <w:rsid w:val="00A76916"/>
    <w:rsid w:val="00A76D66"/>
    <w:rsid w:val="00A7761A"/>
    <w:rsid w:val="00A7798E"/>
    <w:rsid w:val="00A80448"/>
    <w:rsid w:val="00A80892"/>
    <w:rsid w:val="00A80A9A"/>
    <w:rsid w:val="00A824E3"/>
    <w:rsid w:val="00A832B0"/>
    <w:rsid w:val="00A8422B"/>
    <w:rsid w:val="00A85569"/>
    <w:rsid w:val="00A855A5"/>
    <w:rsid w:val="00A85817"/>
    <w:rsid w:val="00A85820"/>
    <w:rsid w:val="00A85A0A"/>
    <w:rsid w:val="00A85D42"/>
    <w:rsid w:val="00A85DF0"/>
    <w:rsid w:val="00A85ED0"/>
    <w:rsid w:val="00A865DD"/>
    <w:rsid w:val="00A86ECA"/>
    <w:rsid w:val="00A90027"/>
    <w:rsid w:val="00A9004F"/>
    <w:rsid w:val="00A90F7A"/>
    <w:rsid w:val="00A91888"/>
    <w:rsid w:val="00A91AF1"/>
    <w:rsid w:val="00A91BE1"/>
    <w:rsid w:val="00A91C5F"/>
    <w:rsid w:val="00A91EA9"/>
    <w:rsid w:val="00A91EE2"/>
    <w:rsid w:val="00A92AA5"/>
    <w:rsid w:val="00A93A35"/>
    <w:rsid w:val="00A93D28"/>
    <w:rsid w:val="00A9406D"/>
    <w:rsid w:val="00A94351"/>
    <w:rsid w:val="00A94867"/>
    <w:rsid w:val="00A9517F"/>
    <w:rsid w:val="00A9528A"/>
    <w:rsid w:val="00A95874"/>
    <w:rsid w:val="00A9589B"/>
    <w:rsid w:val="00A95EBE"/>
    <w:rsid w:val="00A96E87"/>
    <w:rsid w:val="00A96EB5"/>
    <w:rsid w:val="00A974F5"/>
    <w:rsid w:val="00A97963"/>
    <w:rsid w:val="00AA00DE"/>
    <w:rsid w:val="00AA125A"/>
    <w:rsid w:val="00AA2480"/>
    <w:rsid w:val="00AA253F"/>
    <w:rsid w:val="00AA26ED"/>
    <w:rsid w:val="00AA2E47"/>
    <w:rsid w:val="00AA39E2"/>
    <w:rsid w:val="00AA3E2D"/>
    <w:rsid w:val="00AA4E09"/>
    <w:rsid w:val="00AA4E2E"/>
    <w:rsid w:val="00AA562D"/>
    <w:rsid w:val="00AA66B6"/>
    <w:rsid w:val="00AA6D88"/>
    <w:rsid w:val="00AA6E82"/>
    <w:rsid w:val="00AA7704"/>
    <w:rsid w:val="00AA77CD"/>
    <w:rsid w:val="00AB0589"/>
    <w:rsid w:val="00AB05B0"/>
    <w:rsid w:val="00AB07E4"/>
    <w:rsid w:val="00AB0959"/>
    <w:rsid w:val="00AB0EC0"/>
    <w:rsid w:val="00AB1383"/>
    <w:rsid w:val="00AB1AE7"/>
    <w:rsid w:val="00AB1F12"/>
    <w:rsid w:val="00AB2DBB"/>
    <w:rsid w:val="00AB39AB"/>
    <w:rsid w:val="00AB424D"/>
    <w:rsid w:val="00AB44C8"/>
    <w:rsid w:val="00AB4546"/>
    <w:rsid w:val="00AB46F4"/>
    <w:rsid w:val="00AB54CE"/>
    <w:rsid w:val="00AB6034"/>
    <w:rsid w:val="00AB6DD5"/>
    <w:rsid w:val="00AB6ECB"/>
    <w:rsid w:val="00AB7560"/>
    <w:rsid w:val="00AB7719"/>
    <w:rsid w:val="00AB7CCF"/>
    <w:rsid w:val="00AC100E"/>
    <w:rsid w:val="00AC23B3"/>
    <w:rsid w:val="00AC2415"/>
    <w:rsid w:val="00AC279B"/>
    <w:rsid w:val="00AC3261"/>
    <w:rsid w:val="00AC3800"/>
    <w:rsid w:val="00AC4B30"/>
    <w:rsid w:val="00AC571C"/>
    <w:rsid w:val="00AC5745"/>
    <w:rsid w:val="00AC58CA"/>
    <w:rsid w:val="00AC6B77"/>
    <w:rsid w:val="00AC758D"/>
    <w:rsid w:val="00AD04A3"/>
    <w:rsid w:val="00AD0A2A"/>
    <w:rsid w:val="00AD1055"/>
    <w:rsid w:val="00AD2265"/>
    <w:rsid w:val="00AD252E"/>
    <w:rsid w:val="00AD2810"/>
    <w:rsid w:val="00AD3BB6"/>
    <w:rsid w:val="00AD3F2A"/>
    <w:rsid w:val="00AD4175"/>
    <w:rsid w:val="00AD4522"/>
    <w:rsid w:val="00AD5AF5"/>
    <w:rsid w:val="00AD5B6B"/>
    <w:rsid w:val="00AD5E0C"/>
    <w:rsid w:val="00AD6534"/>
    <w:rsid w:val="00AD67DF"/>
    <w:rsid w:val="00AD6953"/>
    <w:rsid w:val="00AD7055"/>
    <w:rsid w:val="00AD79C5"/>
    <w:rsid w:val="00AD7DAD"/>
    <w:rsid w:val="00AE02C0"/>
    <w:rsid w:val="00AE0995"/>
    <w:rsid w:val="00AE1A50"/>
    <w:rsid w:val="00AE1E9A"/>
    <w:rsid w:val="00AE2B4F"/>
    <w:rsid w:val="00AE2C17"/>
    <w:rsid w:val="00AE3900"/>
    <w:rsid w:val="00AE3963"/>
    <w:rsid w:val="00AE3B17"/>
    <w:rsid w:val="00AE45F5"/>
    <w:rsid w:val="00AE48D9"/>
    <w:rsid w:val="00AE5C33"/>
    <w:rsid w:val="00AE61EB"/>
    <w:rsid w:val="00AE633A"/>
    <w:rsid w:val="00AE63E9"/>
    <w:rsid w:val="00AE6426"/>
    <w:rsid w:val="00AE64BD"/>
    <w:rsid w:val="00AE7600"/>
    <w:rsid w:val="00AE79A8"/>
    <w:rsid w:val="00AF063A"/>
    <w:rsid w:val="00AF135A"/>
    <w:rsid w:val="00AF1891"/>
    <w:rsid w:val="00AF1917"/>
    <w:rsid w:val="00AF1A00"/>
    <w:rsid w:val="00AF234D"/>
    <w:rsid w:val="00AF2518"/>
    <w:rsid w:val="00AF2AC9"/>
    <w:rsid w:val="00AF2D9B"/>
    <w:rsid w:val="00AF3F51"/>
    <w:rsid w:val="00AF433E"/>
    <w:rsid w:val="00AF4774"/>
    <w:rsid w:val="00AF4D3F"/>
    <w:rsid w:val="00AF4EB7"/>
    <w:rsid w:val="00AF5DA9"/>
    <w:rsid w:val="00AF63C0"/>
    <w:rsid w:val="00AF6E70"/>
    <w:rsid w:val="00AF719F"/>
    <w:rsid w:val="00AF7585"/>
    <w:rsid w:val="00AF7ACD"/>
    <w:rsid w:val="00AF7C89"/>
    <w:rsid w:val="00B00351"/>
    <w:rsid w:val="00B005DA"/>
    <w:rsid w:val="00B00D2F"/>
    <w:rsid w:val="00B00D8D"/>
    <w:rsid w:val="00B00F9A"/>
    <w:rsid w:val="00B017D6"/>
    <w:rsid w:val="00B01E4D"/>
    <w:rsid w:val="00B02F5D"/>
    <w:rsid w:val="00B0460A"/>
    <w:rsid w:val="00B04D4C"/>
    <w:rsid w:val="00B059A1"/>
    <w:rsid w:val="00B05A7E"/>
    <w:rsid w:val="00B06123"/>
    <w:rsid w:val="00B062AF"/>
    <w:rsid w:val="00B06652"/>
    <w:rsid w:val="00B07DDD"/>
    <w:rsid w:val="00B107B5"/>
    <w:rsid w:val="00B11618"/>
    <w:rsid w:val="00B11653"/>
    <w:rsid w:val="00B11AAA"/>
    <w:rsid w:val="00B128E9"/>
    <w:rsid w:val="00B12EA4"/>
    <w:rsid w:val="00B14052"/>
    <w:rsid w:val="00B14AA4"/>
    <w:rsid w:val="00B15575"/>
    <w:rsid w:val="00B16A9D"/>
    <w:rsid w:val="00B20232"/>
    <w:rsid w:val="00B209B1"/>
    <w:rsid w:val="00B20A0D"/>
    <w:rsid w:val="00B21002"/>
    <w:rsid w:val="00B215BC"/>
    <w:rsid w:val="00B21FE9"/>
    <w:rsid w:val="00B2238C"/>
    <w:rsid w:val="00B2388F"/>
    <w:rsid w:val="00B23BB8"/>
    <w:rsid w:val="00B24829"/>
    <w:rsid w:val="00B2557B"/>
    <w:rsid w:val="00B256DD"/>
    <w:rsid w:val="00B26AD2"/>
    <w:rsid w:val="00B27352"/>
    <w:rsid w:val="00B279AC"/>
    <w:rsid w:val="00B27D4F"/>
    <w:rsid w:val="00B30840"/>
    <w:rsid w:val="00B3108F"/>
    <w:rsid w:val="00B31E91"/>
    <w:rsid w:val="00B3211E"/>
    <w:rsid w:val="00B327BD"/>
    <w:rsid w:val="00B32B64"/>
    <w:rsid w:val="00B32C0A"/>
    <w:rsid w:val="00B32FD3"/>
    <w:rsid w:val="00B3314C"/>
    <w:rsid w:val="00B33D95"/>
    <w:rsid w:val="00B33E45"/>
    <w:rsid w:val="00B34686"/>
    <w:rsid w:val="00B349A2"/>
    <w:rsid w:val="00B34B0A"/>
    <w:rsid w:val="00B34EE3"/>
    <w:rsid w:val="00B35481"/>
    <w:rsid w:val="00B35D0F"/>
    <w:rsid w:val="00B36B85"/>
    <w:rsid w:val="00B374DB"/>
    <w:rsid w:val="00B376B4"/>
    <w:rsid w:val="00B3799F"/>
    <w:rsid w:val="00B41008"/>
    <w:rsid w:val="00B41134"/>
    <w:rsid w:val="00B411CF"/>
    <w:rsid w:val="00B4186B"/>
    <w:rsid w:val="00B41FBA"/>
    <w:rsid w:val="00B41FDA"/>
    <w:rsid w:val="00B4231F"/>
    <w:rsid w:val="00B43022"/>
    <w:rsid w:val="00B4321F"/>
    <w:rsid w:val="00B4351F"/>
    <w:rsid w:val="00B4373E"/>
    <w:rsid w:val="00B4421F"/>
    <w:rsid w:val="00B442B6"/>
    <w:rsid w:val="00B44FB3"/>
    <w:rsid w:val="00B46C36"/>
    <w:rsid w:val="00B46F05"/>
    <w:rsid w:val="00B470B4"/>
    <w:rsid w:val="00B472A7"/>
    <w:rsid w:val="00B47394"/>
    <w:rsid w:val="00B475FA"/>
    <w:rsid w:val="00B500AE"/>
    <w:rsid w:val="00B50654"/>
    <w:rsid w:val="00B50C78"/>
    <w:rsid w:val="00B50D7E"/>
    <w:rsid w:val="00B5126F"/>
    <w:rsid w:val="00B51B30"/>
    <w:rsid w:val="00B52CD9"/>
    <w:rsid w:val="00B54241"/>
    <w:rsid w:val="00B5644B"/>
    <w:rsid w:val="00B56FB4"/>
    <w:rsid w:val="00B5702A"/>
    <w:rsid w:val="00B572AD"/>
    <w:rsid w:val="00B57612"/>
    <w:rsid w:val="00B57984"/>
    <w:rsid w:val="00B60DFE"/>
    <w:rsid w:val="00B614BC"/>
    <w:rsid w:val="00B61854"/>
    <w:rsid w:val="00B61E0D"/>
    <w:rsid w:val="00B62537"/>
    <w:rsid w:val="00B62841"/>
    <w:rsid w:val="00B63079"/>
    <w:rsid w:val="00B632A2"/>
    <w:rsid w:val="00B650CF"/>
    <w:rsid w:val="00B65306"/>
    <w:rsid w:val="00B65953"/>
    <w:rsid w:val="00B6622B"/>
    <w:rsid w:val="00B6642F"/>
    <w:rsid w:val="00B6649E"/>
    <w:rsid w:val="00B66CE1"/>
    <w:rsid w:val="00B66D05"/>
    <w:rsid w:val="00B67D5E"/>
    <w:rsid w:val="00B67FCC"/>
    <w:rsid w:val="00B70185"/>
    <w:rsid w:val="00B709BC"/>
    <w:rsid w:val="00B70E1E"/>
    <w:rsid w:val="00B71438"/>
    <w:rsid w:val="00B71913"/>
    <w:rsid w:val="00B71DCD"/>
    <w:rsid w:val="00B720AF"/>
    <w:rsid w:val="00B721A8"/>
    <w:rsid w:val="00B72731"/>
    <w:rsid w:val="00B72790"/>
    <w:rsid w:val="00B7339C"/>
    <w:rsid w:val="00B73C49"/>
    <w:rsid w:val="00B7457D"/>
    <w:rsid w:val="00B74B62"/>
    <w:rsid w:val="00B74CA5"/>
    <w:rsid w:val="00B751A3"/>
    <w:rsid w:val="00B752E2"/>
    <w:rsid w:val="00B76526"/>
    <w:rsid w:val="00B76D6A"/>
    <w:rsid w:val="00B77196"/>
    <w:rsid w:val="00B77635"/>
    <w:rsid w:val="00B77848"/>
    <w:rsid w:val="00B77EBF"/>
    <w:rsid w:val="00B804AE"/>
    <w:rsid w:val="00B8089B"/>
    <w:rsid w:val="00B825AA"/>
    <w:rsid w:val="00B826E6"/>
    <w:rsid w:val="00B8416F"/>
    <w:rsid w:val="00B84B5B"/>
    <w:rsid w:val="00B85091"/>
    <w:rsid w:val="00B8566A"/>
    <w:rsid w:val="00B8631C"/>
    <w:rsid w:val="00B86531"/>
    <w:rsid w:val="00B86AAD"/>
    <w:rsid w:val="00B879C4"/>
    <w:rsid w:val="00B87AD4"/>
    <w:rsid w:val="00B90652"/>
    <w:rsid w:val="00B90DE6"/>
    <w:rsid w:val="00B91547"/>
    <w:rsid w:val="00B91E2B"/>
    <w:rsid w:val="00B92119"/>
    <w:rsid w:val="00B927C3"/>
    <w:rsid w:val="00B92C7F"/>
    <w:rsid w:val="00B9362F"/>
    <w:rsid w:val="00B936DD"/>
    <w:rsid w:val="00B93A63"/>
    <w:rsid w:val="00B944B8"/>
    <w:rsid w:val="00B945C5"/>
    <w:rsid w:val="00B963CB"/>
    <w:rsid w:val="00B96F0F"/>
    <w:rsid w:val="00B97CF9"/>
    <w:rsid w:val="00BA0200"/>
    <w:rsid w:val="00BA08EB"/>
    <w:rsid w:val="00BA0DA2"/>
    <w:rsid w:val="00BA0EB2"/>
    <w:rsid w:val="00BA16FD"/>
    <w:rsid w:val="00BA22F3"/>
    <w:rsid w:val="00BA29FE"/>
    <w:rsid w:val="00BA3174"/>
    <w:rsid w:val="00BA3722"/>
    <w:rsid w:val="00BA3825"/>
    <w:rsid w:val="00BA66E2"/>
    <w:rsid w:val="00BA76FD"/>
    <w:rsid w:val="00BA7B04"/>
    <w:rsid w:val="00BB02AC"/>
    <w:rsid w:val="00BB0F04"/>
    <w:rsid w:val="00BB13A7"/>
    <w:rsid w:val="00BB14B6"/>
    <w:rsid w:val="00BB1699"/>
    <w:rsid w:val="00BB183D"/>
    <w:rsid w:val="00BB310B"/>
    <w:rsid w:val="00BB4499"/>
    <w:rsid w:val="00BB4A1C"/>
    <w:rsid w:val="00BB4E36"/>
    <w:rsid w:val="00BB5BDD"/>
    <w:rsid w:val="00BB688F"/>
    <w:rsid w:val="00BB6C0B"/>
    <w:rsid w:val="00BB6FFB"/>
    <w:rsid w:val="00BB7000"/>
    <w:rsid w:val="00BC082F"/>
    <w:rsid w:val="00BC157A"/>
    <w:rsid w:val="00BC165B"/>
    <w:rsid w:val="00BC22A3"/>
    <w:rsid w:val="00BC2E11"/>
    <w:rsid w:val="00BC34A8"/>
    <w:rsid w:val="00BC3782"/>
    <w:rsid w:val="00BC3B85"/>
    <w:rsid w:val="00BC448D"/>
    <w:rsid w:val="00BC45F2"/>
    <w:rsid w:val="00BC4FF7"/>
    <w:rsid w:val="00BC512B"/>
    <w:rsid w:val="00BC5768"/>
    <w:rsid w:val="00BC58A0"/>
    <w:rsid w:val="00BC5BBA"/>
    <w:rsid w:val="00BC5DAD"/>
    <w:rsid w:val="00BC6199"/>
    <w:rsid w:val="00BC62C9"/>
    <w:rsid w:val="00BC6C4D"/>
    <w:rsid w:val="00BC782F"/>
    <w:rsid w:val="00BC7C1F"/>
    <w:rsid w:val="00BD0329"/>
    <w:rsid w:val="00BD0FB8"/>
    <w:rsid w:val="00BD1562"/>
    <w:rsid w:val="00BD1A58"/>
    <w:rsid w:val="00BD239B"/>
    <w:rsid w:val="00BD333F"/>
    <w:rsid w:val="00BD3ADF"/>
    <w:rsid w:val="00BD4587"/>
    <w:rsid w:val="00BD4649"/>
    <w:rsid w:val="00BD4735"/>
    <w:rsid w:val="00BD4B91"/>
    <w:rsid w:val="00BD4D0C"/>
    <w:rsid w:val="00BD577A"/>
    <w:rsid w:val="00BD5BF7"/>
    <w:rsid w:val="00BD64E0"/>
    <w:rsid w:val="00BD6BB6"/>
    <w:rsid w:val="00BD6FE5"/>
    <w:rsid w:val="00BD7E8D"/>
    <w:rsid w:val="00BE1CFF"/>
    <w:rsid w:val="00BE2174"/>
    <w:rsid w:val="00BE34A6"/>
    <w:rsid w:val="00BE3592"/>
    <w:rsid w:val="00BE3A47"/>
    <w:rsid w:val="00BE3BD8"/>
    <w:rsid w:val="00BE3D2D"/>
    <w:rsid w:val="00BE40C7"/>
    <w:rsid w:val="00BE43AA"/>
    <w:rsid w:val="00BE475B"/>
    <w:rsid w:val="00BE52AF"/>
    <w:rsid w:val="00BE58F2"/>
    <w:rsid w:val="00BE5F67"/>
    <w:rsid w:val="00BE699B"/>
    <w:rsid w:val="00BE6CC0"/>
    <w:rsid w:val="00BE7169"/>
    <w:rsid w:val="00BE7289"/>
    <w:rsid w:val="00BE7C4F"/>
    <w:rsid w:val="00BF08B9"/>
    <w:rsid w:val="00BF0A10"/>
    <w:rsid w:val="00BF0BF2"/>
    <w:rsid w:val="00BF271B"/>
    <w:rsid w:val="00BF2CAA"/>
    <w:rsid w:val="00BF3478"/>
    <w:rsid w:val="00BF3FCC"/>
    <w:rsid w:val="00BF4406"/>
    <w:rsid w:val="00BF4549"/>
    <w:rsid w:val="00BF4656"/>
    <w:rsid w:val="00BF47AF"/>
    <w:rsid w:val="00BF54C7"/>
    <w:rsid w:val="00BF5F8E"/>
    <w:rsid w:val="00BF673A"/>
    <w:rsid w:val="00BF6C57"/>
    <w:rsid w:val="00BF7B9A"/>
    <w:rsid w:val="00BF7BBA"/>
    <w:rsid w:val="00BF7D90"/>
    <w:rsid w:val="00C015AB"/>
    <w:rsid w:val="00C01C4D"/>
    <w:rsid w:val="00C022AB"/>
    <w:rsid w:val="00C0261D"/>
    <w:rsid w:val="00C026D7"/>
    <w:rsid w:val="00C02765"/>
    <w:rsid w:val="00C028DD"/>
    <w:rsid w:val="00C0315F"/>
    <w:rsid w:val="00C0332C"/>
    <w:rsid w:val="00C03B56"/>
    <w:rsid w:val="00C03DFA"/>
    <w:rsid w:val="00C0422E"/>
    <w:rsid w:val="00C048F6"/>
    <w:rsid w:val="00C050C0"/>
    <w:rsid w:val="00C05A94"/>
    <w:rsid w:val="00C06129"/>
    <w:rsid w:val="00C0614E"/>
    <w:rsid w:val="00C06C11"/>
    <w:rsid w:val="00C0789C"/>
    <w:rsid w:val="00C079C7"/>
    <w:rsid w:val="00C07C85"/>
    <w:rsid w:val="00C07DED"/>
    <w:rsid w:val="00C101A3"/>
    <w:rsid w:val="00C10209"/>
    <w:rsid w:val="00C10271"/>
    <w:rsid w:val="00C10CE6"/>
    <w:rsid w:val="00C110D1"/>
    <w:rsid w:val="00C112F4"/>
    <w:rsid w:val="00C12564"/>
    <w:rsid w:val="00C12897"/>
    <w:rsid w:val="00C13086"/>
    <w:rsid w:val="00C13AC0"/>
    <w:rsid w:val="00C143D9"/>
    <w:rsid w:val="00C143F9"/>
    <w:rsid w:val="00C1466E"/>
    <w:rsid w:val="00C150EA"/>
    <w:rsid w:val="00C15878"/>
    <w:rsid w:val="00C15FA5"/>
    <w:rsid w:val="00C1701C"/>
    <w:rsid w:val="00C17940"/>
    <w:rsid w:val="00C20CAD"/>
    <w:rsid w:val="00C20D9E"/>
    <w:rsid w:val="00C20EE0"/>
    <w:rsid w:val="00C2136C"/>
    <w:rsid w:val="00C2166A"/>
    <w:rsid w:val="00C21A2B"/>
    <w:rsid w:val="00C2217E"/>
    <w:rsid w:val="00C2220B"/>
    <w:rsid w:val="00C2251E"/>
    <w:rsid w:val="00C22579"/>
    <w:rsid w:val="00C2261D"/>
    <w:rsid w:val="00C22A1C"/>
    <w:rsid w:val="00C22FC0"/>
    <w:rsid w:val="00C234EE"/>
    <w:rsid w:val="00C2377B"/>
    <w:rsid w:val="00C241BA"/>
    <w:rsid w:val="00C24757"/>
    <w:rsid w:val="00C24BEA"/>
    <w:rsid w:val="00C25FAA"/>
    <w:rsid w:val="00C264F9"/>
    <w:rsid w:val="00C27325"/>
    <w:rsid w:val="00C2775E"/>
    <w:rsid w:val="00C27884"/>
    <w:rsid w:val="00C27F5C"/>
    <w:rsid w:val="00C27F70"/>
    <w:rsid w:val="00C30167"/>
    <w:rsid w:val="00C30C98"/>
    <w:rsid w:val="00C317F1"/>
    <w:rsid w:val="00C31E9F"/>
    <w:rsid w:val="00C31FC5"/>
    <w:rsid w:val="00C32994"/>
    <w:rsid w:val="00C32FF2"/>
    <w:rsid w:val="00C33381"/>
    <w:rsid w:val="00C336A5"/>
    <w:rsid w:val="00C3437C"/>
    <w:rsid w:val="00C34F0A"/>
    <w:rsid w:val="00C3623E"/>
    <w:rsid w:val="00C36757"/>
    <w:rsid w:val="00C36A8D"/>
    <w:rsid w:val="00C36E00"/>
    <w:rsid w:val="00C37478"/>
    <w:rsid w:val="00C37CDC"/>
    <w:rsid w:val="00C40795"/>
    <w:rsid w:val="00C40943"/>
    <w:rsid w:val="00C40A18"/>
    <w:rsid w:val="00C40D18"/>
    <w:rsid w:val="00C41186"/>
    <w:rsid w:val="00C41727"/>
    <w:rsid w:val="00C41819"/>
    <w:rsid w:val="00C4188E"/>
    <w:rsid w:val="00C41FD9"/>
    <w:rsid w:val="00C420BB"/>
    <w:rsid w:val="00C42128"/>
    <w:rsid w:val="00C421CF"/>
    <w:rsid w:val="00C426C7"/>
    <w:rsid w:val="00C4299E"/>
    <w:rsid w:val="00C43F38"/>
    <w:rsid w:val="00C44B24"/>
    <w:rsid w:val="00C44B9F"/>
    <w:rsid w:val="00C44CC3"/>
    <w:rsid w:val="00C45D82"/>
    <w:rsid w:val="00C47864"/>
    <w:rsid w:val="00C47980"/>
    <w:rsid w:val="00C47FD4"/>
    <w:rsid w:val="00C500F2"/>
    <w:rsid w:val="00C5142D"/>
    <w:rsid w:val="00C51C6A"/>
    <w:rsid w:val="00C5322B"/>
    <w:rsid w:val="00C538CA"/>
    <w:rsid w:val="00C538D3"/>
    <w:rsid w:val="00C543A5"/>
    <w:rsid w:val="00C544E7"/>
    <w:rsid w:val="00C54693"/>
    <w:rsid w:val="00C5534C"/>
    <w:rsid w:val="00C556F6"/>
    <w:rsid w:val="00C5586F"/>
    <w:rsid w:val="00C565D5"/>
    <w:rsid w:val="00C56BBD"/>
    <w:rsid w:val="00C56E07"/>
    <w:rsid w:val="00C573A5"/>
    <w:rsid w:val="00C57416"/>
    <w:rsid w:val="00C57930"/>
    <w:rsid w:val="00C60C04"/>
    <w:rsid w:val="00C60FBE"/>
    <w:rsid w:val="00C61875"/>
    <w:rsid w:val="00C61B5A"/>
    <w:rsid w:val="00C626D9"/>
    <w:rsid w:val="00C629BF"/>
    <w:rsid w:val="00C62B19"/>
    <w:rsid w:val="00C62D98"/>
    <w:rsid w:val="00C6352F"/>
    <w:rsid w:val="00C646B1"/>
    <w:rsid w:val="00C64B87"/>
    <w:rsid w:val="00C653D0"/>
    <w:rsid w:val="00C6669C"/>
    <w:rsid w:val="00C6677C"/>
    <w:rsid w:val="00C6755F"/>
    <w:rsid w:val="00C67587"/>
    <w:rsid w:val="00C67AB5"/>
    <w:rsid w:val="00C700BA"/>
    <w:rsid w:val="00C71333"/>
    <w:rsid w:val="00C71CA9"/>
    <w:rsid w:val="00C71EAA"/>
    <w:rsid w:val="00C72324"/>
    <w:rsid w:val="00C725C7"/>
    <w:rsid w:val="00C72BE2"/>
    <w:rsid w:val="00C72E29"/>
    <w:rsid w:val="00C7370A"/>
    <w:rsid w:val="00C74B57"/>
    <w:rsid w:val="00C74F53"/>
    <w:rsid w:val="00C7580C"/>
    <w:rsid w:val="00C75B18"/>
    <w:rsid w:val="00C766A1"/>
    <w:rsid w:val="00C76B61"/>
    <w:rsid w:val="00C7718D"/>
    <w:rsid w:val="00C77F46"/>
    <w:rsid w:val="00C80832"/>
    <w:rsid w:val="00C814C5"/>
    <w:rsid w:val="00C830DC"/>
    <w:rsid w:val="00C8386C"/>
    <w:rsid w:val="00C83B33"/>
    <w:rsid w:val="00C83EC0"/>
    <w:rsid w:val="00C83F54"/>
    <w:rsid w:val="00C8422E"/>
    <w:rsid w:val="00C842A7"/>
    <w:rsid w:val="00C84389"/>
    <w:rsid w:val="00C84586"/>
    <w:rsid w:val="00C84F19"/>
    <w:rsid w:val="00C8583B"/>
    <w:rsid w:val="00C864AB"/>
    <w:rsid w:val="00C8679C"/>
    <w:rsid w:val="00C86A37"/>
    <w:rsid w:val="00C86D84"/>
    <w:rsid w:val="00C8760D"/>
    <w:rsid w:val="00C8774D"/>
    <w:rsid w:val="00C87B7D"/>
    <w:rsid w:val="00C918EB"/>
    <w:rsid w:val="00C91C6F"/>
    <w:rsid w:val="00C92209"/>
    <w:rsid w:val="00C92C74"/>
    <w:rsid w:val="00C93603"/>
    <w:rsid w:val="00C9371D"/>
    <w:rsid w:val="00C938DF"/>
    <w:rsid w:val="00C940F9"/>
    <w:rsid w:val="00C96214"/>
    <w:rsid w:val="00C964B7"/>
    <w:rsid w:val="00C96BF1"/>
    <w:rsid w:val="00C97055"/>
    <w:rsid w:val="00C971B5"/>
    <w:rsid w:val="00C9722F"/>
    <w:rsid w:val="00C9742F"/>
    <w:rsid w:val="00C9785A"/>
    <w:rsid w:val="00C97D7C"/>
    <w:rsid w:val="00CA0D60"/>
    <w:rsid w:val="00CA0DA3"/>
    <w:rsid w:val="00CA14E8"/>
    <w:rsid w:val="00CA3434"/>
    <w:rsid w:val="00CA3AFF"/>
    <w:rsid w:val="00CA3B91"/>
    <w:rsid w:val="00CA3DB9"/>
    <w:rsid w:val="00CA54DD"/>
    <w:rsid w:val="00CA6044"/>
    <w:rsid w:val="00CA6C7B"/>
    <w:rsid w:val="00CB121C"/>
    <w:rsid w:val="00CB12B1"/>
    <w:rsid w:val="00CB132B"/>
    <w:rsid w:val="00CB14F1"/>
    <w:rsid w:val="00CB1909"/>
    <w:rsid w:val="00CB21DC"/>
    <w:rsid w:val="00CB2C1E"/>
    <w:rsid w:val="00CB3577"/>
    <w:rsid w:val="00CB3A3A"/>
    <w:rsid w:val="00CB3AFA"/>
    <w:rsid w:val="00CB40D8"/>
    <w:rsid w:val="00CB45A1"/>
    <w:rsid w:val="00CB4981"/>
    <w:rsid w:val="00CB536A"/>
    <w:rsid w:val="00CB540D"/>
    <w:rsid w:val="00CB5504"/>
    <w:rsid w:val="00CB5910"/>
    <w:rsid w:val="00CB5EDD"/>
    <w:rsid w:val="00CB6234"/>
    <w:rsid w:val="00CB66C1"/>
    <w:rsid w:val="00CB68C6"/>
    <w:rsid w:val="00CB6ACF"/>
    <w:rsid w:val="00CB740B"/>
    <w:rsid w:val="00CB7F3B"/>
    <w:rsid w:val="00CC09F4"/>
    <w:rsid w:val="00CC1394"/>
    <w:rsid w:val="00CC1507"/>
    <w:rsid w:val="00CC1557"/>
    <w:rsid w:val="00CC2170"/>
    <w:rsid w:val="00CC237F"/>
    <w:rsid w:val="00CC27F8"/>
    <w:rsid w:val="00CC376A"/>
    <w:rsid w:val="00CC3D49"/>
    <w:rsid w:val="00CC4AF1"/>
    <w:rsid w:val="00CC4FC8"/>
    <w:rsid w:val="00CC5E10"/>
    <w:rsid w:val="00CC7000"/>
    <w:rsid w:val="00CC740C"/>
    <w:rsid w:val="00CC76DF"/>
    <w:rsid w:val="00CC79C8"/>
    <w:rsid w:val="00CC7FE9"/>
    <w:rsid w:val="00CD05D6"/>
    <w:rsid w:val="00CD0965"/>
    <w:rsid w:val="00CD0BED"/>
    <w:rsid w:val="00CD184B"/>
    <w:rsid w:val="00CD19D1"/>
    <w:rsid w:val="00CD1E8F"/>
    <w:rsid w:val="00CD31DF"/>
    <w:rsid w:val="00CD518F"/>
    <w:rsid w:val="00CD5863"/>
    <w:rsid w:val="00CD58BE"/>
    <w:rsid w:val="00CD5959"/>
    <w:rsid w:val="00CD5986"/>
    <w:rsid w:val="00CD6C8D"/>
    <w:rsid w:val="00CD7027"/>
    <w:rsid w:val="00CD774F"/>
    <w:rsid w:val="00CD775B"/>
    <w:rsid w:val="00CD7A31"/>
    <w:rsid w:val="00CD7CCD"/>
    <w:rsid w:val="00CD7EFC"/>
    <w:rsid w:val="00CE1863"/>
    <w:rsid w:val="00CE1FA3"/>
    <w:rsid w:val="00CE20F9"/>
    <w:rsid w:val="00CE301D"/>
    <w:rsid w:val="00CE42A5"/>
    <w:rsid w:val="00CE4384"/>
    <w:rsid w:val="00CE47E3"/>
    <w:rsid w:val="00CE4907"/>
    <w:rsid w:val="00CE5739"/>
    <w:rsid w:val="00CE5935"/>
    <w:rsid w:val="00CE6222"/>
    <w:rsid w:val="00CE6421"/>
    <w:rsid w:val="00CE6565"/>
    <w:rsid w:val="00CE69F2"/>
    <w:rsid w:val="00CE74B1"/>
    <w:rsid w:val="00CF0B0F"/>
    <w:rsid w:val="00CF16E8"/>
    <w:rsid w:val="00CF18C0"/>
    <w:rsid w:val="00CF1ABA"/>
    <w:rsid w:val="00CF21E5"/>
    <w:rsid w:val="00CF2248"/>
    <w:rsid w:val="00CF267C"/>
    <w:rsid w:val="00CF29C4"/>
    <w:rsid w:val="00CF35C1"/>
    <w:rsid w:val="00CF383D"/>
    <w:rsid w:val="00CF38A1"/>
    <w:rsid w:val="00CF38D7"/>
    <w:rsid w:val="00CF3C08"/>
    <w:rsid w:val="00CF3EDA"/>
    <w:rsid w:val="00CF4E62"/>
    <w:rsid w:val="00CF5006"/>
    <w:rsid w:val="00CF645D"/>
    <w:rsid w:val="00CF679A"/>
    <w:rsid w:val="00CF709C"/>
    <w:rsid w:val="00CF710B"/>
    <w:rsid w:val="00CF7A1C"/>
    <w:rsid w:val="00D00124"/>
    <w:rsid w:val="00D00947"/>
    <w:rsid w:val="00D012B9"/>
    <w:rsid w:val="00D013EC"/>
    <w:rsid w:val="00D015F7"/>
    <w:rsid w:val="00D01B05"/>
    <w:rsid w:val="00D01BDD"/>
    <w:rsid w:val="00D01C30"/>
    <w:rsid w:val="00D01DD8"/>
    <w:rsid w:val="00D03069"/>
    <w:rsid w:val="00D03F41"/>
    <w:rsid w:val="00D052D1"/>
    <w:rsid w:val="00D05513"/>
    <w:rsid w:val="00D057FC"/>
    <w:rsid w:val="00D05F19"/>
    <w:rsid w:val="00D07215"/>
    <w:rsid w:val="00D074B9"/>
    <w:rsid w:val="00D07AF1"/>
    <w:rsid w:val="00D10825"/>
    <w:rsid w:val="00D1088C"/>
    <w:rsid w:val="00D11561"/>
    <w:rsid w:val="00D11994"/>
    <w:rsid w:val="00D12A3A"/>
    <w:rsid w:val="00D13077"/>
    <w:rsid w:val="00D130FF"/>
    <w:rsid w:val="00D13777"/>
    <w:rsid w:val="00D14098"/>
    <w:rsid w:val="00D14ABD"/>
    <w:rsid w:val="00D152E4"/>
    <w:rsid w:val="00D1568E"/>
    <w:rsid w:val="00D15718"/>
    <w:rsid w:val="00D172C1"/>
    <w:rsid w:val="00D17B7D"/>
    <w:rsid w:val="00D17EF7"/>
    <w:rsid w:val="00D20793"/>
    <w:rsid w:val="00D21053"/>
    <w:rsid w:val="00D21166"/>
    <w:rsid w:val="00D212DC"/>
    <w:rsid w:val="00D21324"/>
    <w:rsid w:val="00D21BA9"/>
    <w:rsid w:val="00D2247E"/>
    <w:rsid w:val="00D2325F"/>
    <w:rsid w:val="00D23745"/>
    <w:rsid w:val="00D2374C"/>
    <w:rsid w:val="00D238B5"/>
    <w:rsid w:val="00D250BE"/>
    <w:rsid w:val="00D2522F"/>
    <w:rsid w:val="00D25BDF"/>
    <w:rsid w:val="00D25FD3"/>
    <w:rsid w:val="00D26112"/>
    <w:rsid w:val="00D26182"/>
    <w:rsid w:val="00D275C8"/>
    <w:rsid w:val="00D2785F"/>
    <w:rsid w:val="00D2798D"/>
    <w:rsid w:val="00D3027A"/>
    <w:rsid w:val="00D313B9"/>
    <w:rsid w:val="00D31546"/>
    <w:rsid w:val="00D3219F"/>
    <w:rsid w:val="00D327EE"/>
    <w:rsid w:val="00D32DAF"/>
    <w:rsid w:val="00D3409B"/>
    <w:rsid w:val="00D34ED6"/>
    <w:rsid w:val="00D35B3D"/>
    <w:rsid w:val="00D35D9A"/>
    <w:rsid w:val="00D35EF0"/>
    <w:rsid w:val="00D36303"/>
    <w:rsid w:val="00D36AAE"/>
    <w:rsid w:val="00D37C58"/>
    <w:rsid w:val="00D37F04"/>
    <w:rsid w:val="00D407B7"/>
    <w:rsid w:val="00D40D25"/>
    <w:rsid w:val="00D41418"/>
    <w:rsid w:val="00D42184"/>
    <w:rsid w:val="00D427F7"/>
    <w:rsid w:val="00D43132"/>
    <w:rsid w:val="00D4398F"/>
    <w:rsid w:val="00D43AB3"/>
    <w:rsid w:val="00D43E69"/>
    <w:rsid w:val="00D464E0"/>
    <w:rsid w:val="00D46504"/>
    <w:rsid w:val="00D466D0"/>
    <w:rsid w:val="00D4730F"/>
    <w:rsid w:val="00D47767"/>
    <w:rsid w:val="00D503D6"/>
    <w:rsid w:val="00D50ECB"/>
    <w:rsid w:val="00D511E5"/>
    <w:rsid w:val="00D5124B"/>
    <w:rsid w:val="00D513B3"/>
    <w:rsid w:val="00D51E2D"/>
    <w:rsid w:val="00D52775"/>
    <w:rsid w:val="00D52B1B"/>
    <w:rsid w:val="00D52E53"/>
    <w:rsid w:val="00D52FDA"/>
    <w:rsid w:val="00D5378A"/>
    <w:rsid w:val="00D53F57"/>
    <w:rsid w:val="00D547A1"/>
    <w:rsid w:val="00D54EF8"/>
    <w:rsid w:val="00D550C4"/>
    <w:rsid w:val="00D55368"/>
    <w:rsid w:val="00D557C8"/>
    <w:rsid w:val="00D557EF"/>
    <w:rsid w:val="00D55A25"/>
    <w:rsid w:val="00D5626A"/>
    <w:rsid w:val="00D562A6"/>
    <w:rsid w:val="00D563DD"/>
    <w:rsid w:val="00D572EF"/>
    <w:rsid w:val="00D57981"/>
    <w:rsid w:val="00D57CDE"/>
    <w:rsid w:val="00D57E71"/>
    <w:rsid w:val="00D6050A"/>
    <w:rsid w:val="00D60854"/>
    <w:rsid w:val="00D61694"/>
    <w:rsid w:val="00D618ED"/>
    <w:rsid w:val="00D61E93"/>
    <w:rsid w:val="00D620E0"/>
    <w:rsid w:val="00D62DA7"/>
    <w:rsid w:val="00D62F2F"/>
    <w:rsid w:val="00D63E1A"/>
    <w:rsid w:val="00D65076"/>
    <w:rsid w:val="00D6534F"/>
    <w:rsid w:val="00D657CB"/>
    <w:rsid w:val="00D65BC8"/>
    <w:rsid w:val="00D66589"/>
    <w:rsid w:val="00D6662E"/>
    <w:rsid w:val="00D66680"/>
    <w:rsid w:val="00D66787"/>
    <w:rsid w:val="00D66A9C"/>
    <w:rsid w:val="00D66B66"/>
    <w:rsid w:val="00D66C99"/>
    <w:rsid w:val="00D67893"/>
    <w:rsid w:val="00D67A53"/>
    <w:rsid w:val="00D67F4A"/>
    <w:rsid w:val="00D7039E"/>
    <w:rsid w:val="00D70524"/>
    <w:rsid w:val="00D70AE0"/>
    <w:rsid w:val="00D70E57"/>
    <w:rsid w:val="00D71233"/>
    <w:rsid w:val="00D71C72"/>
    <w:rsid w:val="00D71CE5"/>
    <w:rsid w:val="00D71E11"/>
    <w:rsid w:val="00D72CB8"/>
    <w:rsid w:val="00D73211"/>
    <w:rsid w:val="00D73244"/>
    <w:rsid w:val="00D73916"/>
    <w:rsid w:val="00D73DA8"/>
    <w:rsid w:val="00D75140"/>
    <w:rsid w:val="00D751BC"/>
    <w:rsid w:val="00D75D0B"/>
    <w:rsid w:val="00D75D74"/>
    <w:rsid w:val="00D76659"/>
    <w:rsid w:val="00D76BD8"/>
    <w:rsid w:val="00D76D82"/>
    <w:rsid w:val="00D776A4"/>
    <w:rsid w:val="00D77941"/>
    <w:rsid w:val="00D779FE"/>
    <w:rsid w:val="00D77AC2"/>
    <w:rsid w:val="00D77D67"/>
    <w:rsid w:val="00D803A3"/>
    <w:rsid w:val="00D807BC"/>
    <w:rsid w:val="00D82F68"/>
    <w:rsid w:val="00D837A9"/>
    <w:rsid w:val="00D83B08"/>
    <w:rsid w:val="00D83DE6"/>
    <w:rsid w:val="00D8426D"/>
    <w:rsid w:val="00D844AB"/>
    <w:rsid w:val="00D844CD"/>
    <w:rsid w:val="00D84971"/>
    <w:rsid w:val="00D85588"/>
    <w:rsid w:val="00D85E1E"/>
    <w:rsid w:val="00D85FF6"/>
    <w:rsid w:val="00D8627D"/>
    <w:rsid w:val="00D86479"/>
    <w:rsid w:val="00D864E4"/>
    <w:rsid w:val="00D86959"/>
    <w:rsid w:val="00D87A8D"/>
    <w:rsid w:val="00D87EFF"/>
    <w:rsid w:val="00D900B0"/>
    <w:rsid w:val="00D90699"/>
    <w:rsid w:val="00D9113E"/>
    <w:rsid w:val="00D91140"/>
    <w:rsid w:val="00D91C84"/>
    <w:rsid w:val="00D92646"/>
    <w:rsid w:val="00D93D1C"/>
    <w:rsid w:val="00D94272"/>
    <w:rsid w:val="00D94DBA"/>
    <w:rsid w:val="00D95314"/>
    <w:rsid w:val="00D95CDF"/>
    <w:rsid w:val="00D961C8"/>
    <w:rsid w:val="00D9648D"/>
    <w:rsid w:val="00D96D61"/>
    <w:rsid w:val="00DA05CF"/>
    <w:rsid w:val="00DA0A73"/>
    <w:rsid w:val="00DA0D29"/>
    <w:rsid w:val="00DA10ED"/>
    <w:rsid w:val="00DA16F7"/>
    <w:rsid w:val="00DA2820"/>
    <w:rsid w:val="00DA429D"/>
    <w:rsid w:val="00DA4559"/>
    <w:rsid w:val="00DA47BC"/>
    <w:rsid w:val="00DA5121"/>
    <w:rsid w:val="00DA6141"/>
    <w:rsid w:val="00DA6A9B"/>
    <w:rsid w:val="00DA7752"/>
    <w:rsid w:val="00DA784F"/>
    <w:rsid w:val="00DB00CF"/>
    <w:rsid w:val="00DB029F"/>
    <w:rsid w:val="00DB0735"/>
    <w:rsid w:val="00DB08F3"/>
    <w:rsid w:val="00DB09A6"/>
    <w:rsid w:val="00DB11E6"/>
    <w:rsid w:val="00DB1467"/>
    <w:rsid w:val="00DB2371"/>
    <w:rsid w:val="00DB3333"/>
    <w:rsid w:val="00DB379E"/>
    <w:rsid w:val="00DB39B4"/>
    <w:rsid w:val="00DB3EF2"/>
    <w:rsid w:val="00DB5194"/>
    <w:rsid w:val="00DB51A8"/>
    <w:rsid w:val="00DB5614"/>
    <w:rsid w:val="00DB5A5E"/>
    <w:rsid w:val="00DB687A"/>
    <w:rsid w:val="00DB6F81"/>
    <w:rsid w:val="00DB71CF"/>
    <w:rsid w:val="00DB71E2"/>
    <w:rsid w:val="00DB7E97"/>
    <w:rsid w:val="00DC0FF1"/>
    <w:rsid w:val="00DC121B"/>
    <w:rsid w:val="00DC1324"/>
    <w:rsid w:val="00DC1B55"/>
    <w:rsid w:val="00DC409C"/>
    <w:rsid w:val="00DC41D2"/>
    <w:rsid w:val="00DC44AF"/>
    <w:rsid w:val="00DC4C9B"/>
    <w:rsid w:val="00DC50A7"/>
    <w:rsid w:val="00DC54AD"/>
    <w:rsid w:val="00DC596A"/>
    <w:rsid w:val="00DC5F47"/>
    <w:rsid w:val="00DC68E0"/>
    <w:rsid w:val="00DD0065"/>
    <w:rsid w:val="00DD01EE"/>
    <w:rsid w:val="00DD076E"/>
    <w:rsid w:val="00DD0B3D"/>
    <w:rsid w:val="00DD0EF4"/>
    <w:rsid w:val="00DD10B2"/>
    <w:rsid w:val="00DD1378"/>
    <w:rsid w:val="00DD150E"/>
    <w:rsid w:val="00DD19AD"/>
    <w:rsid w:val="00DD22B0"/>
    <w:rsid w:val="00DD3070"/>
    <w:rsid w:val="00DD3255"/>
    <w:rsid w:val="00DD3597"/>
    <w:rsid w:val="00DD364F"/>
    <w:rsid w:val="00DD36E6"/>
    <w:rsid w:val="00DD38D6"/>
    <w:rsid w:val="00DD4C0D"/>
    <w:rsid w:val="00DD7257"/>
    <w:rsid w:val="00DD7D9C"/>
    <w:rsid w:val="00DE0A32"/>
    <w:rsid w:val="00DE0FEF"/>
    <w:rsid w:val="00DE140E"/>
    <w:rsid w:val="00DE15EC"/>
    <w:rsid w:val="00DE18C5"/>
    <w:rsid w:val="00DE22BA"/>
    <w:rsid w:val="00DE2501"/>
    <w:rsid w:val="00DE34A8"/>
    <w:rsid w:val="00DE393B"/>
    <w:rsid w:val="00DE3AD4"/>
    <w:rsid w:val="00DE3E2F"/>
    <w:rsid w:val="00DE489B"/>
    <w:rsid w:val="00DE4A09"/>
    <w:rsid w:val="00DE4A19"/>
    <w:rsid w:val="00DE5298"/>
    <w:rsid w:val="00DE561A"/>
    <w:rsid w:val="00DE5B8D"/>
    <w:rsid w:val="00DE70FB"/>
    <w:rsid w:val="00DE72F9"/>
    <w:rsid w:val="00DF02B6"/>
    <w:rsid w:val="00DF0BDF"/>
    <w:rsid w:val="00DF1563"/>
    <w:rsid w:val="00DF17F3"/>
    <w:rsid w:val="00DF3071"/>
    <w:rsid w:val="00DF3D52"/>
    <w:rsid w:val="00DF3D96"/>
    <w:rsid w:val="00DF3DBD"/>
    <w:rsid w:val="00DF4001"/>
    <w:rsid w:val="00DF4478"/>
    <w:rsid w:val="00DF45E2"/>
    <w:rsid w:val="00DF4BBD"/>
    <w:rsid w:val="00DF5837"/>
    <w:rsid w:val="00DF6892"/>
    <w:rsid w:val="00DF73B7"/>
    <w:rsid w:val="00DF7448"/>
    <w:rsid w:val="00DF7D03"/>
    <w:rsid w:val="00DF7FC0"/>
    <w:rsid w:val="00E015B1"/>
    <w:rsid w:val="00E02292"/>
    <w:rsid w:val="00E022CB"/>
    <w:rsid w:val="00E02494"/>
    <w:rsid w:val="00E02FA5"/>
    <w:rsid w:val="00E040BA"/>
    <w:rsid w:val="00E04A08"/>
    <w:rsid w:val="00E04AB2"/>
    <w:rsid w:val="00E05758"/>
    <w:rsid w:val="00E05AE4"/>
    <w:rsid w:val="00E066A2"/>
    <w:rsid w:val="00E06DC4"/>
    <w:rsid w:val="00E075A7"/>
    <w:rsid w:val="00E07B2F"/>
    <w:rsid w:val="00E10769"/>
    <w:rsid w:val="00E10F19"/>
    <w:rsid w:val="00E11C17"/>
    <w:rsid w:val="00E12D9C"/>
    <w:rsid w:val="00E1375D"/>
    <w:rsid w:val="00E13CAB"/>
    <w:rsid w:val="00E14261"/>
    <w:rsid w:val="00E14D75"/>
    <w:rsid w:val="00E15982"/>
    <w:rsid w:val="00E1646D"/>
    <w:rsid w:val="00E16C47"/>
    <w:rsid w:val="00E16C60"/>
    <w:rsid w:val="00E201CF"/>
    <w:rsid w:val="00E202B8"/>
    <w:rsid w:val="00E20516"/>
    <w:rsid w:val="00E20AC2"/>
    <w:rsid w:val="00E214CA"/>
    <w:rsid w:val="00E21551"/>
    <w:rsid w:val="00E21FE9"/>
    <w:rsid w:val="00E22FFB"/>
    <w:rsid w:val="00E23613"/>
    <w:rsid w:val="00E23889"/>
    <w:rsid w:val="00E23ACB"/>
    <w:rsid w:val="00E23D5D"/>
    <w:rsid w:val="00E24218"/>
    <w:rsid w:val="00E249B5"/>
    <w:rsid w:val="00E24E6B"/>
    <w:rsid w:val="00E24F0E"/>
    <w:rsid w:val="00E257CD"/>
    <w:rsid w:val="00E257F5"/>
    <w:rsid w:val="00E25AFA"/>
    <w:rsid w:val="00E25CB6"/>
    <w:rsid w:val="00E267BD"/>
    <w:rsid w:val="00E26B9E"/>
    <w:rsid w:val="00E26D94"/>
    <w:rsid w:val="00E274A5"/>
    <w:rsid w:val="00E2771C"/>
    <w:rsid w:val="00E27B1F"/>
    <w:rsid w:val="00E3090B"/>
    <w:rsid w:val="00E30D5B"/>
    <w:rsid w:val="00E30EBF"/>
    <w:rsid w:val="00E314B1"/>
    <w:rsid w:val="00E3202A"/>
    <w:rsid w:val="00E322A5"/>
    <w:rsid w:val="00E3344D"/>
    <w:rsid w:val="00E3388D"/>
    <w:rsid w:val="00E33C1A"/>
    <w:rsid w:val="00E341E5"/>
    <w:rsid w:val="00E346C2"/>
    <w:rsid w:val="00E34969"/>
    <w:rsid w:val="00E34AC0"/>
    <w:rsid w:val="00E34E28"/>
    <w:rsid w:val="00E34F4B"/>
    <w:rsid w:val="00E352EF"/>
    <w:rsid w:val="00E3550A"/>
    <w:rsid w:val="00E35760"/>
    <w:rsid w:val="00E372CA"/>
    <w:rsid w:val="00E37956"/>
    <w:rsid w:val="00E37A1E"/>
    <w:rsid w:val="00E37A80"/>
    <w:rsid w:val="00E37C1A"/>
    <w:rsid w:val="00E37EB1"/>
    <w:rsid w:val="00E401ED"/>
    <w:rsid w:val="00E4059C"/>
    <w:rsid w:val="00E41318"/>
    <w:rsid w:val="00E41332"/>
    <w:rsid w:val="00E424B1"/>
    <w:rsid w:val="00E42C20"/>
    <w:rsid w:val="00E43394"/>
    <w:rsid w:val="00E43FD3"/>
    <w:rsid w:val="00E44B57"/>
    <w:rsid w:val="00E4540A"/>
    <w:rsid w:val="00E4544E"/>
    <w:rsid w:val="00E45581"/>
    <w:rsid w:val="00E460E2"/>
    <w:rsid w:val="00E474EA"/>
    <w:rsid w:val="00E50187"/>
    <w:rsid w:val="00E50A16"/>
    <w:rsid w:val="00E510C5"/>
    <w:rsid w:val="00E51A73"/>
    <w:rsid w:val="00E51DA4"/>
    <w:rsid w:val="00E51EB8"/>
    <w:rsid w:val="00E521F4"/>
    <w:rsid w:val="00E53699"/>
    <w:rsid w:val="00E53DC3"/>
    <w:rsid w:val="00E54D50"/>
    <w:rsid w:val="00E55BCA"/>
    <w:rsid w:val="00E55F7E"/>
    <w:rsid w:val="00E564F5"/>
    <w:rsid w:val="00E57858"/>
    <w:rsid w:val="00E57B0B"/>
    <w:rsid w:val="00E57EDE"/>
    <w:rsid w:val="00E57F67"/>
    <w:rsid w:val="00E60AF7"/>
    <w:rsid w:val="00E61655"/>
    <w:rsid w:val="00E619EF"/>
    <w:rsid w:val="00E61E0A"/>
    <w:rsid w:val="00E61EDC"/>
    <w:rsid w:val="00E6286E"/>
    <w:rsid w:val="00E63796"/>
    <w:rsid w:val="00E63882"/>
    <w:rsid w:val="00E63A8B"/>
    <w:rsid w:val="00E63E05"/>
    <w:rsid w:val="00E642F3"/>
    <w:rsid w:val="00E64FA7"/>
    <w:rsid w:val="00E67300"/>
    <w:rsid w:val="00E673D1"/>
    <w:rsid w:val="00E7012D"/>
    <w:rsid w:val="00E704B9"/>
    <w:rsid w:val="00E717C9"/>
    <w:rsid w:val="00E7183E"/>
    <w:rsid w:val="00E722FF"/>
    <w:rsid w:val="00E727BF"/>
    <w:rsid w:val="00E72F0E"/>
    <w:rsid w:val="00E766FB"/>
    <w:rsid w:val="00E769A3"/>
    <w:rsid w:val="00E769F2"/>
    <w:rsid w:val="00E77782"/>
    <w:rsid w:val="00E80251"/>
    <w:rsid w:val="00E80350"/>
    <w:rsid w:val="00E81199"/>
    <w:rsid w:val="00E81261"/>
    <w:rsid w:val="00E8219B"/>
    <w:rsid w:val="00E8263A"/>
    <w:rsid w:val="00E82D33"/>
    <w:rsid w:val="00E8319A"/>
    <w:rsid w:val="00E83475"/>
    <w:rsid w:val="00E83774"/>
    <w:rsid w:val="00E83827"/>
    <w:rsid w:val="00E83991"/>
    <w:rsid w:val="00E839DD"/>
    <w:rsid w:val="00E83C66"/>
    <w:rsid w:val="00E84357"/>
    <w:rsid w:val="00E8463F"/>
    <w:rsid w:val="00E84BE5"/>
    <w:rsid w:val="00E84DAF"/>
    <w:rsid w:val="00E84EF7"/>
    <w:rsid w:val="00E857B4"/>
    <w:rsid w:val="00E85A15"/>
    <w:rsid w:val="00E85DE2"/>
    <w:rsid w:val="00E862C8"/>
    <w:rsid w:val="00E86A87"/>
    <w:rsid w:val="00E86B73"/>
    <w:rsid w:val="00E875AF"/>
    <w:rsid w:val="00E90347"/>
    <w:rsid w:val="00E90FA0"/>
    <w:rsid w:val="00E92BD7"/>
    <w:rsid w:val="00E92E91"/>
    <w:rsid w:val="00E92F3F"/>
    <w:rsid w:val="00E93D08"/>
    <w:rsid w:val="00E93D5F"/>
    <w:rsid w:val="00E9464E"/>
    <w:rsid w:val="00E94BB3"/>
    <w:rsid w:val="00E94BF6"/>
    <w:rsid w:val="00E94F05"/>
    <w:rsid w:val="00E96324"/>
    <w:rsid w:val="00E96C7A"/>
    <w:rsid w:val="00E96F12"/>
    <w:rsid w:val="00E97743"/>
    <w:rsid w:val="00E979C8"/>
    <w:rsid w:val="00EA00E7"/>
    <w:rsid w:val="00EA135F"/>
    <w:rsid w:val="00EA1AC4"/>
    <w:rsid w:val="00EA1F37"/>
    <w:rsid w:val="00EA2061"/>
    <w:rsid w:val="00EA20D9"/>
    <w:rsid w:val="00EA22CB"/>
    <w:rsid w:val="00EA2405"/>
    <w:rsid w:val="00EA3F60"/>
    <w:rsid w:val="00EA417C"/>
    <w:rsid w:val="00EA59D7"/>
    <w:rsid w:val="00EA5A92"/>
    <w:rsid w:val="00EA5AA5"/>
    <w:rsid w:val="00EA5C73"/>
    <w:rsid w:val="00EA6B52"/>
    <w:rsid w:val="00EA6EFD"/>
    <w:rsid w:val="00EA78C2"/>
    <w:rsid w:val="00EA7EC8"/>
    <w:rsid w:val="00EB0FA6"/>
    <w:rsid w:val="00EB11E4"/>
    <w:rsid w:val="00EB1648"/>
    <w:rsid w:val="00EB1963"/>
    <w:rsid w:val="00EB1D8F"/>
    <w:rsid w:val="00EB2517"/>
    <w:rsid w:val="00EB28DD"/>
    <w:rsid w:val="00EB2B42"/>
    <w:rsid w:val="00EB3681"/>
    <w:rsid w:val="00EB44B8"/>
    <w:rsid w:val="00EB5301"/>
    <w:rsid w:val="00EB5603"/>
    <w:rsid w:val="00EB5AF3"/>
    <w:rsid w:val="00EB6211"/>
    <w:rsid w:val="00EB62AC"/>
    <w:rsid w:val="00EB64FF"/>
    <w:rsid w:val="00EB65A3"/>
    <w:rsid w:val="00EB76B0"/>
    <w:rsid w:val="00EB7FF9"/>
    <w:rsid w:val="00EC0A6F"/>
    <w:rsid w:val="00EC248C"/>
    <w:rsid w:val="00EC3DCB"/>
    <w:rsid w:val="00EC55FC"/>
    <w:rsid w:val="00EC5B9B"/>
    <w:rsid w:val="00EC631F"/>
    <w:rsid w:val="00EC64BC"/>
    <w:rsid w:val="00EC69BA"/>
    <w:rsid w:val="00EC6C5B"/>
    <w:rsid w:val="00EC72DF"/>
    <w:rsid w:val="00EC7729"/>
    <w:rsid w:val="00EC7C45"/>
    <w:rsid w:val="00ED0574"/>
    <w:rsid w:val="00ED07CB"/>
    <w:rsid w:val="00ED0A3B"/>
    <w:rsid w:val="00ED142A"/>
    <w:rsid w:val="00ED1EBD"/>
    <w:rsid w:val="00ED23AC"/>
    <w:rsid w:val="00ED2466"/>
    <w:rsid w:val="00ED2ACA"/>
    <w:rsid w:val="00ED4291"/>
    <w:rsid w:val="00ED484C"/>
    <w:rsid w:val="00ED492B"/>
    <w:rsid w:val="00ED5864"/>
    <w:rsid w:val="00ED60E3"/>
    <w:rsid w:val="00ED6643"/>
    <w:rsid w:val="00ED6849"/>
    <w:rsid w:val="00EE0116"/>
    <w:rsid w:val="00EE1062"/>
    <w:rsid w:val="00EE108C"/>
    <w:rsid w:val="00EE21BB"/>
    <w:rsid w:val="00EE26B7"/>
    <w:rsid w:val="00EE2A7E"/>
    <w:rsid w:val="00EE2B67"/>
    <w:rsid w:val="00EE37ED"/>
    <w:rsid w:val="00EE3AA0"/>
    <w:rsid w:val="00EE55D6"/>
    <w:rsid w:val="00EE5BAB"/>
    <w:rsid w:val="00EE60E8"/>
    <w:rsid w:val="00EE63DE"/>
    <w:rsid w:val="00EE66D2"/>
    <w:rsid w:val="00EE70A0"/>
    <w:rsid w:val="00EE726F"/>
    <w:rsid w:val="00EE73D8"/>
    <w:rsid w:val="00EE753A"/>
    <w:rsid w:val="00EF03C5"/>
    <w:rsid w:val="00EF092F"/>
    <w:rsid w:val="00EF0DED"/>
    <w:rsid w:val="00EF13CB"/>
    <w:rsid w:val="00EF1A54"/>
    <w:rsid w:val="00EF1C65"/>
    <w:rsid w:val="00EF1DA1"/>
    <w:rsid w:val="00EF256E"/>
    <w:rsid w:val="00EF263A"/>
    <w:rsid w:val="00EF3A18"/>
    <w:rsid w:val="00EF3B10"/>
    <w:rsid w:val="00EF3D1F"/>
    <w:rsid w:val="00EF3E20"/>
    <w:rsid w:val="00EF453D"/>
    <w:rsid w:val="00EF4FDF"/>
    <w:rsid w:val="00EF53FA"/>
    <w:rsid w:val="00EF624B"/>
    <w:rsid w:val="00EF65EE"/>
    <w:rsid w:val="00EF71C4"/>
    <w:rsid w:val="00EF7356"/>
    <w:rsid w:val="00EF7570"/>
    <w:rsid w:val="00EF7745"/>
    <w:rsid w:val="00F008E2"/>
    <w:rsid w:val="00F00D13"/>
    <w:rsid w:val="00F015F8"/>
    <w:rsid w:val="00F018A1"/>
    <w:rsid w:val="00F02095"/>
    <w:rsid w:val="00F02417"/>
    <w:rsid w:val="00F02648"/>
    <w:rsid w:val="00F02652"/>
    <w:rsid w:val="00F0291E"/>
    <w:rsid w:val="00F02EA8"/>
    <w:rsid w:val="00F03364"/>
    <w:rsid w:val="00F041B8"/>
    <w:rsid w:val="00F0546D"/>
    <w:rsid w:val="00F054DA"/>
    <w:rsid w:val="00F05500"/>
    <w:rsid w:val="00F0578E"/>
    <w:rsid w:val="00F059F4"/>
    <w:rsid w:val="00F05C60"/>
    <w:rsid w:val="00F05D39"/>
    <w:rsid w:val="00F05FAF"/>
    <w:rsid w:val="00F06B1B"/>
    <w:rsid w:val="00F07153"/>
    <w:rsid w:val="00F071C6"/>
    <w:rsid w:val="00F07B32"/>
    <w:rsid w:val="00F07FD1"/>
    <w:rsid w:val="00F10151"/>
    <w:rsid w:val="00F11B51"/>
    <w:rsid w:val="00F12480"/>
    <w:rsid w:val="00F128E6"/>
    <w:rsid w:val="00F13C2C"/>
    <w:rsid w:val="00F13C72"/>
    <w:rsid w:val="00F151D9"/>
    <w:rsid w:val="00F15236"/>
    <w:rsid w:val="00F15332"/>
    <w:rsid w:val="00F15384"/>
    <w:rsid w:val="00F15732"/>
    <w:rsid w:val="00F15788"/>
    <w:rsid w:val="00F15BCC"/>
    <w:rsid w:val="00F169D7"/>
    <w:rsid w:val="00F16D03"/>
    <w:rsid w:val="00F16D2B"/>
    <w:rsid w:val="00F16E3F"/>
    <w:rsid w:val="00F17488"/>
    <w:rsid w:val="00F17958"/>
    <w:rsid w:val="00F2043E"/>
    <w:rsid w:val="00F2087A"/>
    <w:rsid w:val="00F20D56"/>
    <w:rsid w:val="00F21164"/>
    <w:rsid w:val="00F222CF"/>
    <w:rsid w:val="00F22B76"/>
    <w:rsid w:val="00F22D83"/>
    <w:rsid w:val="00F23A2B"/>
    <w:rsid w:val="00F241A7"/>
    <w:rsid w:val="00F2435B"/>
    <w:rsid w:val="00F24375"/>
    <w:rsid w:val="00F24480"/>
    <w:rsid w:val="00F24757"/>
    <w:rsid w:val="00F24A7E"/>
    <w:rsid w:val="00F24B1E"/>
    <w:rsid w:val="00F2548D"/>
    <w:rsid w:val="00F25825"/>
    <w:rsid w:val="00F25835"/>
    <w:rsid w:val="00F25A72"/>
    <w:rsid w:val="00F25D64"/>
    <w:rsid w:val="00F25E88"/>
    <w:rsid w:val="00F2678D"/>
    <w:rsid w:val="00F267EE"/>
    <w:rsid w:val="00F2684B"/>
    <w:rsid w:val="00F26CD5"/>
    <w:rsid w:val="00F27183"/>
    <w:rsid w:val="00F27808"/>
    <w:rsid w:val="00F309C4"/>
    <w:rsid w:val="00F30F1C"/>
    <w:rsid w:val="00F312EE"/>
    <w:rsid w:val="00F31C22"/>
    <w:rsid w:val="00F32775"/>
    <w:rsid w:val="00F3286F"/>
    <w:rsid w:val="00F33003"/>
    <w:rsid w:val="00F331DD"/>
    <w:rsid w:val="00F33923"/>
    <w:rsid w:val="00F35E57"/>
    <w:rsid w:val="00F3746F"/>
    <w:rsid w:val="00F37E36"/>
    <w:rsid w:val="00F4007F"/>
    <w:rsid w:val="00F401FB"/>
    <w:rsid w:val="00F40670"/>
    <w:rsid w:val="00F40DF9"/>
    <w:rsid w:val="00F419EC"/>
    <w:rsid w:val="00F423C6"/>
    <w:rsid w:val="00F42843"/>
    <w:rsid w:val="00F4308B"/>
    <w:rsid w:val="00F43516"/>
    <w:rsid w:val="00F43541"/>
    <w:rsid w:val="00F435F0"/>
    <w:rsid w:val="00F4385D"/>
    <w:rsid w:val="00F43956"/>
    <w:rsid w:val="00F45293"/>
    <w:rsid w:val="00F45D4D"/>
    <w:rsid w:val="00F45EB3"/>
    <w:rsid w:val="00F465A2"/>
    <w:rsid w:val="00F467F9"/>
    <w:rsid w:val="00F47DDB"/>
    <w:rsid w:val="00F51725"/>
    <w:rsid w:val="00F51D7A"/>
    <w:rsid w:val="00F5291D"/>
    <w:rsid w:val="00F52AB4"/>
    <w:rsid w:val="00F53FA3"/>
    <w:rsid w:val="00F5404A"/>
    <w:rsid w:val="00F54BFB"/>
    <w:rsid w:val="00F556AA"/>
    <w:rsid w:val="00F56070"/>
    <w:rsid w:val="00F5645C"/>
    <w:rsid w:val="00F564AC"/>
    <w:rsid w:val="00F56D1A"/>
    <w:rsid w:val="00F5722A"/>
    <w:rsid w:val="00F5744A"/>
    <w:rsid w:val="00F604DA"/>
    <w:rsid w:val="00F6064C"/>
    <w:rsid w:val="00F610E2"/>
    <w:rsid w:val="00F6126D"/>
    <w:rsid w:val="00F615C6"/>
    <w:rsid w:val="00F61F4A"/>
    <w:rsid w:val="00F62574"/>
    <w:rsid w:val="00F62846"/>
    <w:rsid w:val="00F631C0"/>
    <w:rsid w:val="00F63490"/>
    <w:rsid w:val="00F63AD5"/>
    <w:rsid w:val="00F64216"/>
    <w:rsid w:val="00F64A34"/>
    <w:rsid w:val="00F64A42"/>
    <w:rsid w:val="00F650A7"/>
    <w:rsid w:val="00F6537B"/>
    <w:rsid w:val="00F656FA"/>
    <w:rsid w:val="00F65743"/>
    <w:rsid w:val="00F657C0"/>
    <w:rsid w:val="00F66779"/>
    <w:rsid w:val="00F66A16"/>
    <w:rsid w:val="00F671F7"/>
    <w:rsid w:val="00F67DD4"/>
    <w:rsid w:val="00F70649"/>
    <w:rsid w:val="00F7120C"/>
    <w:rsid w:val="00F71AFD"/>
    <w:rsid w:val="00F71C5B"/>
    <w:rsid w:val="00F71E78"/>
    <w:rsid w:val="00F72AB5"/>
    <w:rsid w:val="00F72F34"/>
    <w:rsid w:val="00F733D2"/>
    <w:rsid w:val="00F743AB"/>
    <w:rsid w:val="00F749E6"/>
    <w:rsid w:val="00F75E33"/>
    <w:rsid w:val="00F76703"/>
    <w:rsid w:val="00F76A2F"/>
    <w:rsid w:val="00F770DF"/>
    <w:rsid w:val="00F77426"/>
    <w:rsid w:val="00F80450"/>
    <w:rsid w:val="00F80D64"/>
    <w:rsid w:val="00F819B9"/>
    <w:rsid w:val="00F81BD9"/>
    <w:rsid w:val="00F821EA"/>
    <w:rsid w:val="00F8252D"/>
    <w:rsid w:val="00F827EF"/>
    <w:rsid w:val="00F82C89"/>
    <w:rsid w:val="00F842A4"/>
    <w:rsid w:val="00F84770"/>
    <w:rsid w:val="00F850FE"/>
    <w:rsid w:val="00F8532A"/>
    <w:rsid w:val="00F867AA"/>
    <w:rsid w:val="00F8775E"/>
    <w:rsid w:val="00F87A52"/>
    <w:rsid w:val="00F900CF"/>
    <w:rsid w:val="00F9089F"/>
    <w:rsid w:val="00F90A9F"/>
    <w:rsid w:val="00F90C38"/>
    <w:rsid w:val="00F90E9A"/>
    <w:rsid w:val="00F92229"/>
    <w:rsid w:val="00F9267C"/>
    <w:rsid w:val="00F92A88"/>
    <w:rsid w:val="00F92C56"/>
    <w:rsid w:val="00F935BB"/>
    <w:rsid w:val="00F94792"/>
    <w:rsid w:val="00F94883"/>
    <w:rsid w:val="00F9575B"/>
    <w:rsid w:val="00F95794"/>
    <w:rsid w:val="00F95CA6"/>
    <w:rsid w:val="00F96ACA"/>
    <w:rsid w:val="00F96FAD"/>
    <w:rsid w:val="00F97A84"/>
    <w:rsid w:val="00FA247F"/>
    <w:rsid w:val="00FA2D71"/>
    <w:rsid w:val="00FA3032"/>
    <w:rsid w:val="00FA3152"/>
    <w:rsid w:val="00FA5297"/>
    <w:rsid w:val="00FA5764"/>
    <w:rsid w:val="00FA5867"/>
    <w:rsid w:val="00FA5D7C"/>
    <w:rsid w:val="00FA6871"/>
    <w:rsid w:val="00FA6DFF"/>
    <w:rsid w:val="00FA746A"/>
    <w:rsid w:val="00FA7DEE"/>
    <w:rsid w:val="00FB01FF"/>
    <w:rsid w:val="00FB0C4D"/>
    <w:rsid w:val="00FB0E50"/>
    <w:rsid w:val="00FB15DE"/>
    <w:rsid w:val="00FB16F0"/>
    <w:rsid w:val="00FB2DE3"/>
    <w:rsid w:val="00FB3869"/>
    <w:rsid w:val="00FB3998"/>
    <w:rsid w:val="00FB3C4A"/>
    <w:rsid w:val="00FB3CAF"/>
    <w:rsid w:val="00FB49FB"/>
    <w:rsid w:val="00FB4B39"/>
    <w:rsid w:val="00FB59FC"/>
    <w:rsid w:val="00FB724A"/>
    <w:rsid w:val="00FB72B0"/>
    <w:rsid w:val="00FB7B6A"/>
    <w:rsid w:val="00FC0872"/>
    <w:rsid w:val="00FC093D"/>
    <w:rsid w:val="00FC0B10"/>
    <w:rsid w:val="00FC0BA1"/>
    <w:rsid w:val="00FC0DC4"/>
    <w:rsid w:val="00FC1416"/>
    <w:rsid w:val="00FC1572"/>
    <w:rsid w:val="00FC19C4"/>
    <w:rsid w:val="00FC273B"/>
    <w:rsid w:val="00FC2E0D"/>
    <w:rsid w:val="00FC339A"/>
    <w:rsid w:val="00FC3B07"/>
    <w:rsid w:val="00FC4093"/>
    <w:rsid w:val="00FC462D"/>
    <w:rsid w:val="00FC4DBE"/>
    <w:rsid w:val="00FC5472"/>
    <w:rsid w:val="00FC5587"/>
    <w:rsid w:val="00FC569D"/>
    <w:rsid w:val="00FC5E72"/>
    <w:rsid w:val="00FC77AF"/>
    <w:rsid w:val="00FC7F17"/>
    <w:rsid w:val="00FD0386"/>
    <w:rsid w:val="00FD0CA6"/>
    <w:rsid w:val="00FD0DB2"/>
    <w:rsid w:val="00FD0ED7"/>
    <w:rsid w:val="00FD0EF6"/>
    <w:rsid w:val="00FD132C"/>
    <w:rsid w:val="00FD18BB"/>
    <w:rsid w:val="00FD2B3F"/>
    <w:rsid w:val="00FD2D25"/>
    <w:rsid w:val="00FD3559"/>
    <w:rsid w:val="00FD35DC"/>
    <w:rsid w:val="00FD371B"/>
    <w:rsid w:val="00FD3A5F"/>
    <w:rsid w:val="00FD3D66"/>
    <w:rsid w:val="00FD4291"/>
    <w:rsid w:val="00FD45B7"/>
    <w:rsid w:val="00FD4824"/>
    <w:rsid w:val="00FD4E7B"/>
    <w:rsid w:val="00FD5FFC"/>
    <w:rsid w:val="00FD681A"/>
    <w:rsid w:val="00FE016C"/>
    <w:rsid w:val="00FE1843"/>
    <w:rsid w:val="00FE1F65"/>
    <w:rsid w:val="00FE25DA"/>
    <w:rsid w:val="00FE29C2"/>
    <w:rsid w:val="00FE3048"/>
    <w:rsid w:val="00FE4617"/>
    <w:rsid w:val="00FE5B56"/>
    <w:rsid w:val="00FE609A"/>
    <w:rsid w:val="00FE6BD0"/>
    <w:rsid w:val="00FE74AA"/>
    <w:rsid w:val="00FE759D"/>
    <w:rsid w:val="00FE7675"/>
    <w:rsid w:val="00FE7CFA"/>
    <w:rsid w:val="00FE7F63"/>
    <w:rsid w:val="00FF007B"/>
    <w:rsid w:val="00FF0B75"/>
    <w:rsid w:val="00FF125D"/>
    <w:rsid w:val="00FF157E"/>
    <w:rsid w:val="00FF1E7C"/>
    <w:rsid w:val="00FF1F18"/>
    <w:rsid w:val="00FF1FAB"/>
    <w:rsid w:val="00FF2245"/>
    <w:rsid w:val="00FF264E"/>
    <w:rsid w:val="00FF30E2"/>
    <w:rsid w:val="00FF33AC"/>
    <w:rsid w:val="00FF34F9"/>
    <w:rsid w:val="00FF367A"/>
    <w:rsid w:val="00FF3AEB"/>
    <w:rsid w:val="00FF42C6"/>
    <w:rsid w:val="00FF5FF0"/>
    <w:rsid w:val="00FF5FF9"/>
    <w:rsid w:val="00FF610E"/>
    <w:rsid w:val="00FF6500"/>
    <w:rsid w:val="00FF686E"/>
    <w:rsid w:val="00FF6D45"/>
    <w:rsid w:val="00FF6E59"/>
    <w:rsid w:val="00FF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E8D50A1"/>
  <w15:docId w15:val="{B2FF5332-3987-46CF-B1E3-641E2E9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16"/>
    <w:pPr>
      <w:spacing w:after="0" w:line="240" w:lineRule="auto"/>
      <w:jc w:val="both"/>
    </w:pPr>
    <w:rPr>
      <w:rFonts w:ascii="Verdana" w:eastAsia="Calibri" w:hAnsi="Verdana" w:cs="Times New Roman"/>
      <w:sz w:val="24"/>
      <w:szCs w:val="24"/>
    </w:rPr>
  </w:style>
  <w:style w:type="paragraph" w:styleId="Heading1">
    <w:name w:val="heading 1"/>
    <w:basedOn w:val="Normal"/>
    <w:next w:val="Normal"/>
    <w:link w:val="Heading1Char"/>
    <w:qFormat/>
    <w:rsid w:val="00CF4E62"/>
    <w:pPr>
      <w:keepNext/>
      <w:numPr>
        <w:numId w:val="1"/>
      </w:numPr>
      <w:spacing w:before="360"/>
      <w:jc w:val="left"/>
      <w:outlineLvl w:val="0"/>
    </w:pPr>
    <w:rPr>
      <w:rFonts w:eastAsia="Times New Roman"/>
      <w:b/>
      <w:kern w:val="28"/>
      <w:sz w:val="32"/>
      <w:szCs w:val="20"/>
    </w:rPr>
  </w:style>
  <w:style w:type="paragraph" w:styleId="Heading2">
    <w:name w:val="heading 2"/>
    <w:basedOn w:val="Normal"/>
    <w:next w:val="Normal"/>
    <w:link w:val="Heading2Char"/>
    <w:qFormat/>
    <w:rsid w:val="00CF4E62"/>
    <w:pPr>
      <w:keepNext/>
      <w:numPr>
        <w:ilvl w:val="1"/>
        <w:numId w:val="1"/>
      </w:numPr>
      <w:spacing w:before="360"/>
      <w:jc w:val="left"/>
      <w:outlineLvl w:val="1"/>
    </w:pPr>
    <w:rPr>
      <w:rFonts w:eastAsia="Times New Roman"/>
      <w:b/>
      <w:sz w:val="28"/>
      <w:szCs w:val="20"/>
    </w:rPr>
  </w:style>
  <w:style w:type="paragraph" w:styleId="Heading3">
    <w:name w:val="heading 3"/>
    <w:basedOn w:val="Normal"/>
    <w:next w:val="Normal"/>
    <w:link w:val="Heading3Char"/>
    <w:qFormat/>
    <w:rsid w:val="00CF4E62"/>
    <w:pPr>
      <w:keepNext/>
      <w:numPr>
        <w:ilvl w:val="2"/>
        <w:numId w:val="1"/>
      </w:numPr>
      <w:spacing w:before="360"/>
      <w:outlineLvl w:val="2"/>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93"/>
    <w:rPr>
      <w:rFonts w:ascii="Tahoma" w:hAnsi="Tahoma" w:cs="Tahoma"/>
      <w:sz w:val="16"/>
      <w:szCs w:val="16"/>
    </w:rPr>
  </w:style>
  <w:style w:type="character" w:customStyle="1" w:styleId="BalloonTextChar">
    <w:name w:val="Balloon Text Char"/>
    <w:basedOn w:val="DefaultParagraphFont"/>
    <w:link w:val="BalloonText"/>
    <w:uiPriority w:val="99"/>
    <w:semiHidden/>
    <w:rsid w:val="001F7D93"/>
    <w:rPr>
      <w:rFonts w:ascii="Tahoma" w:eastAsia="Calibri" w:hAnsi="Tahoma" w:cs="Tahoma"/>
      <w:sz w:val="16"/>
      <w:szCs w:val="16"/>
    </w:rPr>
  </w:style>
  <w:style w:type="table" w:styleId="TableGrid">
    <w:name w:val="Table Grid"/>
    <w:basedOn w:val="TableNormal"/>
    <w:uiPriority w:val="59"/>
    <w:rsid w:val="001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6C21F1"/>
    <w:pPr>
      <w:ind w:left="720"/>
      <w:contextualSpacing/>
    </w:pPr>
  </w:style>
  <w:style w:type="character" w:styleId="CommentReference">
    <w:name w:val="annotation reference"/>
    <w:basedOn w:val="DefaultParagraphFont"/>
    <w:uiPriority w:val="99"/>
    <w:semiHidden/>
    <w:unhideWhenUsed/>
    <w:rsid w:val="004651B6"/>
    <w:rPr>
      <w:sz w:val="16"/>
      <w:szCs w:val="16"/>
    </w:rPr>
  </w:style>
  <w:style w:type="paragraph" w:styleId="CommentText">
    <w:name w:val="annotation text"/>
    <w:basedOn w:val="Normal"/>
    <w:link w:val="CommentTextChar"/>
    <w:uiPriority w:val="99"/>
    <w:semiHidden/>
    <w:unhideWhenUsed/>
    <w:rsid w:val="004651B6"/>
    <w:rPr>
      <w:sz w:val="20"/>
      <w:szCs w:val="20"/>
    </w:rPr>
  </w:style>
  <w:style w:type="character" w:customStyle="1" w:styleId="CommentTextChar">
    <w:name w:val="Comment Text Char"/>
    <w:basedOn w:val="DefaultParagraphFont"/>
    <w:link w:val="CommentText"/>
    <w:uiPriority w:val="99"/>
    <w:semiHidden/>
    <w:rsid w:val="004651B6"/>
    <w:rPr>
      <w:rFonts w:ascii="Verdana" w:eastAsia="Calibri" w:hAnsi="Verdana" w:cs="Times New Roman"/>
      <w:sz w:val="20"/>
      <w:szCs w:val="20"/>
    </w:rPr>
  </w:style>
  <w:style w:type="character" w:styleId="Emphasis">
    <w:name w:val="Emphasis"/>
    <w:basedOn w:val="DefaultParagraphFont"/>
    <w:uiPriority w:val="20"/>
    <w:qFormat/>
    <w:rsid w:val="00711954"/>
    <w:rPr>
      <w:b/>
      <w:bCs/>
      <w:i w:val="0"/>
      <w:iCs w:val="0"/>
    </w:rPr>
  </w:style>
  <w:style w:type="character" w:customStyle="1" w:styleId="st1">
    <w:name w:val="st1"/>
    <w:basedOn w:val="DefaultParagraphFont"/>
    <w:rsid w:val="00711954"/>
  </w:style>
  <w:style w:type="paragraph" w:customStyle="1" w:styleId="Default">
    <w:name w:val="Default"/>
    <w:rsid w:val="006C18DA"/>
    <w:pPr>
      <w:autoSpaceDE w:val="0"/>
      <w:autoSpaceDN w:val="0"/>
      <w:adjustRightInd w:val="0"/>
      <w:spacing w:after="0" w:line="240" w:lineRule="auto"/>
    </w:pPr>
    <w:rPr>
      <w:rFonts w:ascii="Rotis Sans Serif Std Light" w:hAnsi="Rotis Sans Serif Std Light" w:cs="Rotis Sans Serif Std Light"/>
      <w:color w:val="000000"/>
      <w:sz w:val="24"/>
      <w:szCs w:val="24"/>
    </w:rPr>
  </w:style>
  <w:style w:type="character" w:customStyle="1" w:styleId="A7">
    <w:name w:val="A7"/>
    <w:uiPriority w:val="99"/>
    <w:rsid w:val="006C18DA"/>
    <w:rPr>
      <w:rFonts w:cs="Rotis Sans Serif Std Light"/>
      <w:color w:val="000000"/>
      <w:sz w:val="20"/>
      <w:szCs w:val="20"/>
    </w:rPr>
  </w:style>
  <w:style w:type="character" w:customStyle="1" w:styleId="tgc">
    <w:name w:val="_tgc"/>
    <w:basedOn w:val="DefaultParagraphFont"/>
    <w:rsid w:val="00A24D68"/>
  </w:style>
  <w:style w:type="paragraph" w:styleId="CommentSubject">
    <w:name w:val="annotation subject"/>
    <w:basedOn w:val="CommentText"/>
    <w:next w:val="CommentText"/>
    <w:link w:val="CommentSubjectChar"/>
    <w:uiPriority w:val="99"/>
    <w:semiHidden/>
    <w:unhideWhenUsed/>
    <w:rsid w:val="00150D95"/>
    <w:rPr>
      <w:b/>
      <w:bCs/>
    </w:rPr>
  </w:style>
  <w:style w:type="character" w:customStyle="1" w:styleId="CommentSubjectChar">
    <w:name w:val="Comment Subject Char"/>
    <w:basedOn w:val="CommentTextChar"/>
    <w:link w:val="CommentSubject"/>
    <w:uiPriority w:val="99"/>
    <w:semiHidden/>
    <w:rsid w:val="00150D95"/>
    <w:rPr>
      <w:rFonts w:ascii="Verdana" w:eastAsia="Calibri" w:hAnsi="Verdana" w:cs="Times New Roman"/>
      <w:b/>
      <w:bCs/>
      <w:sz w:val="20"/>
      <w:szCs w:val="20"/>
    </w:rPr>
  </w:style>
  <w:style w:type="paragraph" w:styleId="Header">
    <w:name w:val="header"/>
    <w:basedOn w:val="Normal"/>
    <w:link w:val="HeaderChar"/>
    <w:uiPriority w:val="99"/>
    <w:unhideWhenUsed/>
    <w:rsid w:val="00527C44"/>
    <w:pPr>
      <w:tabs>
        <w:tab w:val="center" w:pos="4513"/>
        <w:tab w:val="right" w:pos="9026"/>
      </w:tabs>
    </w:pPr>
  </w:style>
  <w:style w:type="character" w:customStyle="1" w:styleId="HeaderChar">
    <w:name w:val="Header Char"/>
    <w:basedOn w:val="DefaultParagraphFont"/>
    <w:link w:val="Header"/>
    <w:uiPriority w:val="99"/>
    <w:rsid w:val="00527C44"/>
    <w:rPr>
      <w:rFonts w:ascii="Verdana" w:eastAsia="Calibri" w:hAnsi="Verdana" w:cs="Times New Roman"/>
      <w:sz w:val="24"/>
      <w:szCs w:val="24"/>
    </w:rPr>
  </w:style>
  <w:style w:type="paragraph" w:styleId="Footer">
    <w:name w:val="footer"/>
    <w:basedOn w:val="Normal"/>
    <w:link w:val="FooterChar"/>
    <w:unhideWhenUsed/>
    <w:rsid w:val="00527C44"/>
    <w:pPr>
      <w:tabs>
        <w:tab w:val="center" w:pos="4513"/>
        <w:tab w:val="right" w:pos="9026"/>
      </w:tabs>
    </w:pPr>
  </w:style>
  <w:style w:type="character" w:customStyle="1" w:styleId="FooterChar">
    <w:name w:val="Footer Char"/>
    <w:basedOn w:val="DefaultParagraphFont"/>
    <w:link w:val="Footer"/>
    <w:rsid w:val="00527C44"/>
    <w:rPr>
      <w:rFonts w:ascii="Verdana" w:eastAsia="Calibri" w:hAnsi="Verdana" w:cs="Times New Roman"/>
      <w:sz w:val="24"/>
      <w:szCs w:val="24"/>
    </w:rPr>
  </w:style>
  <w:style w:type="character" w:styleId="PageNumber">
    <w:name w:val="page number"/>
    <w:basedOn w:val="DefaultParagraphFont"/>
    <w:rsid w:val="00527C44"/>
  </w:style>
  <w:style w:type="character" w:styleId="Hyperlink">
    <w:name w:val="Hyperlink"/>
    <w:basedOn w:val="DefaultParagraphFont"/>
    <w:uiPriority w:val="99"/>
    <w:unhideWhenUsed/>
    <w:rsid w:val="00712D45"/>
    <w:rPr>
      <w:color w:val="0000FF" w:themeColor="hyperlink"/>
      <w:u w:val="single"/>
    </w:rPr>
  </w:style>
  <w:style w:type="paragraph" w:styleId="Revision">
    <w:name w:val="Revision"/>
    <w:hidden/>
    <w:uiPriority w:val="99"/>
    <w:semiHidden/>
    <w:rsid w:val="00FF1FAB"/>
    <w:pPr>
      <w:spacing w:after="0" w:line="240" w:lineRule="auto"/>
    </w:pPr>
    <w:rPr>
      <w:rFonts w:ascii="Verdana" w:eastAsia="Calibri" w:hAnsi="Verdana" w:cs="Times New Roman"/>
      <w:sz w:val="24"/>
      <w:szCs w:val="24"/>
    </w:rPr>
  </w:style>
  <w:style w:type="character" w:customStyle="1" w:styleId="Heading1Char">
    <w:name w:val="Heading 1 Char"/>
    <w:basedOn w:val="DefaultParagraphFont"/>
    <w:link w:val="Heading1"/>
    <w:rsid w:val="00CF4E62"/>
    <w:rPr>
      <w:rFonts w:ascii="Verdana" w:eastAsia="Times New Roman" w:hAnsi="Verdana" w:cs="Times New Roman"/>
      <w:b/>
      <w:kern w:val="28"/>
      <w:sz w:val="32"/>
      <w:szCs w:val="20"/>
    </w:rPr>
  </w:style>
  <w:style w:type="character" w:customStyle="1" w:styleId="Heading2Char">
    <w:name w:val="Heading 2 Char"/>
    <w:basedOn w:val="DefaultParagraphFont"/>
    <w:link w:val="Heading2"/>
    <w:rsid w:val="00CF4E62"/>
    <w:rPr>
      <w:rFonts w:ascii="Verdana" w:eastAsia="Times New Roman" w:hAnsi="Verdana" w:cs="Times New Roman"/>
      <w:b/>
      <w:sz w:val="28"/>
      <w:szCs w:val="20"/>
    </w:rPr>
  </w:style>
  <w:style w:type="character" w:customStyle="1" w:styleId="Heading3Char">
    <w:name w:val="Heading 3 Char"/>
    <w:basedOn w:val="DefaultParagraphFont"/>
    <w:link w:val="Heading3"/>
    <w:rsid w:val="00CF4E62"/>
    <w:rPr>
      <w:rFonts w:ascii="Verdana" w:eastAsia="Times New Roman" w:hAnsi="Verdana" w:cs="Times New Roman"/>
      <w:sz w:val="24"/>
      <w:szCs w:val="20"/>
    </w:rPr>
  </w:style>
  <w:style w:type="character" w:styleId="Strong">
    <w:name w:val="Strong"/>
    <w:basedOn w:val="DefaultParagraphFont"/>
    <w:uiPriority w:val="22"/>
    <w:qFormat/>
    <w:rsid w:val="004E1973"/>
    <w:rPr>
      <w:b/>
      <w:bC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locked/>
    <w:rsid w:val="003502E5"/>
    <w:rPr>
      <w:rFonts w:ascii="Verdana" w:eastAsia="Calibri" w:hAnsi="Verdana" w:cs="Times New Roman"/>
      <w:sz w:val="24"/>
      <w:szCs w:val="24"/>
    </w:rPr>
  </w:style>
  <w:style w:type="paragraph" w:styleId="NoSpacing">
    <w:name w:val="No Spacing"/>
    <w:uiPriority w:val="1"/>
    <w:qFormat/>
    <w:rsid w:val="00C06129"/>
    <w:pPr>
      <w:spacing w:after="0" w:line="240" w:lineRule="auto"/>
    </w:pPr>
    <w:rPr>
      <w:sz w:val="24"/>
      <w:szCs w:val="24"/>
      <w:lang w:val="nl-NL"/>
    </w:rPr>
  </w:style>
  <w:style w:type="paragraph" w:styleId="FootnoteText">
    <w:name w:val="footnote text"/>
    <w:basedOn w:val="Normal"/>
    <w:link w:val="FootnoteTextChar"/>
    <w:uiPriority w:val="99"/>
    <w:semiHidden/>
    <w:unhideWhenUsed/>
    <w:rsid w:val="006971C9"/>
    <w:rPr>
      <w:sz w:val="20"/>
      <w:szCs w:val="20"/>
    </w:rPr>
  </w:style>
  <w:style w:type="character" w:customStyle="1" w:styleId="FootnoteTextChar">
    <w:name w:val="Footnote Text Char"/>
    <w:basedOn w:val="DefaultParagraphFont"/>
    <w:link w:val="FootnoteText"/>
    <w:uiPriority w:val="99"/>
    <w:semiHidden/>
    <w:rsid w:val="006971C9"/>
    <w:rPr>
      <w:rFonts w:ascii="Verdana" w:eastAsia="Calibri" w:hAnsi="Verdana" w:cs="Times New Roman"/>
      <w:sz w:val="20"/>
      <w:szCs w:val="20"/>
    </w:rPr>
  </w:style>
  <w:style w:type="character" w:styleId="FootnoteReference">
    <w:name w:val="footnote reference"/>
    <w:basedOn w:val="DefaultParagraphFont"/>
    <w:uiPriority w:val="99"/>
    <w:semiHidden/>
    <w:unhideWhenUsed/>
    <w:rsid w:val="006971C9"/>
    <w:rPr>
      <w:vertAlign w:val="superscript"/>
    </w:rPr>
  </w:style>
  <w:style w:type="character" w:styleId="FollowedHyperlink">
    <w:name w:val="FollowedHyperlink"/>
    <w:basedOn w:val="DefaultParagraphFont"/>
    <w:uiPriority w:val="99"/>
    <w:semiHidden/>
    <w:unhideWhenUsed/>
    <w:rsid w:val="002A5A6F"/>
    <w:rPr>
      <w:color w:val="800080" w:themeColor="followedHyperlink"/>
      <w:u w:val="single"/>
    </w:rPr>
  </w:style>
  <w:style w:type="paragraph" w:styleId="NormalWeb">
    <w:name w:val="Normal (Web)"/>
    <w:basedOn w:val="Normal"/>
    <w:uiPriority w:val="99"/>
    <w:unhideWhenUsed/>
    <w:rsid w:val="0013496C"/>
    <w:pPr>
      <w:spacing w:before="100" w:beforeAutospacing="1" w:after="100" w:afterAutospacing="1"/>
      <w:jc w:val="left"/>
    </w:pPr>
    <w:rPr>
      <w:rFonts w:ascii="Times New Roman" w:eastAsia="Times New Roman" w:hAnsi="Times New Roman"/>
      <w:lang w:eastAsia="en-GB"/>
    </w:rPr>
  </w:style>
  <w:style w:type="paragraph" w:customStyle="1" w:styleId="BodyA">
    <w:name w:val="Body A"/>
    <w:rsid w:val="00147A0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TableParagraph">
    <w:name w:val="Table Paragraph"/>
    <w:basedOn w:val="Normal"/>
    <w:uiPriority w:val="1"/>
    <w:qFormat/>
    <w:rsid w:val="00042A16"/>
    <w:pPr>
      <w:widowControl w:val="0"/>
      <w:autoSpaceDE w:val="0"/>
      <w:autoSpaceDN w:val="0"/>
      <w:ind w:left="110"/>
      <w:jc w:val="left"/>
    </w:pPr>
    <w:rPr>
      <w:rFonts w:eastAsia="Verdana" w:cs="Verdana"/>
      <w:sz w:val="22"/>
      <w:szCs w:val="22"/>
      <w:lang w:val="en-US"/>
    </w:rPr>
  </w:style>
  <w:style w:type="paragraph" w:styleId="BodyText">
    <w:name w:val="Body Text"/>
    <w:basedOn w:val="Normal"/>
    <w:link w:val="BodyTextChar"/>
    <w:uiPriority w:val="1"/>
    <w:qFormat/>
    <w:rsid w:val="006D5436"/>
    <w:pPr>
      <w:autoSpaceDE w:val="0"/>
      <w:autoSpaceDN w:val="0"/>
      <w:adjustRightInd w:val="0"/>
      <w:ind w:left="40"/>
      <w:jc w:val="left"/>
    </w:pPr>
    <w:rPr>
      <w:rFonts w:eastAsiaTheme="minorHAnsi" w:cs="Verdana"/>
    </w:rPr>
  </w:style>
  <w:style w:type="character" w:customStyle="1" w:styleId="BodyTextChar">
    <w:name w:val="Body Text Char"/>
    <w:basedOn w:val="DefaultParagraphFont"/>
    <w:link w:val="BodyText"/>
    <w:uiPriority w:val="1"/>
    <w:rsid w:val="006D5436"/>
    <w:rPr>
      <w:rFonts w:ascii="Verdana" w:hAnsi="Verdana" w:cs="Verdana"/>
      <w:sz w:val="24"/>
      <w:szCs w:val="24"/>
    </w:rPr>
  </w:style>
  <w:style w:type="character" w:customStyle="1" w:styleId="null1">
    <w:name w:val="null1"/>
    <w:basedOn w:val="DefaultParagraphFont"/>
    <w:rsid w:val="001E3D0E"/>
  </w:style>
  <w:style w:type="paragraph" w:customStyle="1" w:styleId="Standard">
    <w:name w:val="Standard"/>
    <w:rsid w:val="009A7F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null">
    <w:name w:val="null"/>
    <w:basedOn w:val="Normal"/>
    <w:rsid w:val="005B2B6A"/>
    <w:pPr>
      <w:spacing w:before="100" w:beforeAutospacing="1" w:after="100" w:afterAutospacing="1"/>
      <w:jc w:val="left"/>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099">
      <w:bodyDiv w:val="1"/>
      <w:marLeft w:val="0"/>
      <w:marRight w:val="0"/>
      <w:marTop w:val="0"/>
      <w:marBottom w:val="0"/>
      <w:divBdr>
        <w:top w:val="none" w:sz="0" w:space="0" w:color="auto"/>
        <w:left w:val="none" w:sz="0" w:space="0" w:color="auto"/>
        <w:bottom w:val="none" w:sz="0" w:space="0" w:color="auto"/>
        <w:right w:val="none" w:sz="0" w:space="0" w:color="auto"/>
      </w:divBdr>
    </w:div>
    <w:div w:id="31880587">
      <w:bodyDiv w:val="1"/>
      <w:marLeft w:val="0"/>
      <w:marRight w:val="0"/>
      <w:marTop w:val="0"/>
      <w:marBottom w:val="0"/>
      <w:divBdr>
        <w:top w:val="none" w:sz="0" w:space="0" w:color="auto"/>
        <w:left w:val="none" w:sz="0" w:space="0" w:color="auto"/>
        <w:bottom w:val="none" w:sz="0" w:space="0" w:color="auto"/>
        <w:right w:val="none" w:sz="0" w:space="0" w:color="auto"/>
      </w:divBdr>
    </w:div>
    <w:div w:id="74859403">
      <w:bodyDiv w:val="1"/>
      <w:marLeft w:val="0"/>
      <w:marRight w:val="0"/>
      <w:marTop w:val="0"/>
      <w:marBottom w:val="0"/>
      <w:divBdr>
        <w:top w:val="none" w:sz="0" w:space="0" w:color="auto"/>
        <w:left w:val="none" w:sz="0" w:space="0" w:color="auto"/>
        <w:bottom w:val="none" w:sz="0" w:space="0" w:color="auto"/>
        <w:right w:val="none" w:sz="0" w:space="0" w:color="auto"/>
      </w:divBdr>
    </w:div>
    <w:div w:id="76876406">
      <w:bodyDiv w:val="1"/>
      <w:marLeft w:val="0"/>
      <w:marRight w:val="0"/>
      <w:marTop w:val="0"/>
      <w:marBottom w:val="0"/>
      <w:divBdr>
        <w:top w:val="none" w:sz="0" w:space="0" w:color="auto"/>
        <w:left w:val="none" w:sz="0" w:space="0" w:color="auto"/>
        <w:bottom w:val="none" w:sz="0" w:space="0" w:color="auto"/>
        <w:right w:val="none" w:sz="0" w:space="0" w:color="auto"/>
      </w:divBdr>
    </w:div>
    <w:div w:id="85151909">
      <w:bodyDiv w:val="1"/>
      <w:marLeft w:val="0"/>
      <w:marRight w:val="0"/>
      <w:marTop w:val="0"/>
      <w:marBottom w:val="0"/>
      <w:divBdr>
        <w:top w:val="none" w:sz="0" w:space="0" w:color="auto"/>
        <w:left w:val="none" w:sz="0" w:space="0" w:color="auto"/>
        <w:bottom w:val="none" w:sz="0" w:space="0" w:color="auto"/>
        <w:right w:val="none" w:sz="0" w:space="0" w:color="auto"/>
      </w:divBdr>
    </w:div>
    <w:div w:id="143670165">
      <w:bodyDiv w:val="1"/>
      <w:marLeft w:val="0"/>
      <w:marRight w:val="0"/>
      <w:marTop w:val="0"/>
      <w:marBottom w:val="0"/>
      <w:divBdr>
        <w:top w:val="none" w:sz="0" w:space="0" w:color="auto"/>
        <w:left w:val="none" w:sz="0" w:space="0" w:color="auto"/>
        <w:bottom w:val="none" w:sz="0" w:space="0" w:color="auto"/>
        <w:right w:val="none" w:sz="0" w:space="0" w:color="auto"/>
      </w:divBdr>
    </w:div>
    <w:div w:id="168722138">
      <w:bodyDiv w:val="1"/>
      <w:marLeft w:val="0"/>
      <w:marRight w:val="0"/>
      <w:marTop w:val="0"/>
      <w:marBottom w:val="0"/>
      <w:divBdr>
        <w:top w:val="none" w:sz="0" w:space="0" w:color="auto"/>
        <w:left w:val="none" w:sz="0" w:space="0" w:color="auto"/>
        <w:bottom w:val="none" w:sz="0" w:space="0" w:color="auto"/>
        <w:right w:val="none" w:sz="0" w:space="0" w:color="auto"/>
      </w:divBdr>
    </w:div>
    <w:div w:id="233007092">
      <w:bodyDiv w:val="1"/>
      <w:marLeft w:val="0"/>
      <w:marRight w:val="0"/>
      <w:marTop w:val="0"/>
      <w:marBottom w:val="0"/>
      <w:divBdr>
        <w:top w:val="none" w:sz="0" w:space="0" w:color="auto"/>
        <w:left w:val="none" w:sz="0" w:space="0" w:color="auto"/>
        <w:bottom w:val="none" w:sz="0" w:space="0" w:color="auto"/>
        <w:right w:val="none" w:sz="0" w:space="0" w:color="auto"/>
      </w:divBdr>
    </w:div>
    <w:div w:id="237794027">
      <w:bodyDiv w:val="1"/>
      <w:marLeft w:val="0"/>
      <w:marRight w:val="0"/>
      <w:marTop w:val="0"/>
      <w:marBottom w:val="0"/>
      <w:divBdr>
        <w:top w:val="none" w:sz="0" w:space="0" w:color="auto"/>
        <w:left w:val="none" w:sz="0" w:space="0" w:color="auto"/>
        <w:bottom w:val="none" w:sz="0" w:space="0" w:color="auto"/>
        <w:right w:val="none" w:sz="0" w:space="0" w:color="auto"/>
      </w:divBdr>
    </w:div>
    <w:div w:id="259803610">
      <w:bodyDiv w:val="1"/>
      <w:marLeft w:val="0"/>
      <w:marRight w:val="0"/>
      <w:marTop w:val="0"/>
      <w:marBottom w:val="0"/>
      <w:divBdr>
        <w:top w:val="none" w:sz="0" w:space="0" w:color="auto"/>
        <w:left w:val="none" w:sz="0" w:space="0" w:color="auto"/>
        <w:bottom w:val="none" w:sz="0" w:space="0" w:color="auto"/>
        <w:right w:val="none" w:sz="0" w:space="0" w:color="auto"/>
      </w:divBdr>
    </w:div>
    <w:div w:id="263223275">
      <w:bodyDiv w:val="1"/>
      <w:marLeft w:val="0"/>
      <w:marRight w:val="0"/>
      <w:marTop w:val="0"/>
      <w:marBottom w:val="0"/>
      <w:divBdr>
        <w:top w:val="none" w:sz="0" w:space="0" w:color="auto"/>
        <w:left w:val="none" w:sz="0" w:space="0" w:color="auto"/>
        <w:bottom w:val="none" w:sz="0" w:space="0" w:color="auto"/>
        <w:right w:val="none" w:sz="0" w:space="0" w:color="auto"/>
      </w:divBdr>
    </w:div>
    <w:div w:id="308443514">
      <w:bodyDiv w:val="1"/>
      <w:marLeft w:val="0"/>
      <w:marRight w:val="0"/>
      <w:marTop w:val="0"/>
      <w:marBottom w:val="0"/>
      <w:divBdr>
        <w:top w:val="none" w:sz="0" w:space="0" w:color="auto"/>
        <w:left w:val="none" w:sz="0" w:space="0" w:color="auto"/>
        <w:bottom w:val="none" w:sz="0" w:space="0" w:color="auto"/>
        <w:right w:val="none" w:sz="0" w:space="0" w:color="auto"/>
      </w:divBdr>
    </w:div>
    <w:div w:id="376051874">
      <w:bodyDiv w:val="1"/>
      <w:marLeft w:val="0"/>
      <w:marRight w:val="0"/>
      <w:marTop w:val="0"/>
      <w:marBottom w:val="0"/>
      <w:divBdr>
        <w:top w:val="none" w:sz="0" w:space="0" w:color="auto"/>
        <w:left w:val="none" w:sz="0" w:space="0" w:color="auto"/>
        <w:bottom w:val="none" w:sz="0" w:space="0" w:color="auto"/>
        <w:right w:val="none" w:sz="0" w:space="0" w:color="auto"/>
      </w:divBdr>
    </w:div>
    <w:div w:id="377777272">
      <w:bodyDiv w:val="1"/>
      <w:marLeft w:val="0"/>
      <w:marRight w:val="0"/>
      <w:marTop w:val="0"/>
      <w:marBottom w:val="0"/>
      <w:divBdr>
        <w:top w:val="none" w:sz="0" w:space="0" w:color="auto"/>
        <w:left w:val="none" w:sz="0" w:space="0" w:color="auto"/>
        <w:bottom w:val="none" w:sz="0" w:space="0" w:color="auto"/>
        <w:right w:val="none" w:sz="0" w:space="0" w:color="auto"/>
      </w:divBdr>
    </w:div>
    <w:div w:id="413279260">
      <w:bodyDiv w:val="1"/>
      <w:marLeft w:val="0"/>
      <w:marRight w:val="0"/>
      <w:marTop w:val="0"/>
      <w:marBottom w:val="0"/>
      <w:divBdr>
        <w:top w:val="none" w:sz="0" w:space="0" w:color="auto"/>
        <w:left w:val="none" w:sz="0" w:space="0" w:color="auto"/>
        <w:bottom w:val="none" w:sz="0" w:space="0" w:color="auto"/>
        <w:right w:val="none" w:sz="0" w:space="0" w:color="auto"/>
      </w:divBdr>
    </w:div>
    <w:div w:id="473185159">
      <w:bodyDiv w:val="1"/>
      <w:marLeft w:val="0"/>
      <w:marRight w:val="0"/>
      <w:marTop w:val="0"/>
      <w:marBottom w:val="0"/>
      <w:divBdr>
        <w:top w:val="none" w:sz="0" w:space="0" w:color="auto"/>
        <w:left w:val="none" w:sz="0" w:space="0" w:color="auto"/>
        <w:bottom w:val="none" w:sz="0" w:space="0" w:color="auto"/>
        <w:right w:val="none" w:sz="0" w:space="0" w:color="auto"/>
      </w:divBdr>
    </w:div>
    <w:div w:id="488178379">
      <w:bodyDiv w:val="1"/>
      <w:marLeft w:val="0"/>
      <w:marRight w:val="0"/>
      <w:marTop w:val="0"/>
      <w:marBottom w:val="0"/>
      <w:divBdr>
        <w:top w:val="none" w:sz="0" w:space="0" w:color="auto"/>
        <w:left w:val="none" w:sz="0" w:space="0" w:color="auto"/>
        <w:bottom w:val="none" w:sz="0" w:space="0" w:color="auto"/>
        <w:right w:val="none" w:sz="0" w:space="0" w:color="auto"/>
      </w:divBdr>
    </w:div>
    <w:div w:id="493450261">
      <w:bodyDiv w:val="1"/>
      <w:marLeft w:val="0"/>
      <w:marRight w:val="0"/>
      <w:marTop w:val="0"/>
      <w:marBottom w:val="0"/>
      <w:divBdr>
        <w:top w:val="none" w:sz="0" w:space="0" w:color="auto"/>
        <w:left w:val="none" w:sz="0" w:space="0" w:color="auto"/>
        <w:bottom w:val="none" w:sz="0" w:space="0" w:color="auto"/>
        <w:right w:val="none" w:sz="0" w:space="0" w:color="auto"/>
      </w:divBdr>
    </w:div>
    <w:div w:id="506409850">
      <w:bodyDiv w:val="1"/>
      <w:marLeft w:val="0"/>
      <w:marRight w:val="0"/>
      <w:marTop w:val="0"/>
      <w:marBottom w:val="0"/>
      <w:divBdr>
        <w:top w:val="none" w:sz="0" w:space="0" w:color="auto"/>
        <w:left w:val="none" w:sz="0" w:space="0" w:color="auto"/>
        <w:bottom w:val="none" w:sz="0" w:space="0" w:color="auto"/>
        <w:right w:val="none" w:sz="0" w:space="0" w:color="auto"/>
      </w:divBdr>
    </w:div>
    <w:div w:id="513308331">
      <w:bodyDiv w:val="1"/>
      <w:marLeft w:val="0"/>
      <w:marRight w:val="0"/>
      <w:marTop w:val="0"/>
      <w:marBottom w:val="0"/>
      <w:divBdr>
        <w:top w:val="none" w:sz="0" w:space="0" w:color="auto"/>
        <w:left w:val="none" w:sz="0" w:space="0" w:color="auto"/>
        <w:bottom w:val="none" w:sz="0" w:space="0" w:color="auto"/>
        <w:right w:val="none" w:sz="0" w:space="0" w:color="auto"/>
      </w:divBdr>
    </w:div>
    <w:div w:id="515921008">
      <w:bodyDiv w:val="1"/>
      <w:marLeft w:val="0"/>
      <w:marRight w:val="0"/>
      <w:marTop w:val="0"/>
      <w:marBottom w:val="0"/>
      <w:divBdr>
        <w:top w:val="none" w:sz="0" w:space="0" w:color="auto"/>
        <w:left w:val="none" w:sz="0" w:space="0" w:color="auto"/>
        <w:bottom w:val="none" w:sz="0" w:space="0" w:color="auto"/>
        <w:right w:val="none" w:sz="0" w:space="0" w:color="auto"/>
      </w:divBdr>
      <w:divsChild>
        <w:div w:id="1209682293">
          <w:marLeft w:val="0"/>
          <w:marRight w:val="0"/>
          <w:marTop w:val="0"/>
          <w:marBottom w:val="0"/>
          <w:divBdr>
            <w:top w:val="none" w:sz="0" w:space="0" w:color="auto"/>
            <w:left w:val="none" w:sz="0" w:space="0" w:color="auto"/>
            <w:bottom w:val="none" w:sz="0" w:space="0" w:color="auto"/>
            <w:right w:val="none" w:sz="0" w:space="0" w:color="auto"/>
          </w:divBdr>
          <w:divsChild>
            <w:div w:id="1973081">
              <w:marLeft w:val="0"/>
              <w:marRight w:val="0"/>
              <w:marTop w:val="0"/>
              <w:marBottom w:val="0"/>
              <w:divBdr>
                <w:top w:val="none" w:sz="0" w:space="0" w:color="auto"/>
                <w:left w:val="none" w:sz="0" w:space="0" w:color="auto"/>
                <w:bottom w:val="none" w:sz="0" w:space="0" w:color="auto"/>
                <w:right w:val="none" w:sz="0" w:space="0" w:color="auto"/>
              </w:divBdr>
              <w:divsChild>
                <w:div w:id="1046682639">
                  <w:marLeft w:val="0"/>
                  <w:marRight w:val="0"/>
                  <w:marTop w:val="0"/>
                  <w:marBottom w:val="0"/>
                  <w:divBdr>
                    <w:top w:val="none" w:sz="0" w:space="0" w:color="auto"/>
                    <w:left w:val="none" w:sz="0" w:space="0" w:color="auto"/>
                    <w:bottom w:val="none" w:sz="0" w:space="0" w:color="auto"/>
                    <w:right w:val="none" w:sz="0" w:space="0" w:color="auto"/>
                  </w:divBdr>
                  <w:divsChild>
                    <w:div w:id="549414113">
                      <w:marLeft w:val="0"/>
                      <w:marRight w:val="0"/>
                      <w:marTop w:val="0"/>
                      <w:marBottom w:val="0"/>
                      <w:divBdr>
                        <w:top w:val="none" w:sz="0" w:space="0" w:color="auto"/>
                        <w:left w:val="none" w:sz="0" w:space="0" w:color="auto"/>
                        <w:bottom w:val="none" w:sz="0" w:space="0" w:color="auto"/>
                        <w:right w:val="none" w:sz="0" w:space="0" w:color="auto"/>
                      </w:divBdr>
                      <w:divsChild>
                        <w:div w:id="8394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6651">
      <w:bodyDiv w:val="1"/>
      <w:marLeft w:val="0"/>
      <w:marRight w:val="0"/>
      <w:marTop w:val="0"/>
      <w:marBottom w:val="0"/>
      <w:divBdr>
        <w:top w:val="none" w:sz="0" w:space="0" w:color="auto"/>
        <w:left w:val="none" w:sz="0" w:space="0" w:color="auto"/>
        <w:bottom w:val="none" w:sz="0" w:space="0" w:color="auto"/>
        <w:right w:val="none" w:sz="0" w:space="0" w:color="auto"/>
      </w:divBdr>
    </w:div>
    <w:div w:id="621113232">
      <w:bodyDiv w:val="1"/>
      <w:marLeft w:val="0"/>
      <w:marRight w:val="0"/>
      <w:marTop w:val="0"/>
      <w:marBottom w:val="0"/>
      <w:divBdr>
        <w:top w:val="none" w:sz="0" w:space="0" w:color="auto"/>
        <w:left w:val="none" w:sz="0" w:space="0" w:color="auto"/>
        <w:bottom w:val="none" w:sz="0" w:space="0" w:color="auto"/>
        <w:right w:val="none" w:sz="0" w:space="0" w:color="auto"/>
      </w:divBdr>
    </w:div>
    <w:div w:id="630134663">
      <w:bodyDiv w:val="1"/>
      <w:marLeft w:val="0"/>
      <w:marRight w:val="0"/>
      <w:marTop w:val="0"/>
      <w:marBottom w:val="0"/>
      <w:divBdr>
        <w:top w:val="none" w:sz="0" w:space="0" w:color="auto"/>
        <w:left w:val="none" w:sz="0" w:space="0" w:color="auto"/>
        <w:bottom w:val="none" w:sz="0" w:space="0" w:color="auto"/>
        <w:right w:val="none" w:sz="0" w:space="0" w:color="auto"/>
      </w:divBdr>
    </w:div>
    <w:div w:id="725223814">
      <w:bodyDiv w:val="1"/>
      <w:marLeft w:val="0"/>
      <w:marRight w:val="0"/>
      <w:marTop w:val="0"/>
      <w:marBottom w:val="0"/>
      <w:divBdr>
        <w:top w:val="none" w:sz="0" w:space="0" w:color="auto"/>
        <w:left w:val="none" w:sz="0" w:space="0" w:color="auto"/>
        <w:bottom w:val="none" w:sz="0" w:space="0" w:color="auto"/>
        <w:right w:val="none" w:sz="0" w:space="0" w:color="auto"/>
      </w:divBdr>
    </w:div>
    <w:div w:id="760832603">
      <w:bodyDiv w:val="1"/>
      <w:marLeft w:val="0"/>
      <w:marRight w:val="0"/>
      <w:marTop w:val="0"/>
      <w:marBottom w:val="0"/>
      <w:divBdr>
        <w:top w:val="none" w:sz="0" w:space="0" w:color="auto"/>
        <w:left w:val="none" w:sz="0" w:space="0" w:color="auto"/>
        <w:bottom w:val="none" w:sz="0" w:space="0" w:color="auto"/>
        <w:right w:val="none" w:sz="0" w:space="0" w:color="auto"/>
      </w:divBdr>
    </w:div>
    <w:div w:id="768306992">
      <w:bodyDiv w:val="1"/>
      <w:marLeft w:val="0"/>
      <w:marRight w:val="0"/>
      <w:marTop w:val="0"/>
      <w:marBottom w:val="0"/>
      <w:divBdr>
        <w:top w:val="none" w:sz="0" w:space="0" w:color="auto"/>
        <w:left w:val="none" w:sz="0" w:space="0" w:color="auto"/>
        <w:bottom w:val="none" w:sz="0" w:space="0" w:color="auto"/>
        <w:right w:val="none" w:sz="0" w:space="0" w:color="auto"/>
      </w:divBdr>
    </w:div>
    <w:div w:id="796145474">
      <w:bodyDiv w:val="1"/>
      <w:marLeft w:val="0"/>
      <w:marRight w:val="0"/>
      <w:marTop w:val="0"/>
      <w:marBottom w:val="0"/>
      <w:divBdr>
        <w:top w:val="none" w:sz="0" w:space="0" w:color="auto"/>
        <w:left w:val="none" w:sz="0" w:space="0" w:color="auto"/>
        <w:bottom w:val="none" w:sz="0" w:space="0" w:color="auto"/>
        <w:right w:val="none" w:sz="0" w:space="0" w:color="auto"/>
      </w:divBdr>
    </w:div>
    <w:div w:id="815530440">
      <w:bodyDiv w:val="1"/>
      <w:marLeft w:val="0"/>
      <w:marRight w:val="0"/>
      <w:marTop w:val="0"/>
      <w:marBottom w:val="0"/>
      <w:divBdr>
        <w:top w:val="none" w:sz="0" w:space="0" w:color="auto"/>
        <w:left w:val="none" w:sz="0" w:space="0" w:color="auto"/>
        <w:bottom w:val="none" w:sz="0" w:space="0" w:color="auto"/>
        <w:right w:val="none" w:sz="0" w:space="0" w:color="auto"/>
      </w:divBdr>
    </w:div>
    <w:div w:id="883099515">
      <w:bodyDiv w:val="1"/>
      <w:marLeft w:val="0"/>
      <w:marRight w:val="0"/>
      <w:marTop w:val="0"/>
      <w:marBottom w:val="0"/>
      <w:divBdr>
        <w:top w:val="none" w:sz="0" w:space="0" w:color="auto"/>
        <w:left w:val="none" w:sz="0" w:space="0" w:color="auto"/>
        <w:bottom w:val="none" w:sz="0" w:space="0" w:color="auto"/>
        <w:right w:val="none" w:sz="0" w:space="0" w:color="auto"/>
      </w:divBdr>
    </w:div>
    <w:div w:id="885802199">
      <w:bodyDiv w:val="1"/>
      <w:marLeft w:val="0"/>
      <w:marRight w:val="0"/>
      <w:marTop w:val="0"/>
      <w:marBottom w:val="0"/>
      <w:divBdr>
        <w:top w:val="none" w:sz="0" w:space="0" w:color="auto"/>
        <w:left w:val="none" w:sz="0" w:space="0" w:color="auto"/>
        <w:bottom w:val="none" w:sz="0" w:space="0" w:color="auto"/>
        <w:right w:val="none" w:sz="0" w:space="0" w:color="auto"/>
      </w:divBdr>
    </w:div>
    <w:div w:id="953054031">
      <w:bodyDiv w:val="1"/>
      <w:marLeft w:val="0"/>
      <w:marRight w:val="0"/>
      <w:marTop w:val="0"/>
      <w:marBottom w:val="0"/>
      <w:divBdr>
        <w:top w:val="none" w:sz="0" w:space="0" w:color="auto"/>
        <w:left w:val="none" w:sz="0" w:space="0" w:color="auto"/>
        <w:bottom w:val="none" w:sz="0" w:space="0" w:color="auto"/>
        <w:right w:val="none" w:sz="0" w:space="0" w:color="auto"/>
      </w:divBdr>
    </w:div>
    <w:div w:id="986666470">
      <w:bodyDiv w:val="1"/>
      <w:marLeft w:val="0"/>
      <w:marRight w:val="0"/>
      <w:marTop w:val="0"/>
      <w:marBottom w:val="0"/>
      <w:divBdr>
        <w:top w:val="none" w:sz="0" w:space="0" w:color="auto"/>
        <w:left w:val="none" w:sz="0" w:space="0" w:color="auto"/>
        <w:bottom w:val="none" w:sz="0" w:space="0" w:color="auto"/>
        <w:right w:val="none" w:sz="0" w:space="0" w:color="auto"/>
      </w:divBdr>
    </w:div>
    <w:div w:id="1013141896">
      <w:bodyDiv w:val="1"/>
      <w:marLeft w:val="0"/>
      <w:marRight w:val="0"/>
      <w:marTop w:val="0"/>
      <w:marBottom w:val="0"/>
      <w:divBdr>
        <w:top w:val="none" w:sz="0" w:space="0" w:color="auto"/>
        <w:left w:val="none" w:sz="0" w:space="0" w:color="auto"/>
        <w:bottom w:val="none" w:sz="0" w:space="0" w:color="auto"/>
        <w:right w:val="none" w:sz="0" w:space="0" w:color="auto"/>
      </w:divBdr>
    </w:div>
    <w:div w:id="1023363834">
      <w:bodyDiv w:val="1"/>
      <w:marLeft w:val="0"/>
      <w:marRight w:val="0"/>
      <w:marTop w:val="0"/>
      <w:marBottom w:val="0"/>
      <w:divBdr>
        <w:top w:val="none" w:sz="0" w:space="0" w:color="auto"/>
        <w:left w:val="none" w:sz="0" w:space="0" w:color="auto"/>
        <w:bottom w:val="none" w:sz="0" w:space="0" w:color="auto"/>
        <w:right w:val="none" w:sz="0" w:space="0" w:color="auto"/>
      </w:divBdr>
    </w:div>
    <w:div w:id="1155727399">
      <w:bodyDiv w:val="1"/>
      <w:marLeft w:val="0"/>
      <w:marRight w:val="0"/>
      <w:marTop w:val="0"/>
      <w:marBottom w:val="0"/>
      <w:divBdr>
        <w:top w:val="none" w:sz="0" w:space="0" w:color="auto"/>
        <w:left w:val="none" w:sz="0" w:space="0" w:color="auto"/>
        <w:bottom w:val="none" w:sz="0" w:space="0" w:color="auto"/>
        <w:right w:val="none" w:sz="0" w:space="0" w:color="auto"/>
      </w:divBdr>
      <w:divsChild>
        <w:div w:id="491683303">
          <w:marLeft w:val="1282"/>
          <w:marRight w:val="0"/>
          <w:marTop w:val="96"/>
          <w:marBottom w:val="0"/>
          <w:divBdr>
            <w:top w:val="none" w:sz="0" w:space="0" w:color="auto"/>
            <w:left w:val="none" w:sz="0" w:space="0" w:color="auto"/>
            <w:bottom w:val="none" w:sz="0" w:space="0" w:color="auto"/>
            <w:right w:val="none" w:sz="0" w:space="0" w:color="auto"/>
          </w:divBdr>
        </w:div>
      </w:divsChild>
    </w:div>
    <w:div w:id="1173909603">
      <w:bodyDiv w:val="1"/>
      <w:marLeft w:val="0"/>
      <w:marRight w:val="0"/>
      <w:marTop w:val="0"/>
      <w:marBottom w:val="0"/>
      <w:divBdr>
        <w:top w:val="none" w:sz="0" w:space="0" w:color="auto"/>
        <w:left w:val="none" w:sz="0" w:space="0" w:color="auto"/>
        <w:bottom w:val="none" w:sz="0" w:space="0" w:color="auto"/>
        <w:right w:val="none" w:sz="0" w:space="0" w:color="auto"/>
      </w:divBdr>
    </w:div>
    <w:div w:id="1173912028">
      <w:bodyDiv w:val="1"/>
      <w:marLeft w:val="0"/>
      <w:marRight w:val="0"/>
      <w:marTop w:val="0"/>
      <w:marBottom w:val="0"/>
      <w:divBdr>
        <w:top w:val="none" w:sz="0" w:space="0" w:color="auto"/>
        <w:left w:val="none" w:sz="0" w:space="0" w:color="auto"/>
        <w:bottom w:val="none" w:sz="0" w:space="0" w:color="auto"/>
        <w:right w:val="none" w:sz="0" w:space="0" w:color="auto"/>
      </w:divBdr>
    </w:div>
    <w:div w:id="1229800481">
      <w:bodyDiv w:val="1"/>
      <w:marLeft w:val="0"/>
      <w:marRight w:val="0"/>
      <w:marTop w:val="0"/>
      <w:marBottom w:val="0"/>
      <w:divBdr>
        <w:top w:val="none" w:sz="0" w:space="0" w:color="auto"/>
        <w:left w:val="none" w:sz="0" w:space="0" w:color="auto"/>
        <w:bottom w:val="none" w:sz="0" w:space="0" w:color="auto"/>
        <w:right w:val="none" w:sz="0" w:space="0" w:color="auto"/>
      </w:divBdr>
    </w:div>
    <w:div w:id="1278566080">
      <w:bodyDiv w:val="1"/>
      <w:marLeft w:val="0"/>
      <w:marRight w:val="0"/>
      <w:marTop w:val="0"/>
      <w:marBottom w:val="0"/>
      <w:divBdr>
        <w:top w:val="none" w:sz="0" w:space="0" w:color="auto"/>
        <w:left w:val="none" w:sz="0" w:space="0" w:color="auto"/>
        <w:bottom w:val="none" w:sz="0" w:space="0" w:color="auto"/>
        <w:right w:val="none" w:sz="0" w:space="0" w:color="auto"/>
      </w:divBdr>
    </w:div>
    <w:div w:id="1343243530">
      <w:bodyDiv w:val="1"/>
      <w:marLeft w:val="0"/>
      <w:marRight w:val="0"/>
      <w:marTop w:val="0"/>
      <w:marBottom w:val="0"/>
      <w:divBdr>
        <w:top w:val="none" w:sz="0" w:space="0" w:color="auto"/>
        <w:left w:val="none" w:sz="0" w:space="0" w:color="auto"/>
        <w:bottom w:val="none" w:sz="0" w:space="0" w:color="auto"/>
        <w:right w:val="none" w:sz="0" w:space="0" w:color="auto"/>
      </w:divBdr>
    </w:div>
    <w:div w:id="1431314775">
      <w:bodyDiv w:val="1"/>
      <w:marLeft w:val="0"/>
      <w:marRight w:val="0"/>
      <w:marTop w:val="0"/>
      <w:marBottom w:val="0"/>
      <w:divBdr>
        <w:top w:val="none" w:sz="0" w:space="0" w:color="auto"/>
        <w:left w:val="none" w:sz="0" w:space="0" w:color="auto"/>
        <w:bottom w:val="none" w:sz="0" w:space="0" w:color="auto"/>
        <w:right w:val="none" w:sz="0" w:space="0" w:color="auto"/>
      </w:divBdr>
    </w:div>
    <w:div w:id="1504321897">
      <w:bodyDiv w:val="1"/>
      <w:marLeft w:val="0"/>
      <w:marRight w:val="0"/>
      <w:marTop w:val="0"/>
      <w:marBottom w:val="0"/>
      <w:divBdr>
        <w:top w:val="none" w:sz="0" w:space="0" w:color="auto"/>
        <w:left w:val="none" w:sz="0" w:space="0" w:color="auto"/>
        <w:bottom w:val="none" w:sz="0" w:space="0" w:color="auto"/>
        <w:right w:val="none" w:sz="0" w:space="0" w:color="auto"/>
      </w:divBdr>
    </w:div>
    <w:div w:id="1567649399">
      <w:bodyDiv w:val="1"/>
      <w:marLeft w:val="0"/>
      <w:marRight w:val="0"/>
      <w:marTop w:val="0"/>
      <w:marBottom w:val="0"/>
      <w:divBdr>
        <w:top w:val="none" w:sz="0" w:space="0" w:color="auto"/>
        <w:left w:val="none" w:sz="0" w:space="0" w:color="auto"/>
        <w:bottom w:val="none" w:sz="0" w:space="0" w:color="auto"/>
        <w:right w:val="none" w:sz="0" w:space="0" w:color="auto"/>
      </w:divBdr>
    </w:div>
    <w:div w:id="1652521632">
      <w:bodyDiv w:val="1"/>
      <w:marLeft w:val="0"/>
      <w:marRight w:val="0"/>
      <w:marTop w:val="0"/>
      <w:marBottom w:val="0"/>
      <w:divBdr>
        <w:top w:val="none" w:sz="0" w:space="0" w:color="auto"/>
        <w:left w:val="none" w:sz="0" w:space="0" w:color="auto"/>
        <w:bottom w:val="none" w:sz="0" w:space="0" w:color="auto"/>
        <w:right w:val="none" w:sz="0" w:space="0" w:color="auto"/>
      </w:divBdr>
    </w:div>
    <w:div w:id="1658456746">
      <w:bodyDiv w:val="1"/>
      <w:marLeft w:val="0"/>
      <w:marRight w:val="0"/>
      <w:marTop w:val="0"/>
      <w:marBottom w:val="0"/>
      <w:divBdr>
        <w:top w:val="none" w:sz="0" w:space="0" w:color="auto"/>
        <w:left w:val="none" w:sz="0" w:space="0" w:color="auto"/>
        <w:bottom w:val="none" w:sz="0" w:space="0" w:color="auto"/>
        <w:right w:val="none" w:sz="0" w:space="0" w:color="auto"/>
      </w:divBdr>
    </w:div>
    <w:div w:id="1673753021">
      <w:bodyDiv w:val="1"/>
      <w:marLeft w:val="0"/>
      <w:marRight w:val="0"/>
      <w:marTop w:val="0"/>
      <w:marBottom w:val="0"/>
      <w:divBdr>
        <w:top w:val="none" w:sz="0" w:space="0" w:color="auto"/>
        <w:left w:val="none" w:sz="0" w:space="0" w:color="auto"/>
        <w:bottom w:val="none" w:sz="0" w:space="0" w:color="auto"/>
        <w:right w:val="none" w:sz="0" w:space="0" w:color="auto"/>
      </w:divBdr>
    </w:div>
    <w:div w:id="1704557427">
      <w:bodyDiv w:val="1"/>
      <w:marLeft w:val="0"/>
      <w:marRight w:val="0"/>
      <w:marTop w:val="0"/>
      <w:marBottom w:val="0"/>
      <w:divBdr>
        <w:top w:val="none" w:sz="0" w:space="0" w:color="auto"/>
        <w:left w:val="none" w:sz="0" w:space="0" w:color="auto"/>
        <w:bottom w:val="none" w:sz="0" w:space="0" w:color="auto"/>
        <w:right w:val="none" w:sz="0" w:space="0" w:color="auto"/>
      </w:divBdr>
    </w:div>
    <w:div w:id="1709376524">
      <w:bodyDiv w:val="1"/>
      <w:marLeft w:val="0"/>
      <w:marRight w:val="0"/>
      <w:marTop w:val="0"/>
      <w:marBottom w:val="0"/>
      <w:divBdr>
        <w:top w:val="none" w:sz="0" w:space="0" w:color="auto"/>
        <w:left w:val="none" w:sz="0" w:space="0" w:color="auto"/>
        <w:bottom w:val="none" w:sz="0" w:space="0" w:color="auto"/>
        <w:right w:val="none" w:sz="0" w:space="0" w:color="auto"/>
      </w:divBdr>
    </w:div>
    <w:div w:id="1717271818">
      <w:bodyDiv w:val="1"/>
      <w:marLeft w:val="0"/>
      <w:marRight w:val="0"/>
      <w:marTop w:val="0"/>
      <w:marBottom w:val="0"/>
      <w:divBdr>
        <w:top w:val="none" w:sz="0" w:space="0" w:color="auto"/>
        <w:left w:val="none" w:sz="0" w:space="0" w:color="auto"/>
        <w:bottom w:val="none" w:sz="0" w:space="0" w:color="auto"/>
        <w:right w:val="none" w:sz="0" w:space="0" w:color="auto"/>
      </w:divBdr>
    </w:div>
    <w:div w:id="1740400396">
      <w:bodyDiv w:val="1"/>
      <w:marLeft w:val="0"/>
      <w:marRight w:val="0"/>
      <w:marTop w:val="0"/>
      <w:marBottom w:val="0"/>
      <w:divBdr>
        <w:top w:val="none" w:sz="0" w:space="0" w:color="auto"/>
        <w:left w:val="none" w:sz="0" w:space="0" w:color="auto"/>
        <w:bottom w:val="none" w:sz="0" w:space="0" w:color="auto"/>
        <w:right w:val="none" w:sz="0" w:space="0" w:color="auto"/>
      </w:divBdr>
    </w:div>
    <w:div w:id="1799299535">
      <w:bodyDiv w:val="1"/>
      <w:marLeft w:val="0"/>
      <w:marRight w:val="0"/>
      <w:marTop w:val="0"/>
      <w:marBottom w:val="0"/>
      <w:divBdr>
        <w:top w:val="none" w:sz="0" w:space="0" w:color="auto"/>
        <w:left w:val="none" w:sz="0" w:space="0" w:color="auto"/>
        <w:bottom w:val="none" w:sz="0" w:space="0" w:color="auto"/>
        <w:right w:val="none" w:sz="0" w:space="0" w:color="auto"/>
      </w:divBdr>
    </w:div>
    <w:div w:id="1861971537">
      <w:bodyDiv w:val="1"/>
      <w:marLeft w:val="0"/>
      <w:marRight w:val="0"/>
      <w:marTop w:val="0"/>
      <w:marBottom w:val="0"/>
      <w:divBdr>
        <w:top w:val="none" w:sz="0" w:space="0" w:color="auto"/>
        <w:left w:val="none" w:sz="0" w:space="0" w:color="auto"/>
        <w:bottom w:val="none" w:sz="0" w:space="0" w:color="auto"/>
        <w:right w:val="none" w:sz="0" w:space="0" w:color="auto"/>
      </w:divBdr>
    </w:div>
    <w:div w:id="1881897714">
      <w:bodyDiv w:val="1"/>
      <w:marLeft w:val="0"/>
      <w:marRight w:val="0"/>
      <w:marTop w:val="0"/>
      <w:marBottom w:val="0"/>
      <w:divBdr>
        <w:top w:val="none" w:sz="0" w:space="0" w:color="auto"/>
        <w:left w:val="none" w:sz="0" w:space="0" w:color="auto"/>
        <w:bottom w:val="none" w:sz="0" w:space="0" w:color="auto"/>
        <w:right w:val="none" w:sz="0" w:space="0" w:color="auto"/>
      </w:divBdr>
      <w:divsChild>
        <w:div w:id="1919055676">
          <w:marLeft w:val="1282"/>
          <w:marRight w:val="0"/>
          <w:marTop w:val="96"/>
          <w:marBottom w:val="0"/>
          <w:divBdr>
            <w:top w:val="none" w:sz="0" w:space="0" w:color="auto"/>
            <w:left w:val="none" w:sz="0" w:space="0" w:color="auto"/>
            <w:bottom w:val="none" w:sz="0" w:space="0" w:color="auto"/>
            <w:right w:val="none" w:sz="0" w:space="0" w:color="auto"/>
          </w:divBdr>
        </w:div>
      </w:divsChild>
    </w:div>
    <w:div w:id="1897399516">
      <w:bodyDiv w:val="1"/>
      <w:marLeft w:val="0"/>
      <w:marRight w:val="0"/>
      <w:marTop w:val="0"/>
      <w:marBottom w:val="0"/>
      <w:divBdr>
        <w:top w:val="none" w:sz="0" w:space="0" w:color="auto"/>
        <w:left w:val="none" w:sz="0" w:space="0" w:color="auto"/>
        <w:bottom w:val="none" w:sz="0" w:space="0" w:color="auto"/>
        <w:right w:val="none" w:sz="0" w:space="0" w:color="auto"/>
      </w:divBdr>
    </w:div>
    <w:div w:id="1906408529">
      <w:bodyDiv w:val="1"/>
      <w:marLeft w:val="0"/>
      <w:marRight w:val="0"/>
      <w:marTop w:val="0"/>
      <w:marBottom w:val="0"/>
      <w:divBdr>
        <w:top w:val="none" w:sz="0" w:space="0" w:color="auto"/>
        <w:left w:val="none" w:sz="0" w:space="0" w:color="auto"/>
        <w:bottom w:val="none" w:sz="0" w:space="0" w:color="auto"/>
        <w:right w:val="none" w:sz="0" w:space="0" w:color="auto"/>
      </w:divBdr>
      <w:divsChild>
        <w:div w:id="1606183603">
          <w:marLeft w:val="0"/>
          <w:marRight w:val="0"/>
          <w:marTop w:val="0"/>
          <w:marBottom w:val="0"/>
          <w:divBdr>
            <w:top w:val="none" w:sz="0" w:space="0" w:color="auto"/>
            <w:left w:val="none" w:sz="0" w:space="0" w:color="auto"/>
            <w:bottom w:val="none" w:sz="0" w:space="0" w:color="auto"/>
            <w:right w:val="none" w:sz="0" w:space="0" w:color="auto"/>
          </w:divBdr>
          <w:divsChild>
            <w:div w:id="734821974">
              <w:marLeft w:val="0"/>
              <w:marRight w:val="0"/>
              <w:marTop w:val="0"/>
              <w:marBottom w:val="0"/>
              <w:divBdr>
                <w:top w:val="none" w:sz="0" w:space="0" w:color="auto"/>
                <w:left w:val="none" w:sz="0" w:space="0" w:color="auto"/>
                <w:bottom w:val="none" w:sz="0" w:space="0" w:color="auto"/>
                <w:right w:val="none" w:sz="0" w:space="0" w:color="auto"/>
              </w:divBdr>
              <w:divsChild>
                <w:div w:id="2107648825">
                  <w:marLeft w:val="0"/>
                  <w:marRight w:val="0"/>
                  <w:marTop w:val="0"/>
                  <w:marBottom w:val="0"/>
                  <w:divBdr>
                    <w:top w:val="none" w:sz="0" w:space="0" w:color="auto"/>
                    <w:left w:val="none" w:sz="0" w:space="0" w:color="auto"/>
                    <w:bottom w:val="none" w:sz="0" w:space="0" w:color="auto"/>
                    <w:right w:val="none" w:sz="0" w:space="0" w:color="auto"/>
                  </w:divBdr>
                  <w:divsChild>
                    <w:div w:id="153568537">
                      <w:marLeft w:val="0"/>
                      <w:marRight w:val="0"/>
                      <w:marTop w:val="0"/>
                      <w:marBottom w:val="0"/>
                      <w:divBdr>
                        <w:top w:val="none" w:sz="0" w:space="0" w:color="auto"/>
                        <w:left w:val="none" w:sz="0" w:space="0" w:color="auto"/>
                        <w:bottom w:val="none" w:sz="0" w:space="0" w:color="auto"/>
                        <w:right w:val="none" w:sz="0" w:space="0" w:color="auto"/>
                      </w:divBdr>
                      <w:divsChild>
                        <w:div w:id="1219435185">
                          <w:marLeft w:val="0"/>
                          <w:marRight w:val="0"/>
                          <w:marTop w:val="0"/>
                          <w:marBottom w:val="0"/>
                          <w:divBdr>
                            <w:top w:val="none" w:sz="0" w:space="0" w:color="auto"/>
                            <w:left w:val="none" w:sz="0" w:space="0" w:color="auto"/>
                            <w:bottom w:val="none" w:sz="0" w:space="0" w:color="auto"/>
                            <w:right w:val="none" w:sz="0" w:space="0" w:color="auto"/>
                          </w:divBdr>
                          <w:divsChild>
                            <w:div w:id="1452549505">
                              <w:marLeft w:val="0"/>
                              <w:marRight w:val="0"/>
                              <w:marTop w:val="0"/>
                              <w:marBottom w:val="0"/>
                              <w:divBdr>
                                <w:top w:val="none" w:sz="0" w:space="0" w:color="auto"/>
                                <w:left w:val="none" w:sz="0" w:space="0" w:color="auto"/>
                                <w:bottom w:val="none" w:sz="0" w:space="0" w:color="auto"/>
                                <w:right w:val="none" w:sz="0" w:space="0" w:color="auto"/>
                              </w:divBdr>
                              <w:divsChild>
                                <w:div w:id="1667903563">
                                  <w:marLeft w:val="0"/>
                                  <w:marRight w:val="0"/>
                                  <w:marTop w:val="0"/>
                                  <w:marBottom w:val="300"/>
                                  <w:divBdr>
                                    <w:top w:val="none" w:sz="0" w:space="0" w:color="auto"/>
                                    <w:left w:val="none" w:sz="0" w:space="0" w:color="auto"/>
                                    <w:bottom w:val="none" w:sz="0" w:space="0" w:color="auto"/>
                                    <w:right w:val="none" w:sz="0" w:space="0" w:color="auto"/>
                                  </w:divBdr>
                                  <w:divsChild>
                                    <w:div w:id="1284115446">
                                      <w:marLeft w:val="0"/>
                                      <w:marRight w:val="0"/>
                                      <w:marTop w:val="0"/>
                                      <w:marBottom w:val="300"/>
                                      <w:divBdr>
                                        <w:top w:val="none" w:sz="0" w:space="0" w:color="auto"/>
                                        <w:left w:val="none" w:sz="0" w:space="0" w:color="auto"/>
                                        <w:bottom w:val="none" w:sz="0" w:space="0" w:color="auto"/>
                                        <w:right w:val="none" w:sz="0" w:space="0" w:color="auto"/>
                                      </w:divBdr>
                                      <w:divsChild>
                                        <w:div w:id="420032457">
                                          <w:marLeft w:val="0"/>
                                          <w:marRight w:val="0"/>
                                          <w:marTop w:val="0"/>
                                          <w:marBottom w:val="0"/>
                                          <w:divBdr>
                                            <w:top w:val="none" w:sz="0" w:space="0" w:color="auto"/>
                                            <w:left w:val="none" w:sz="0" w:space="0" w:color="auto"/>
                                            <w:bottom w:val="none" w:sz="0" w:space="0" w:color="auto"/>
                                            <w:right w:val="none" w:sz="0" w:space="0" w:color="auto"/>
                                          </w:divBdr>
                                          <w:divsChild>
                                            <w:div w:id="1414740576">
                                              <w:marLeft w:val="0"/>
                                              <w:marRight w:val="0"/>
                                              <w:marTop w:val="0"/>
                                              <w:marBottom w:val="0"/>
                                              <w:divBdr>
                                                <w:top w:val="none" w:sz="0" w:space="0" w:color="auto"/>
                                                <w:left w:val="none" w:sz="0" w:space="0" w:color="auto"/>
                                                <w:bottom w:val="none" w:sz="0" w:space="0" w:color="auto"/>
                                                <w:right w:val="none" w:sz="0" w:space="0" w:color="auto"/>
                                              </w:divBdr>
                                              <w:divsChild>
                                                <w:div w:id="1632443456">
                                                  <w:marLeft w:val="0"/>
                                                  <w:marRight w:val="0"/>
                                                  <w:marTop w:val="0"/>
                                                  <w:marBottom w:val="0"/>
                                                  <w:divBdr>
                                                    <w:top w:val="none" w:sz="0" w:space="0" w:color="auto"/>
                                                    <w:left w:val="none" w:sz="0" w:space="0" w:color="auto"/>
                                                    <w:bottom w:val="none" w:sz="0" w:space="0" w:color="auto"/>
                                                    <w:right w:val="none" w:sz="0" w:space="0" w:color="auto"/>
                                                  </w:divBdr>
                                                  <w:divsChild>
                                                    <w:div w:id="845218709">
                                                      <w:marLeft w:val="0"/>
                                                      <w:marRight w:val="0"/>
                                                      <w:marTop w:val="0"/>
                                                      <w:marBottom w:val="0"/>
                                                      <w:divBdr>
                                                        <w:top w:val="none" w:sz="0" w:space="0" w:color="auto"/>
                                                        <w:left w:val="none" w:sz="0" w:space="0" w:color="auto"/>
                                                        <w:bottom w:val="none" w:sz="0" w:space="0" w:color="auto"/>
                                                        <w:right w:val="none" w:sz="0" w:space="0" w:color="auto"/>
                                                      </w:divBdr>
                                                      <w:divsChild>
                                                        <w:div w:id="1386639649">
                                                          <w:marLeft w:val="0"/>
                                                          <w:marRight w:val="0"/>
                                                          <w:marTop w:val="0"/>
                                                          <w:marBottom w:val="0"/>
                                                          <w:divBdr>
                                                            <w:top w:val="none" w:sz="0" w:space="0" w:color="auto"/>
                                                            <w:left w:val="none" w:sz="0" w:space="0" w:color="auto"/>
                                                            <w:bottom w:val="none" w:sz="0" w:space="0" w:color="auto"/>
                                                            <w:right w:val="none" w:sz="0" w:space="0" w:color="auto"/>
                                                          </w:divBdr>
                                                          <w:divsChild>
                                                            <w:div w:id="1146825603">
                                                              <w:marLeft w:val="0"/>
                                                              <w:marRight w:val="0"/>
                                                              <w:marTop w:val="0"/>
                                                              <w:marBottom w:val="0"/>
                                                              <w:divBdr>
                                                                <w:top w:val="none" w:sz="0" w:space="0" w:color="auto"/>
                                                                <w:left w:val="none" w:sz="0" w:space="0" w:color="auto"/>
                                                                <w:bottom w:val="none" w:sz="0" w:space="0" w:color="auto"/>
                                                                <w:right w:val="none" w:sz="0" w:space="0" w:color="auto"/>
                                                              </w:divBdr>
                                                              <w:divsChild>
                                                                <w:div w:id="258681851">
                                                                  <w:marLeft w:val="0"/>
                                                                  <w:marRight w:val="0"/>
                                                                  <w:marTop w:val="0"/>
                                                                  <w:marBottom w:val="0"/>
                                                                  <w:divBdr>
                                                                    <w:top w:val="none" w:sz="0" w:space="0" w:color="auto"/>
                                                                    <w:left w:val="none" w:sz="0" w:space="0" w:color="auto"/>
                                                                    <w:bottom w:val="none" w:sz="0" w:space="0" w:color="auto"/>
                                                                    <w:right w:val="none" w:sz="0" w:space="0" w:color="auto"/>
                                                                  </w:divBdr>
                                                                  <w:divsChild>
                                                                    <w:div w:id="2875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1114703">
      <w:bodyDiv w:val="1"/>
      <w:marLeft w:val="0"/>
      <w:marRight w:val="0"/>
      <w:marTop w:val="0"/>
      <w:marBottom w:val="0"/>
      <w:divBdr>
        <w:top w:val="none" w:sz="0" w:space="0" w:color="auto"/>
        <w:left w:val="none" w:sz="0" w:space="0" w:color="auto"/>
        <w:bottom w:val="none" w:sz="0" w:space="0" w:color="auto"/>
        <w:right w:val="none" w:sz="0" w:space="0" w:color="auto"/>
      </w:divBdr>
    </w:div>
    <w:div w:id="1929541486">
      <w:bodyDiv w:val="1"/>
      <w:marLeft w:val="0"/>
      <w:marRight w:val="0"/>
      <w:marTop w:val="0"/>
      <w:marBottom w:val="0"/>
      <w:divBdr>
        <w:top w:val="none" w:sz="0" w:space="0" w:color="auto"/>
        <w:left w:val="none" w:sz="0" w:space="0" w:color="auto"/>
        <w:bottom w:val="none" w:sz="0" w:space="0" w:color="auto"/>
        <w:right w:val="none" w:sz="0" w:space="0" w:color="auto"/>
      </w:divBdr>
    </w:div>
    <w:div w:id="1945961964">
      <w:bodyDiv w:val="1"/>
      <w:marLeft w:val="0"/>
      <w:marRight w:val="0"/>
      <w:marTop w:val="0"/>
      <w:marBottom w:val="0"/>
      <w:divBdr>
        <w:top w:val="none" w:sz="0" w:space="0" w:color="auto"/>
        <w:left w:val="none" w:sz="0" w:space="0" w:color="auto"/>
        <w:bottom w:val="none" w:sz="0" w:space="0" w:color="auto"/>
        <w:right w:val="none" w:sz="0" w:space="0" w:color="auto"/>
      </w:divBdr>
    </w:div>
    <w:div w:id="1981417617">
      <w:bodyDiv w:val="1"/>
      <w:marLeft w:val="0"/>
      <w:marRight w:val="0"/>
      <w:marTop w:val="0"/>
      <w:marBottom w:val="0"/>
      <w:divBdr>
        <w:top w:val="none" w:sz="0" w:space="0" w:color="auto"/>
        <w:left w:val="none" w:sz="0" w:space="0" w:color="auto"/>
        <w:bottom w:val="none" w:sz="0" w:space="0" w:color="auto"/>
        <w:right w:val="none" w:sz="0" w:space="0" w:color="auto"/>
      </w:divBdr>
    </w:div>
    <w:div w:id="2006664659">
      <w:bodyDiv w:val="1"/>
      <w:marLeft w:val="0"/>
      <w:marRight w:val="0"/>
      <w:marTop w:val="0"/>
      <w:marBottom w:val="0"/>
      <w:divBdr>
        <w:top w:val="none" w:sz="0" w:space="0" w:color="auto"/>
        <w:left w:val="none" w:sz="0" w:space="0" w:color="auto"/>
        <w:bottom w:val="none" w:sz="0" w:space="0" w:color="auto"/>
        <w:right w:val="none" w:sz="0" w:space="0" w:color="auto"/>
      </w:divBdr>
    </w:div>
    <w:div w:id="2102603146">
      <w:bodyDiv w:val="1"/>
      <w:marLeft w:val="0"/>
      <w:marRight w:val="0"/>
      <w:marTop w:val="0"/>
      <w:marBottom w:val="0"/>
      <w:divBdr>
        <w:top w:val="none" w:sz="0" w:space="0" w:color="auto"/>
        <w:left w:val="none" w:sz="0" w:space="0" w:color="auto"/>
        <w:bottom w:val="none" w:sz="0" w:space="0" w:color="auto"/>
        <w:right w:val="none" w:sz="0" w:space="0" w:color="auto"/>
      </w:divBdr>
    </w:div>
    <w:div w:id="2109349806">
      <w:bodyDiv w:val="1"/>
      <w:marLeft w:val="0"/>
      <w:marRight w:val="0"/>
      <w:marTop w:val="0"/>
      <w:marBottom w:val="0"/>
      <w:divBdr>
        <w:top w:val="none" w:sz="0" w:space="0" w:color="auto"/>
        <w:left w:val="none" w:sz="0" w:space="0" w:color="auto"/>
        <w:bottom w:val="none" w:sz="0" w:space="0" w:color="auto"/>
        <w:right w:val="none" w:sz="0" w:space="0" w:color="auto"/>
      </w:divBdr>
    </w:div>
    <w:div w:id="21145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6C0CC-CDD8-40C6-9F19-610121AE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12</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KA168457</dc:creator>
  <cp:keywords/>
  <dc:description/>
  <cp:lastModifiedBy>Julie Robinson (Public Health Wales - No. 2 Capital Quarter)</cp:lastModifiedBy>
  <cp:revision>28</cp:revision>
  <cp:lastPrinted>2020-04-02T15:31:00Z</cp:lastPrinted>
  <dcterms:created xsi:type="dcterms:W3CDTF">2020-06-03T12:23:00Z</dcterms:created>
  <dcterms:modified xsi:type="dcterms:W3CDTF">2020-06-05T07:53:00Z</dcterms:modified>
</cp:coreProperties>
</file>