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1696"/>
        <w:gridCol w:w="1560"/>
        <w:gridCol w:w="2002"/>
        <w:gridCol w:w="275"/>
        <w:gridCol w:w="1266"/>
        <w:gridCol w:w="2127"/>
      </w:tblGrid>
      <w:tr w:rsidR="0013075E" w:rsidRPr="008F1F7E" w14:paraId="361CA59C" w14:textId="77777777" w:rsidTr="00627629">
        <w:tc>
          <w:tcPr>
            <w:tcW w:w="5258" w:type="dxa"/>
            <w:gridSpan w:val="3"/>
            <w:vMerge w:val="restart"/>
          </w:tcPr>
          <w:p w14:paraId="361CA599" w14:textId="77777777" w:rsidR="0013075E" w:rsidRPr="008F1F7E" w:rsidRDefault="0013075E" w:rsidP="00CF7674">
            <w:r w:rsidRPr="008F1F7E">
              <w:rPr>
                <w:b/>
                <w:noProof/>
                <w:lang w:eastAsia="en-GB"/>
              </w:rPr>
              <w:drawing>
                <wp:inline distT="0" distB="0" distL="0" distR="0" wp14:anchorId="361CA63C" wp14:editId="361CA63D">
                  <wp:extent cx="3122083" cy="734018"/>
                  <wp:effectExtent l="19050" t="0" r="2117" b="0"/>
                  <wp:docPr id="4" name="Picture 1" descr="Compressed Public Health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ressed Public Health Wales logo"/>
                          <pic:cNvPicPr>
                            <a:picLocks noChangeAspect="1" noChangeArrowheads="1"/>
                          </pic:cNvPicPr>
                        </pic:nvPicPr>
                        <pic:blipFill>
                          <a:blip r:embed="rId12" cstate="print"/>
                          <a:srcRect/>
                          <a:stretch>
                            <a:fillRect/>
                          </a:stretch>
                        </pic:blipFill>
                        <pic:spPr bwMode="auto">
                          <a:xfrm>
                            <a:off x="0" y="0"/>
                            <a:ext cx="3125503" cy="734822"/>
                          </a:xfrm>
                          <a:prstGeom prst="rect">
                            <a:avLst/>
                          </a:prstGeom>
                          <a:noFill/>
                          <a:ln w="9525">
                            <a:noFill/>
                            <a:miter lim="800000"/>
                            <a:headEnd/>
                            <a:tailEnd/>
                          </a:ln>
                        </pic:spPr>
                      </pic:pic>
                    </a:graphicData>
                  </a:graphic>
                </wp:inline>
              </w:drawing>
            </w:r>
          </w:p>
        </w:tc>
        <w:tc>
          <w:tcPr>
            <w:tcW w:w="3668" w:type="dxa"/>
            <w:gridSpan w:val="3"/>
            <w:tcBorders>
              <w:bottom w:val="nil"/>
            </w:tcBorders>
          </w:tcPr>
          <w:p w14:paraId="361CA59A" w14:textId="77777777" w:rsidR="0013075E" w:rsidRPr="00D34F08" w:rsidRDefault="0013075E" w:rsidP="00EE7097">
            <w:pPr>
              <w:jc w:val="right"/>
              <w:rPr>
                <w:b/>
                <w:szCs w:val="24"/>
              </w:rPr>
            </w:pPr>
            <w:r w:rsidRPr="00D34F08">
              <w:rPr>
                <w:b/>
                <w:szCs w:val="24"/>
              </w:rPr>
              <w:t>Name of Meeting</w:t>
            </w:r>
          </w:p>
          <w:sdt>
            <w:sdtPr>
              <w:rPr>
                <w:rStyle w:val="Dropdown"/>
              </w:rPr>
              <w:alias w:val="Name of meeting"/>
              <w:tag w:val="Name of meeting"/>
              <w:id w:val="1886526"/>
              <w:placeholder>
                <w:docPart w:val="B71CEBAFED744FBDBE7668212525C5EB"/>
              </w:placeholder>
              <w:dropDownList>
                <w:listItem w:value="Choose an item."/>
                <w:listItem w:displayText="Board" w:value="Board"/>
                <w:listItem w:displayText="Audit and Corporate Governance Committee" w:value="Audit and Corporate Governance Committee"/>
                <w:listItem w:displayText="People and Organisational Development Committee" w:value="People and Organisational Development Committee"/>
                <w:listItem w:displayText="Quality, Safety and Improvement Committee" w:value="Quality, Safety and Improvement Committee"/>
                <w:listItem w:displayText="Remuneration and Terms of Service Committee" w:value="Remuneration and Terms of Service Committee"/>
                <w:listItem w:displayText="Business Executive Team Meeting" w:value="Business Executive Team Meeting"/>
                <w:listItem w:displayText="Strategic Planning Executive Team" w:value="Strategic Planning Executive Team"/>
                <w:listItem w:displayText="Policy and Strategy Executive Team Meeting" w:value="Policy and Strategy Executive Team Meeting"/>
                <w:listItem w:displayText="Senior Leadership Team" w:value="Senior Leadership Team"/>
                <w:listItem w:displayText="Knowledge, Research and Information Committee" w:value="Knowledge, Research and Information Committee"/>
                <w:listItem w:displayText="Other (stated below)" w:value="Other (stated below)"/>
              </w:dropDownList>
            </w:sdtPr>
            <w:sdtEndPr>
              <w:rPr>
                <w:rStyle w:val="DefaultParagraphFont"/>
                <w:b/>
                <w:sz w:val="22"/>
                <w:szCs w:val="24"/>
              </w:rPr>
            </w:sdtEndPr>
            <w:sdtContent>
              <w:p w14:paraId="361CA59B" w14:textId="17BBFF19" w:rsidR="0013075E" w:rsidRPr="00EE7097" w:rsidRDefault="0035489F" w:rsidP="00EE7097">
                <w:pPr>
                  <w:jc w:val="right"/>
                  <w:rPr>
                    <w:b/>
                    <w:szCs w:val="24"/>
                  </w:rPr>
                </w:pPr>
                <w:r>
                  <w:rPr>
                    <w:rStyle w:val="Dropdown"/>
                  </w:rPr>
                  <w:t>Board</w:t>
                </w:r>
              </w:p>
            </w:sdtContent>
          </w:sdt>
        </w:tc>
      </w:tr>
      <w:tr w:rsidR="0013075E" w:rsidRPr="008F1F7E" w14:paraId="361CA5A0" w14:textId="77777777" w:rsidTr="00627629">
        <w:tc>
          <w:tcPr>
            <w:tcW w:w="5258" w:type="dxa"/>
            <w:gridSpan w:val="3"/>
            <w:vMerge/>
          </w:tcPr>
          <w:p w14:paraId="361CA59D" w14:textId="77777777" w:rsidR="0013075E" w:rsidRPr="008F1F7E" w:rsidRDefault="0013075E" w:rsidP="00CF7674">
            <w:pPr>
              <w:rPr>
                <w:b/>
                <w:noProof/>
                <w:lang w:eastAsia="en-GB"/>
              </w:rPr>
            </w:pPr>
          </w:p>
        </w:tc>
        <w:tc>
          <w:tcPr>
            <w:tcW w:w="3668" w:type="dxa"/>
            <w:gridSpan w:val="3"/>
            <w:tcBorders>
              <w:top w:val="nil"/>
              <w:bottom w:val="nil"/>
            </w:tcBorders>
          </w:tcPr>
          <w:p w14:paraId="361CA59E" w14:textId="77777777" w:rsidR="00D34F08" w:rsidRPr="00D34F08" w:rsidRDefault="00D34F08" w:rsidP="00EE7097">
            <w:pPr>
              <w:jc w:val="right"/>
              <w:rPr>
                <w:b/>
              </w:rPr>
            </w:pPr>
            <w:r w:rsidRPr="00D34F08">
              <w:rPr>
                <w:b/>
              </w:rPr>
              <w:t>Date of Meeting</w:t>
            </w:r>
          </w:p>
          <w:p w14:paraId="361CA59F" w14:textId="50FB0CB6" w:rsidR="0013075E" w:rsidRPr="00D34F08" w:rsidRDefault="0035489F" w:rsidP="00EC4BF7">
            <w:pPr>
              <w:jc w:val="right"/>
              <w:rPr>
                <w:color w:val="FF0000"/>
              </w:rPr>
            </w:pPr>
            <w:r>
              <w:t>30</w:t>
            </w:r>
            <w:r w:rsidR="00EC4BF7" w:rsidRPr="00EC4BF7">
              <w:t xml:space="preserve"> May 2019</w:t>
            </w:r>
          </w:p>
        </w:tc>
      </w:tr>
      <w:tr w:rsidR="00D4554C" w:rsidRPr="00D4554C" w14:paraId="361CA5A4" w14:textId="77777777" w:rsidTr="00627629">
        <w:tc>
          <w:tcPr>
            <w:tcW w:w="5258" w:type="dxa"/>
            <w:gridSpan w:val="3"/>
            <w:vMerge/>
            <w:tcBorders>
              <w:bottom w:val="single" w:sz="4" w:space="0" w:color="auto"/>
            </w:tcBorders>
          </w:tcPr>
          <w:p w14:paraId="361CA5A1" w14:textId="77777777" w:rsidR="0013075E" w:rsidRPr="008F1F7E" w:rsidRDefault="0013075E" w:rsidP="00CF7674">
            <w:pPr>
              <w:rPr>
                <w:b/>
                <w:noProof/>
                <w:lang w:eastAsia="en-GB"/>
              </w:rPr>
            </w:pPr>
          </w:p>
        </w:tc>
        <w:tc>
          <w:tcPr>
            <w:tcW w:w="3668" w:type="dxa"/>
            <w:gridSpan w:val="3"/>
            <w:tcBorders>
              <w:top w:val="nil"/>
              <w:bottom w:val="single" w:sz="4" w:space="0" w:color="auto"/>
            </w:tcBorders>
          </w:tcPr>
          <w:p w14:paraId="361CA5A2" w14:textId="77777777" w:rsidR="0013075E" w:rsidRPr="00D4554C" w:rsidRDefault="0013075E" w:rsidP="00EE7097">
            <w:pPr>
              <w:jc w:val="right"/>
              <w:rPr>
                <w:b/>
              </w:rPr>
            </w:pPr>
            <w:r w:rsidRPr="00D4554C">
              <w:rPr>
                <w:b/>
              </w:rPr>
              <w:t>Agenda item:</w:t>
            </w:r>
          </w:p>
          <w:p w14:paraId="361CA5A3" w14:textId="172443FB" w:rsidR="0013075E" w:rsidRPr="00D4554C" w:rsidRDefault="0035489F" w:rsidP="0035489F">
            <w:pPr>
              <w:jc w:val="right"/>
              <w:rPr>
                <w:i/>
              </w:rPr>
            </w:pPr>
            <w:r>
              <w:rPr>
                <w:i/>
              </w:rPr>
              <w:t>10.2</w:t>
            </w:r>
            <w:r w:rsidR="00D4554C" w:rsidRPr="00D4554C">
              <w:rPr>
                <w:i/>
              </w:rPr>
              <w:t>.</w:t>
            </w:r>
            <w:r>
              <w:rPr>
                <w:i/>
              </w:rPr>
              <w:t>30</w:t>
            </w:r>
            <w:r w:rsidR="00D4554C" w:rsidRPr="00D4554C">
              <w:rPr>
                <w:i/>
              </w:rPr>
              <w:t>0519</w:t>
            </w:r>
          </w:p>
        </w:tc>
      </w:tr>
      <w:tr w:rsidR="00D4554C" w:rsidRPr="00D4554C" w14:paraId="361CA5A8" w14:textId="77777777" w:rsidTr="00627629">
        <w:tc>
          <w:tcPr>
            <w:tcW w:w="8926" w:type="dxa"/>
            <w:gridSpan w:val="6"/>
            <w:tcBorders>
              <w:left w:val="nil"/>
              <w:right w:val="nil"/>
            </w:tcBorders>
            <w:vAlign w:val="center"/>
          </w:tcPr>
          <w:p w14:paraId="361CA5A7" w14:textId="77777777" w:rsidR="00D34F08" w:rsidRPr="00D4554C" w:rsidRDefault="00D34F08" w:rsidP="00EC4BF7">
            <w:pPr>
              <w:jc w:val="center"/>
              <w:rPr>
                <w:b/>
                <w:sz w:val="28"/>
              </w:rPr>
            </w:pPr>
          </w:p>
        </w:tc>
      </w:tr>
      <w:tr w:rsidR="00EE7097" w:rsidRPr="008F1F7E" w14:paraId="361CA5AA" w14:textId="77777777" w:rsidTr="00627629">
        <w:tc>
          <w:tcPr>
            <w:tcW w:w="8926" w:type="dxa"/>
            <w:gridSpan w:val="6"/>
            <w:vAlign w:val="center"/>
          </w:tcPr>
          <w:tbl>
            <w:tblPr>
              <w:tblW w:w="0" w:type="auto"/>
              <w:tblBorders>
                <w:top w:val="nil"/>
                <w:left w:val="nil"/>
                <w:bottom w:val="nil"/>
                <w:right w:val="nil"/>
              </w:tblBorders>
              <w:tblLayout w:type="fixed"/>
              <w:tblLook w:val="0000" w:firstRow="0" w:lastRow="0" w:firstColumn="0" w:lastColumn="0" w:noHBand="0" w:noVBand="0"/>
            </w:tblPr>
            <w:tblGrid>
              <w:gridCol w:w="8800"/>
            </w:tblGrid>
            <w:tr w:rsidR="00EC4BF7" w:rsidRPr="00EC4BF7" w14:paraId="2509413C" w14:textId="77777777" w:rsidTr="00627629">
              <w:trPr>
                <w:trHeight w:val="1051"/>
              </w:trPr>
              <w:tc>
                <w:tcPr>
                  <w:tcW w:w="8800" w:type="dxa"/>
                </w:tcPr>
                <w:p w14:paraId="3EDADCF5" w14:textId="77777777" w:rsidR="00EC4BF7" w:rsidRPr="00627629" w:rsidRDefault="00EC4BF7" w:rsidP="00EC4BF7">
                  <w:pPr>
                    <w:autoSpaceDE w:val="0"/>
                    <w:autoSpaceDN w:val="0"/>
                    <w:adjustRightInd w:val="0"/>
                    <w:rPr>
                      <w:rFonts w:cs="Verdana"/>
                      <w:b/>
                      <w:bCs/>
                      <w:color w:val="000000"/>
                      <w:szCs w:val="28"/>
                    </w:rPr>
                  </w:pPr>
                  <w:r w:rsidRPr="00627629">
                    <w:rPr>
                      <w:rFonts w:cs="Verdana"/>
                      <w:b/>
                      <w:bCs/>
                      <w:color w:val="000000"/>
                      <w:szCs w:val="28"/>
                    </w:rPr>
                    <w:t xml:space="preserve">Accountability Report – </w:t>
                  </w:r>
                </w:p>
                <w:p w14:paraId="0F8509B8" w14:textId="77777777" w:rsidR="00EC4BF7" w:rsidRPr="00627629" w:rsidRDefault="00EC4BF7" w:rsidP="00EC4BF7">
                  <w:pPr>
                    <w:pStyle w:val="ListParagraph"/>
                    <w:numPr>
                      <w:ilvl w:val="0"/>
                      <w:numId w:val="21"/>
                    </w:numPr>
                    <w:autoSpaceDE w:val="0"/>
                    <w:autoSpaceDN w:val="0"/>
                    <w:adjustRightInd w:val="0"/>
                    <w:rPr>
                      <w:rFonts w:cs="Verdana"/>
                      <w:b/>
                      <w:bCs/>
                      <w:color w:val="000000"/>
                      <w:szCs w:val="28"/>
                    </w:rPr>
                  </w:pPr>
                  <w:r w:rsidRPr="00627629">
                    <w:rPr>
                      <w:rFonts w:cs="Verdana"/>
                      <w:b/>
                      <w:bCs/>
                      <w:color w:val="000000"/>
                      <w:szCs w:val="28"/>
                    </w:rPr>
                    <w:t xml:space="preserve">Corporate Governance Report </w:t>
                  </w:r>
                </w:p>
                <w:p w14:paraId="1C9B090F" w14:textId="55894E13" w:rsidR="00EC4BF7" w:rsidRPr="00627629" w:rsidRDefault="00EC4BF7" w:rsidP="00EC4BF7">
                  <w:pPr>
                    <w:pStyle w:val="ListParagraph"/>
                    <w:numPr>
                      <w:ilvl w:val="0"/>
                      <w:numId w:val="21"/>
                    </w:numPr>
                    <w:autoSpaceDE w:val="0"/>
                    <w:autoSpaceDN w:val="0"/>
                    <w:adjustRightInd w:val="0"/>
                    <w:rPr>
                      <w:rFonts w:cs="Verdana"/>
                      <w:b/>
                      <w:bCs/>
                      <w:color w:val="000000"/>
                      <w:szCs w:val="28"/>
                    </w:rPr>
                  </w:pPr>
                  <w:r w:rsidRPr="00627629">
                    <w:rPr>
                      <w:rFonts w:cs="Verdana"/>
                      <w:b/>
                      <w:bCs/>
                      <w:color w:val="000000"/>
                      <w:szCs w:val="28"/>
                    </w:rPr>
                    <w:t xml:space="preserve">Remuneration and Staff Report </w:t>
                  </w:r>
                </w:p>
                <w:p w14:paraId="211B8239" w14:textId="77777777" w:rsidR="00EC4BF7" w:rsidRPr="00627629" w:rsidRDefault="00EC4BF7" w:rsidP="00EC4BF7">
                  <w:pPr>
                    <w:pStyle w:val="ListParagraph"/>
                    <w:numPr>
                      <w:ilvl w:val="0"/>
                      <w:numId w:val="21"/>
                    </w:numPr>
                    <w:autoSpaceDE w:val="0"/>
                    <w:autoSpaceDN w:val="0"/>
                    <w:adjustRightInd w:val="0"/>
                    <w:rPr>
                      <w:rFonts w:cs="Verdana"/>
                      <w:b/>
                      <w:bCs/>
                      <w:color w:val="000000"/>
                      <w:szCs w:val="28"/>
                    </w:rPr>
                  </w:pPr>
                  <w:r w:rsidRPr="00627629">
                    <w:rPr>
                      <w:rFonts w:cs="Verdana"/>
                      <w:b/>
                      <w:bCs/>
                      <w:color w:val="000000"/>
                      <w:szCs w:val="28"/>
                    </w:rPr>
                    <w:t>Long Term Expenditure Trends</w:t>
                  </w:r>
                </w:p>
                <w:p w14:paraId="6B728FF3" w14:textId="3BDCCFC5" w:rsidR="00EC4BF7" w:rsidRPr="00EC4BF7" w:rsidRDefault="00EC4BF7" w:rsidP="00EC4BF7">
                  <w:pPr>
                    <w:pStyle w:val="ListParagraph"/>
                    <w:numPr>
                      <w:ilvl w:val="0"/>
                      <w:numId w:val="21"/>
                    </w:numPr>
                    <w:autoSpaceDE w:val="0"/>
                    <w:autoSpaceDN w:val="0"/>
                    <w:adjustRightInd w:val="0"/>
                    <w:rPr>
                      <w:rFonts w:cs="Verdana"/>
                      <w:b/>
                      <w:bCs/>
                      <w:color w:val="000000"/>
                      <w:sz w:val="28"/>
                      <w:szCs w:val="28"/>
                    </w:rPr>
                  </w:pPr>
                  <w:r w:rsidRPr="00627629">
                    <w:rPr>
                      <w:rFonts w:cs="Verdana"/>
                      <w:b/>
                      <w:bCs/>
                      <w:color w:val="000000"/>
                      <w:szCs w:val="28"/>
                    </w:rPr>
                    <w:t>National Assembly for Wales Accountability and Audit Report 2017/18</w:t>
                  </w:r>
                </w:p>
              </w:tc>
            </w:tr>
          </w:tbl>
          <w:p w14:paraId="361CA5A9" w14:textId="67252CEC" w:rsidR="00EE7097" w:rsidRPr="00D34F08" w:rsidRDefault="00EE7097" w:rsidP="00EC4BF7">
            <w:pPr>
              <w:rPr>
                <w:b/>
                <w:sz w:val="36"/>
                <w:szCs w:val="36"/>
              </w:rPr>
            </w:pPr>
          </w:p>
        </w:tc>
      </w:tr>
      <w:tr w:rsidR="00EE7097" w:rsidRPr="001C60B5" w14:paraId="361CA5AD" w14:textId="77777777" w:rsidTr="00627629">
        <w:tc>
          <w:tcPr>
            <w:tcW w:w="1696" w:type="dxa"/>
          </w:tcPr>
          <w:p w14:paraId="361CA5AB" w14:textId="77777777" w:rsidR="00EE7097" w:rsidRPr="00627629" w:rsidRDefault="00EE7097">
            <w:pPr>
              <w:rPr>
                <w:b/>
                <w:sz w:val="23"/>
                <w:szCs w:val="23"/>
              </w:rPr>
            </w:pPr>
            <w:r w:rsidRPr="00627629">
              <w:rPr>
                <w:b/>
                <w:sz w:val="23"/>
                <w:szCs w:val="23"/>
              </w:rPr>
              <w:t>Executive lead:</w:t>
            </w:r>
          </w:p>
        </w:tc>
        <w:tc>
          <w:tcPr>
            <w:tcW w:w="7230" w:type="dxa"/>
            <w:gridSpan w:val="5"/>
          </w:tcPr>
          <w:p w14:paraId="3B5C78FA" w14:textId="33183073" w:rsidR="00EC4BF7" w:rsidRPr="00627629" w:rsidRDefault="00EC4BF7" w:rsidP="00EC4BF7">
            <w:pPr>
              <w:rPr>
                <w:sz w:val="23"/>
                <w:szCs w:val="23"/>
              </w:rPr>
            </w:pPr>
            <w:r w:rsidRPr="00627629">
              <w:rPr>
                <w:sz w:val="23"/>
                <w:szCs w:val="23"/>
              </w:rPr>
              <w:t>Huw George, Executive Director of Operations and Finance and Deputy Chief Executive</w:t>
            </w:r>
          </w:p>
          <w:p w14:paraId="361CA5AC" w14:textId="66E0AFF8" w:rsidR="00EE7097" w:rsidRPr="00627629" w:rsidRDefault="00EC4BF7" w:rsidP="00EC4BF7">
            <w:pPr>
              <w:rPr>
                <w:sz w:val="23"/>
                <w:szCs w:val="23"/>
              </w:rPr>
            </w:pPr>
            <w:r w:rsidRPr="00627629">
              <w:rPr>
                <w:sz w:val="23"/>
                <w:szCs w:val="23"/>
              </w:rPr>
              <w:t>Helen Bushell, Board Secretary and Head of Board Business Unit</w:t>
            </w:r>
          </w:p>
        </w:tc>
      </w:tr>
      <w:tr w:rsidR="00EE7097" w:rsidRPr="001C60B5" w14:paraId="361CA5B0" w14:textId="77777777" w:rsidTr="00627629">
        <w:tc>
          <w:tcPr>
            <w:tcW w:w="1696" w:type="dxa"/>
          </w:tcPr>
          <w:p w14:paraId="361CA5AE" w14:textId="77777777" w:rsidR="00EE7097" w:rsidRPr="00627629" w:rsidRDefault="00EE7097">
            <w:pPr>
              <w:rPr>
                <w:b/>
                <w:sz w:val="23"/>
                <w:szCs w:val="23"/>
              </w:rPr>
            </w:pPr>
            <w:r w:rsidRPr="00627629">
              <w:rPr>
                <w:b/>
                <w:sz w:val="23"/>
                <w:szCs w:val="23"/>
              </w:rPr>
              <w:t>Author:</w:t>
            </w:r>
          </w:p>
        </w:tc>
        <w:tc>
          <w:tcPr>
            <w:tcW w:w="7230" w:type="dxa"/>
            <w:gridSpan w:val="5"/>
          </w:tcPr>
          <w:p w14:paraId="61CEDAEF" w14:textId="77777777" w:rsidR="00EC4BF7" w:rsidRPr="00627629" w:rsidRDefault="00EC4BF7" w:rsidP="00EC4BF7">
            <w:pPr>
              <w:rPr>
                <w:sz w:val="23"/>
                <w:szCs w:val="23"/>
              </w:rPr>
            </w:pPr>
            <w:r w:rsidRPr="00627629">
              <w:rPr>
                <w:sz w:val="23"/>
                <w:szCs w:val="23"/>
              </w:rPr>
              <w:t>Corporate Governance Report: Eleanor Higgins, Corporate Governance Manager</w:t>
            </w:r>
          </w:p>
          <w:p w14:paraId="57B1EC79" w14:textId="77777777" w:rsidR="00EC4BF7" w:rsidRPr="00627629" w:rsidRDefault="00EC4BF7" w:rsidP="00EC4BF7">
            <w:pPr>
              <w:rPr>
                <w:sz w:val="23"/>
                <w:szCs w:val="23"/>
              </w:rPr>
            </w:pPr>
            <w:r w:rsidRPr="00627629">
              <w:rPr>
                <w:sz w:val="23"/>
                <w:szCs w:val="23"/>
              </w:rPr>
              <w:t>Remuneration Report: Lucy Day, Business and Policy Support Manager</w:t>
            </w:r>
          </w:p>
          <w:p w14:paraId="5FC9BC24" w14:textId="77777777" w:rsidR="00EC4BF7" w:rsidRPr="00627629" w:rsidRDefault="00EC4BF7" w:rsidP="00EC4BF7">
            <w:pPr>
              <w:rPr>
                <w:sz w:val="23"/>
                <w:szCs w:val="23"/>
              </w:rPr>
            </w:pPr>
            <w:r w:rsidRPr="00627629">
              <w:rPr>
                <w:sz w:val="23"/>
                <w:szCs w:val="23"/>
              </w:rPr>
              <w:t>Long Term Expenditure Trends: John Baker, Finance</w:t>
            </w:r>
          </w:p>
          <w:p w14:paraId="361CA5AF" w14:textId="59439747" w:rsidR="00EE7097" w:rsidRPr="00627629" w:rsidRDefault="00EC4BF7" w:rsidP="00EC4BF7">
            <w:pPr>
              <w:rPr>
                <w:sz w:val="23"/>
                <w:szCs w:val="23"/>
              </w:rPr>
            </w:pPr>
            <w:r w:rsidRPr="00627629">
              <w:rPr>
                <w:sz w:val="23"/>
                <w:szCs w:val="23"/>
              </w:rPr>
              <w:t>National Assembly for Wales Accountability and Audit Report: John Baker, Finance and Angela Fisher, Deputy Director and Head of Finance</w:t>
            </w:r>
          </w:p>
        </w:tc>
      </w:tr>
      <w:tr w:rsidR="00EE7097" w:rsidRPr="001C60B5" w14:paraId="361CA5B3" w14:textId="77777777" w:rsidTr="00627629">
        <w:trPr>
          <w:trHeight w:val="149"/>
        </w:trPr>
        <w:tc>
          <w:tcPr>
            <w:tcW w:w="1696" w:type="dxa"/>
            <w:tcBorders>
              <w:left w:val="nil"/>
              <w:right w:val="nil"/>
            </w:tcBorders>
          </w:tcPr>
          <w:p w14:paraId="361CA5B1" w14:textId="77777777" w:rsidR="00EE7097" w:rsidRPr="00627629" w:rsidRDefault="00EE7097">
            <w:pPr>
              <w:rPr>
                <w:b/>
                <w:sz w:val="23"/>
                <w:szCs w:val="23"/>
              </w:rPr>
            </w:pPr>
          </w:p>
        </w:tc>
        <w:tc>
          <w:tcPr>
            <w:tcW w:w="7230" w:type="dxa"/>
            <w:gridSpan w:val="5"/>
            <w:tcBorders>
              <w:left w:val="nil"/>
              <w:right w:val="nil"/>
            </w:tcBorders>
          </w:tcPr>
          <w:p w14:paraId="361CA5B2" w14:textId="77777777" w:rsidR="00EE7097" w:rsidRPr="00627629" w:rsidRDefault="00EE7097">
            <w:pPr>
              <w:rPr>
                <w:sz w:val="23"/>
                <w:szCs w:val="23"/>
              </w:rPr>
            </w:pPr>
          </w:p>
        </w:tc>
      </w:tr>
      <w:tr w:rsidR="00EE7097" w:rsidRPr="001C60B5" w14:paraId="361CA5B6" w14:textId="77777777" w:rsidTr="00627629">
        <w:tc>
          <w:tcPr>
            <w:tcW w:w="1696" w:type="dxa"/>
          </w:tcPr>
          <w:p w14:paraId="361CA5B4" w14:textId="77777777" w:rsidR="00EE7097" w:rsidRPr="00627629" w:rsidRDefault="00EE7097">
            <w:pPr>
              <w:rPr>
                <w:b/>
                <w:sz w:val="23"/>
                <w:szCs w:val="23"/>
              </w:rPr>
            </w:pPr>
            <w:r w:rsidRPr="00627629">
              <w:rPr>
                <w:b/>
                <w:sz w:val="23"/>
                <w:szCs w:val="23"/>
              </w:rPr>
              <w:t>Approval/Scrutiny route:</w:t>
            </w:r>
          </w:p>
        </w:tc>
        <w:tc>
          <w:tcPr>
            <w:tcW w:w="7230" w:type="dxa"/>
            <w:gridSpan w:val="5"/>
          </w:tcPr>
          <w:p w14:paraId="361CA5B5" w14:textId="4EDC6C53" w:rsidR="00EE7097" w:rsidRPr="00627629" w:rsidRDefault="00EC4BF7" w:rsidP="00EC4BF7">
            <w:pPr>
              <w:rPr>
                <w:sz w:val="23"/>
                <w:szCs w:val="23"/>
              </w:rPr>
            </w:pPr>
            <w:r w:rsidRPr="00627629">
              <w:rPr>
                <w:sz w:val="23"/>
                <w:szCs w:val="23"/>
              </w:rPr>
              <w:t>Draft Corporate Governance Report, Remuneration and Staff Report approved for submission to Welsh Government by Audit and Corporate Governance Committee on 2 May 2018</w:t>
            </w:r>
          </w:p>
        </w:tc>
      </w:tr>
      <w:tr w:rsidR="006C4A51" w:rsidRPr="001C60B5" w14:paraId="361CA5B8" w14:textId="77777777" w:rsidTr="00627629">
        <w:tc>
          <w:tcPr>
            <w:tcW w:w="8926" w:type="dxa"/>
            <w:gridSpan w:val="6"/>
            <w:tcBorders>
              <w:left w:val="nil"/>
              <w:bottom w:val="single" w:sz="4" w:space="0" w:color="auto"/>
              <w:right w:val="nil"/>
            </w:tcBorders>
          </w:tcPr>
          <w:p w14:paraId="361CA5B7" w14:textId="77777777" w:rsidR="006C4A51" w:rsidRPr="00627629" w:rsidRDefault="006C4A51">
            <w:pPr>
              <w:rPr>
                <w:b/>
                <w:sz w:val="23"/>
                <w:szCs w:val="23"/>
              </w:rPr>
            </w:pPr>
          </w:p>
        </w:tc>
      </w:tr>
      <w:tr w:rsidR="005B4E75" w:rsidRPr="001C60B5" w14:paraId="361CA5BA" w14:textId="77777777" w:rsidTr="00627629">
        <w:tc>
          <w:tcPr>
            <w:tcW w:w="8926" w:type="dxa"/>
            <w:gridSpan w:val="6"/>
            <w:tcBorders>
              <w:left w:val="single" w:sz="4" w:space="0" w:color="auto"/>
              <w:right w:val="single" w:sz="4" w:space="0" w:color="auto"/>
            </w:tcBorders>
          </w:tcPr>
          <w:p w14:paraId="361CA5B9" w14:textId="77777777" w:rsidR="005B4E75" w:rsidRPr="00627629" w:rsidRDefault="005B4E75">
            <w:pPr>
              <w:rPr>
                <w:b/>
                <w:sz w:val="23"/>
                <w:szCs w:val="23"/>
              </w:rPr>
            </w:pPr>
            <w:r w:rsidRPr="00627629">
              <w:rPr>
                <w:b/>
                <w:sz w:val="23"/>
                <w:szCs w:val="23"/>
              </w:rPr>
              <w:t>Purpose</w:t>
            </w:r>
          </w:p>
        </w:tc>
      </w:tr>
      <w:tr w:rsidR="005B4E75" w:rsidRPr="001C60B5" w14:paraId="361CA5BD" w14:textId="77777777" w:rsidTr="00627629">
        <w:tc>
          <w:tcPr>
            <w:tcW w:w="8926" w:type="dxa"/>
            <w:gridSpan w:val="6"/>
            <w:tcBorders>
              <w:left w:val="single" w:sz="4" w:space="0" w:color="auto"/>
              <w:right w:val="single" w:sz="4" w:space="0" w:color="auto"/>
            </w:tcBorders>
          </w:tcPr>
          <w:p w14:paraId="361CA5BC" w14:textId="631FF7C1" w:rsidR="001E5B78" w:rsidRPr="00627629" w:rsidRDefault="00EC4BF7" w:rsidP="00EC4BF7">
            <w:pPr>
              <w:spacing w:after="200"/>
              <w:rPr>
                <w:sz w:val="23"/>
                <w:szCs w:val="23"/>
              </w:rPr>
            </w:pPr>
            <w:r w:rsidRPr="00627629">
              <w:rPr>
                <w:sz w:val="23"/>
                <w:szCs w:val="23"/>
              </w:rPr>
              <w:t>Public Health Wales is required to provide an Accountability Report as part of the Annual Report and Accounts for 2017/18. Guidance on how to complete and display this report has been issued by Welsh Government in the Manual for Accounts, and by HM Treasury in the Financial Reporting Manual (FReM). This report introduces the final reports.</w:t>
            </w:r>
          </w:p>
        </w:tc>
      </w:tr>
      <w:tr w:rsidR="005B4E75" w:rsidRPr="001C60B5" w14:paraId="361CA5BF" w14:textId="77777777" w:rsidTr="00627629">
        <w:tc>
          <w:tcPr>
            <w:tcW w:w="8926" w:type="dxa"/>
            <w:gridSpan w:val="6"/>
            <w:tcBorders>
              <w:left w:val="nil"/>
              <w:right w:val="nil"/>
            </w:tcBorders>
          </w:tcPr>
          <w:p w14:paraId="361CA5BE" w14:textId="77777777" w:rsidR="005B4E75" w:rsidRPr="00627629" w:rsidRDefault="005B4E75">
            <w:pPr>
              <w:rPr>
                <w:b/>
                <w:sz w:val="23"/>
                <w:szCs w:val="23"/>
              </w:rPr>
            </w:pPr>
          </w:p>
        </w:tc>
      </w:tr>
      <w:tr w:rsidR="00EE7097" w:rsidRPr="001C60B5" w14:paraId="361CA5C1" w14:textId="77777777" w:rsidTr="00627629">
        <w:tc>
          <w:tcPr>
            <w:tcW w:w="8926" w:type="dxa"/>
            <w:gridSpan w:val="6"/>
          </w:tcPr>
          <w:p w14:paraId="361CA5C0" w14:textId="0F2F3935" w:rsidR="00EE7097" w:rsidRPr="00627629" w:rsidRDefault="0013075E" w:rsidP="00EC4BF7">
            <w:pPr>
              <w:rPr>
                <w:b/>
                <w:sz w:val="23"/>
                <w:szCs w:val="23"/>
              </w:rPr>
            </w:pPr>
            <w:r w:rsidRPr="00627629">
              <w:rPr>
                <w:b/>
                <w:sz w:val="23"/>
                <w:szCs w:val="23"/>
              </w:rPr>
              <w:t>Recommendation:</w:t>
            </w:r>
          </w:p>
        </w:tc>
      </w:tr>
      <w:tr w:rsidR="005B4E75" w:rsidRPr="001C60B5" w14:paraId="361CA5CC" w14:textId="77777777" w:rsidTr="00627629">
        <w:tc>
          <w:tcPr>
            <w:tcW w:w="1696" w:type="dxa"/>
            <w:tcBorders>
              <w:bottom w:val="single" w:sz="4" w:space="0" w:color="auto"/>
            </w:tcBorders>
          </w:tcPr>
          <w:p w14:paraId="361CA5C2" w14:textId="77777777" w:rsidR="005B4E75" w:rsidRPr="00627629" w:rsidRDefault="005B4E75" w:rsidP="00D34F08">
            <w:pPr>
              <w:jc w:val="center"/>
              <w:rPr>
                <w:sz w:val="23"/>
                <w:szCs w:val="23"/>
              </w:rPr>
            </w:pPr>
            <w:r w:rsidRPr="00627629">
              <w:rPr>
                <w:sz w:val="23"/>
                <w:szCs w:val="23"/>
              </w:rPr>
              <w:t>APPROVE</w:t>
            </w:r>
          </w:p>
          <w:p w14:paraId="361CA5C3" w14:textId="77777777" w:rsidR="005B4E75" w:rsidRPr="00627629" w:rsidRDefault="007F7EA7" w:rsidP="00D34F08">
            <w:pPr>
              <w:jc w:val="center"/>
              <w:rPr>
                <w:rFonts w:ascii="Wingdings" w:hAnsi="Wingdings"/>
                <w:sz w:val="23"/>
                <w:szCs w:val="23"/>
              </w:rPr>
            </w:pPr>
            <w:r w:rsidRPr="00627629">
              <w:rPr>
                <w:rFonts w:ascii="Wingdings" w:hAnsi="Wingdings"/>
                <w:sz w:val="23"/>
                <w:szCs w:val="23"/>
              </w:rPr>
              <w:fldChar w:fldCharType="begin">
                <w:ffData>
                  <w:name w:val="Check1"/>
                  <w:enabled/>
                  <w:calcOnExit w:val="0"/>
                  <w:checkBox>
                    <w:sizeAuto/>
                    <w:default w:val="0"/>
                  </w:checkBox>
                </w:ffData>
              </w:fldChar>
            </w:r>
            <w:bookmarkStart w:id="0" w:name="Check1"/>
            <w:r w:rsidR="005B4E75" w:rsidRPr="00627629">
              <w:rPr>
                <w:rFonts w:ascii="Wingdings" w:hAnsi="Wingdings"/>
                <w:sz w:val="23"/>
                <w:szCs w:val="23"/>
              </w:rPr>
              <w:instrText xml:space="preserve"> FORMCHECKBOX </w:instrText>
            </w:r>
            <w:r w:rsidR="004B77F7">
              <w:rPr>
                <w:rFonts w:ascii="Wingdings" w:hAnsi="Wingdings"/>
                <w:sz w:val="23"/>
                <w:szCs w:val="23"/>
              </w:rPr>
            </w:r>
            <w:r w:rsidR="004B77F7">
              <w:rPr>
                <w:rFonts w:ascii="Wingdings" w:hAnsi="Wingdings"/>
                <w:sz w:val="23"/>
                <w:szCs w:val="23"/>
              </w:rPr>
              <w:fldChar w:fldCharType="separate"/>
            </w:r>
            <w:r w:rsidRPr="00627629">
              <w:rPr>
                <w:rFonts w:ascii="Wingdings" w:hAnsi="Wingdings"/>
                <w:sz w:val="23"/>
                <w:szCs w:val="23"/>
              </w:rPr>
              <w:fldChar w:fldCharType="end"/>
            </w:r>
            <w:bookmarkEnd w:id="0"/>
          </w:p>
        </w:tc>
        <w:tc>
          <w:tcPr>
            <w:tcW w:w="1560" w:type="dxa"/>
            <w:tcBorders>
              <w:bottom w:val="single" w:sz="4" w:space="0" w:color="auto"/>
            </w:tcBorders>
          </w:tcPr>
          <w:p w14:paraId="361CA5C4" w14:textId="77777777" w:rsidR="005B4E75" w:rsidRPr="00627629" w:rsidRDefault="005B4E75" w:rsidP="00D34F08">
            <w:pPr>
              <w:jc w:val="center"/>
              <w:rPr>
                <w:sz w:val="23"/>
                <w:szCs w:val="23"/>
              </w:rPr>
            </w:pPr>
            <w:r w:rsidRPr="00627629">
              <w:rPr>
                <w:sz w:val="23"/>
                <w:szCs w:val="23"/>
              </w:rPr>
              <w:t>CONSIDER</w:t>
            </w:r>
          </w:p>
          <w:p w14:paraId="361CA5C5" w14:textId="77777777" w:rsidR="005B4E75" w:rsidRPr="00627629" w:rsidRDefault="007F7EA7" w:rsidP="00D34F08">
            <w:pPr>
              <w:jc w:val="center"/>
              <w:rPr>
                <w:sz w:val="23"/>
                <w:szCs w:val="23"/>
              </w:rPr>
            </w:pPr>
            <w:r w:rsidRPr="00627629">
              <w:rPr>
                <w:sz w:val="23"/>
                <w:szCs w:val="23"/>
              </w:rPr>
              <w:fldChar w:fldCharType="begin">
                <w:ffData>
                  <w:name w:val="Check2"/>
                  <w:enabled/>
                  <w:calcOnExit w:val="0"/>
                  <w:checkBox>
                    <w:sizeAuto/>
                    <w:default w:val="0"/>
                  </w:checkBox>
                </w:ffData>
              </w:fldChar>
            </w:r>
            <w:bookmarkStart w:id="1" w:name="Check2"/>
            <w:r w:rsidR="005B4E75" w:rsidRPr="00627629">
              <w:rPr>
                <w:sz w:val="23"/>
                <w:szCs w:val="23"/>
              </w:rPr>
              <w:instrText xml:space="preserve"> FORMCHECKBOX </w:instrText>
            </w:r>
            <w:r w:rsidR="004B77F7">
              <w:rPr>
                <w:sz w:val="23"/>
                <w:szCs w:val="23"/>
              </w:rPr>
            </w:r>
            <w:r w:rsidR="004B77F7">
              <w:rPr>
                <w:sz w:val="23"/>
                <w:szCs w:val="23"/>
              </w:rPr>
              <w:fldChar w:fldCharType="separate"/>
            </w:r>
            <w:r w:rsidRPr="00627629">
              <w:rPr>
                <w:sz w:val="23"/>
                <w:szCs w:val="23"/>
              </w:rPr>
              <w:fldChar w:fldCharType="end"/>
            </w:r>
            <w:bookmarkEnd w:id="1"/>
          </w:p>
        </w:tc>
        <w:tc>
          <w:tcPr>
            <w:tcW w:w="2277" w:type="dxa"/>
            <w:gridSpan w:val="2"/>
            <w:tcBorders>
              <w:bottom w:val="single" w:sz="4" w:space="0" w:color="auto"/>
            </w:tcBorders>
          </w:tcPr>
          <w:p w14:paraId="361CA5C6" w14:textId="77777777" w:rsidR="005B4E75" w:rsidRPr="00627629" w:rsidRDefault="005B4E75" w:rsidP="00D34F08">
            <w:pPr>
              <w:jc w:val="center"/>
              <w:rPr>
                <w:sz w:val="23"/>
                <w:szCs w:val="23"/>
              </w:rPr>
            </w:pPr>
            <w:r w:rsidRPr="00627629">
              <w:rPr>
                <w:sz w:val="23"/>
                <w:szCs w:val="23"/>
              </w:rPr>
              <w:t>RECOMMEND</w:t>
            </w:r>
          </w:p>
          <w:p w14:paraId="361CA5C7" w14:textId="3E7ED127" w:rsidR="005B4E75" w:rsidRPr="00627629" w:rsidRDefault="00EC4BF7" w:rsidP="00D34F08">
            <w:pPr>
              <w:jc w:val="center"/>
              <w:rPr>
                <w:sz w:val="23"/>
                <w:szCs w:val="23"/>
              </w:rPr>
            </w:pPr>
            <w:r w:rsidRPr="00627629">
              <w:rPr>
                <w:sz w:val="23"/>
                <w:szCs w:val="23"/>
              </w:rPr>
              <w:fldChar w:fldCharType="begin">
                <w:ffData>
                  <w:name w:val="Check3"/>
                  <w:enabled/>
                  <w:calcOnExit w:val="0"/>
                  <w:checkBox>
                    <w:sizeAuto/>
                    <w:default w:val="1"/>
                  </w:checkBox>
                </w:ffData>
              </w:fldChar>
            </w:r>
            <w:bookmarkStart w:id="2" w:name="Check3"/>
            <w:r w:rsidRPr="00627629">
              <w:rPr>
                <w:sz w:val="23"/>
                <w:szCs w:val="23"/>
              </w:rPr>
              <w:instrText xml:space="preserve"> FORMCHECKBOX </w:instrText>
            </w:r>
            <w:r w:rsidR="004B77F7">
              <w:rPr>
                <w:sz w:val="23"/>
                <w:szCs w:val="23"/>
              </w:rPr>
            </w:r>
            <w:r w:rsidR="004B77F7">
              <w:rPr>
                <w:sz w:val="23"/>
                <w:szCs w:val="23"/>
              </w:rPr>
              <w:fldChar w:fldCharType="separate"/>
            </w:r>
            <w:r w:rsidRPr="00627629">
              <w:rPr>
                <w:sz w:val="23"/>
                <w:szCs w:val="23"/>
              </w:rPr>
              <w:fldChar w:fldCharType="end"/>
            </w:r>
            <w:bookmarkEnd w:id="2"/>
          </w:p>
        </w:tc>
        <w:tc>
          <w:tcPr>
            <w:tcW w:w="1266" w:type="dxa"/>
            <w:tcBorders>
              <w:bottom w:val="single" w:sz="4" w:space="0" w:color="auto"/>
            </w:tcBorders>
          </w:tcPr>
          <w:p w14:paraId="361CA5C8" w14:textId="77777777" w:rsidR="005B4E75" w:rsidRPr="00627629" w:rsidRDefault="005B4E75" w:rsidP="00D34F08">
            <w:pPr>
              <w:jc w:val="center"/>
              <w:rPr>
                <w:sz w:val="23"/>
                <w:szCs w:val="23"/>
              </w:rPr>
            </w:pPr>
            <w:r w:rsidRPr="00627629">
              <w:rPr>
                <w:sz w:val="23"/>
                <w:szCs w:val="23"/>
              </w:rPr>
              <w:t>ADOPT</w:t>
            </w:r>
          </w:p>
          <w:p w14:paraId="361CA5C9" w14:textId="77777777" w:rsidR="005B4E75" w:rsidRPr="00627629" w:rsidRDefault="007F7EA7" w:rsidP="00D34F08">
            <w:pPr>
              <w:jc w:val="center"/>
              <w:rPr>
                <w:sz w:val="23"/>
                <w:szCs w:val="23"/>
              </w:rPr>
            </w:pPr>
            <w:r w:rsidRPr="00627629">
              <w:rPr>
                <w:sz w:val="23"/>
                <w:szCs w:val="23"/>
              </w:rPr>
              <w:fldChar w:fldCharType="begin">
                <w:ffData>
                  <w:name w:val="Check4"/>
                  <w:enabled/>
                  <w:calcOnExit w:val="0"/>
                  <w:checkBox>
                    <w:sizeAuto/>
                    <w:default w:val="0"/>
                  </w:checkBox>
                </w:ffData>
              </w:fldChar>
            </w:r>
            <w:bookmarkStart w:id="3" w:name="Check4"/>
            <w:r w:rsidR="005B4E75" w:rsidRPr="00627629">
              <w:rPr>
                <w:sz w:val="23"/>
                <w:szCs w:val="23"/>
              </w:rPr>
              <w:instrText xml:space="preserve"> FORMCHECKBOX </w:instrText>
            </w:r>
            <w:r w:rsidR="004B77F7">
              <w:rPr>
                <w:sz w:val="23"/>
                <w:szCs w:val="23"/>
              </w:rPr>
            </w:r>
            <w:r w:rsidR="004B77F7">
              <w:rPr>
                <w:sz w:val="23"/>
                <w:szCs w:val="23"/>
              </w:rPr>
              <w:fldChar w:fldCharType="separate"/>
            </w:r>
            <w:r w:rsidRPr="00627629">
              <w:rPr>
                <w:sz w:val="23"/>
                <w:szCs w:val="23"/>
              </w:rPr>
              <w:fldChar w:fldCharType="end"/>
            </w:r>
            <w:bookmarkEnd w:id="3"/>
          </w:p>
        </w:tc>
        <w:tc>
          <w:tcPr>
            <w:tcW w:w="2127" w:type="dxa"/>
            <w:tcBorders>
              <w:bottom w:val="single" w:sz="4" w:space="0" w:color="auto"/>
            </w:tcBorders>
          </w:tcPr>
          <w:p w14:paraId="361CA5CA" w14:textId="77777777" w:rsidR="005B4E75" w:rsidRPr="00627629" w:rsidRDefault="00141FC5" w:rsidP="00D34F08">
            <w:pPr>
              <w:jc w:val="center"/>
              <w:rPr>
                <w:sz w:val="23"/>
                <w:szCs w:val="23"/>
              </w:rPr>
            </w:pPr>
            <w:r w:rsidRPr="00627629">
              <w:rPr>
                <w:sz w:val="23"/>
                <w:szCs w:val="23"/>
              </w:rPr>
              <w:t>ASSURANCE</w:t>
            </w:r>
          </w:p>
          <w:p w14:paraId="361CA5CB" w14:textId="77777777" w:rsidR="005B4E75" w:rsidRPr="00627629" w:rsidRDefault="007F7EA7" w:rsidP="00D34F08">
            <w:pPr>
              <w:jc w:val="center"/>
              <w:rPr>
                <w:sz w:val="23"/>
                <w:szCs w:val="23"/>
              </w:rPr>
            </w:pPr>
            <w:r w:rsidRPr="00627629">
              <w:rPr>
                <w:sz w:val="23"/>
                <w:szCs w:val="23"/>
              </w:rPr>
              <w:fldChar w:fldCharType="begin">
                <w:ffData>
                  <w:name w:val="Check5"/>
                  <w:enabled/>
                  <w:calcOnExit w:val="0"/>
                  <w:checkBox>
                    <w:sizeAuto/>
                    <w:default w:val="0"/>
                  </w:checkBox>
                </w:ffData>
              </w:fldChar>
            </w:r>
            <w:bookmarkStart w:id="4" w:name="Check5"/>
            <w:r w:rsidR="005B4E75" w:rsidRPr="00627629">
              <w:rPr>
                <w:sz w:val="23"/>
                <w:szCs w:val="23"/>
              </w:rPr>
              <w:instrText xml:space="preserve"> FORMCHECKBOX </w:instrText>
            </w:r>
            <w:r w:rsidR="004B77F7">
              <w:rPr>
                <w:sz w:val="23"/>
                <w:szCs w:val="23"/>
              </w:rPr>
            </w:r>
            <w:r w:rsidR="004B77F7">
              <w:rPr>
                <w:sz w:val="23"/>
                <w:szCs w:val="23"/>
              </w:rPr>
              <w:fldChar w:fldCharType="separate"/>
            </w:r>
            <w:r w:rsidRPr="00627629">
              <w:rPr>
                <w:sz w:val="23"/>
                <w:szCs w:val="23"/>
              </w:rPr>
              <w:fldChar w:fldCharType="end"/>
            </w:r>
            <w:bookmarkEnd w:id="4"/>
          </w:p>
        </w:tc>
      </w:tr>
      <w:tr w:rsidR="00EE7097" w:rsidRPr="001C60B5" w14:paraId="361CA5D3" w14:textId="77777777" w:rsidTr="00627629">
        <w:tc>
          <w:tcPr>
            <w:tcW w:w="8926" w:type="dxa"/>
            <w:gridSpan w:val="6"/>
            <w:tcBorders>
              <w:bottom w:val="single" w:sz="4" w:space="0" w:color="auto"/>
            </w:tcBorders>
          </w:tcPr>
          <w:p w14:paraId="73850632" w14:textId="77777777" w:rsidR="0035489F" w:rsidRDefault="0035489F" w:rsidP="0035489F">
            <w:pPr>
              <w:rPr>
                <w:szCs w:val="24"/>
              </w:rPr>
            </w:pPr>
            <w:r w:rsidRPr="001C60B5">
              <w:rPr>
                <w:szCs w:val="24"/>
              </w:rPr>
              <w:t>The</w:t>
            </w:r>
            <w:r w:rsidRPr="00BE36DE">
              <w:rPr>
                <w:szCs w:val="24"/>
              </w:rPr>
              <w:t xml:space="preserve"> </w:t>
            </w:r>
            <w:r>
              <w:rPr>
                <w:szCs w:val="24"/>
              </w:rPr>
              <w:t>Board</w:t>
            </w:r>
            <w:r w:rsidRPr="00BE36DE">
              <w:rPr>
                <w:szCs w:val="24"/>
              </w:rPr>
              <w:t xml:space="preserve"> </w:t>
            </w:r>
            <w:r>
              <w:rPr>
                <w:szCs w:val="24"/>
              </w:rPr>
              <w:t>is asked to:</w:t>
            </w:r>
          </w:p>
          <w:p w14:paraId="514BAA7E" w14:textId="77777777" w:rsidR="0035489F" w:rsidRDefault="0035489F" w:rsidP="0035489F">
            <w:pPr>
              <w:pStyle w:val="ListParagraph"/>
              <w:numPr>
                <w:ilvl w:val="0"/>
                <w:numId w:val="17"/>
              </w:numPr>
              <w:rPr>
                <w:rFonts w:eastAsia="Times New Roman" w:cs="Times New Roman"/>
                <w:szCs w:val="20"/>
              </w:rPr>
            </w:pPr>
            <w:r>
              <w:rPr>
                <w:rFonts w:eastAsia="Times New Roman" w:cs="Times New Roman"/>
                <w:b/>
                <w:szCs w:val="20"/>
              </w:rPr>
              <w:t>Approve</w:t>
            </w:r>
            <w:r>
              <w:rPr>
                <w:rFonts w:eastAsia="Times New Roman" w:cs="Times New Roman"/>
                <w:szCs w:val="20"/>
              </w:rPr>
              <w:t xml:space="preserve"> </w:t>
            </w:r>
            <w:r w:rsidRPr="00F12D2A">
              <w:rPr>
                <w:rFonts w:eastAsia="Times New Roman" w:cs="Times New Roman"/>
                <w:szCs w:val="20"/>
              </w:rPr>
              <w:t xml:space="preserve">the </w:t>
            </w:r>
            <w:r>
              <w:rPr>
                <w:rFonts w:cs="Arial"/>
                <w:szCs w:val="24"/>
              </w:rPr>
              <w:t>Accountability Report</w:t>
            </w:r>
            <w:r>
              <w:rPr>
                <w:rFonts w:eastAsia="Times New Roman" w:cs="Times New Roman"/>
                <w:szCs w:val="20"/>
              </w:rPr>
              <w:t xml:space="preserve">. </w:t>
            </w:r>
          </w:p>
          <w:p w14:paraId="361CA5D2" w14:textId="43ECEE76" w:rsidR="00916053" w:rsidRPr="00627629" w:rsidRDefault="00627629" w:rsidP="0035489F">
            <w:pPr>
              <w:pStyle w:val="ListParagraph"/>
              <w:numPr>
                <w:ilvl w:val="0"/>
                <w:numId w:val="17"/>
              </w:numPr>
              <w:rPr>
                <w:b/>
                <w:sz w:val="23"/>
                <w:szCs w:val="23"/>
              </w:rPr>
            </w:pPr>
            <w:r w:rsidRPr="00627629">
              <w:rPr>
                <w:rFonts w:cs="Verdana"/>
                <w:color w:val="000000"/>
                <w:sz w:val="23"/>
                <w:szCs w:val="23"/>
              </w:rPr>
              <w:t>Once approved, it will be submitted to Welsh Government on 31 May 2019</w:t>
            </w:r>
          </w:p>
        </w:tc>
      </w:tr>
    </w:tbl>
    <w:p w14:paraId="361CA5D4" w14:textId="0ED47F5B" w:rsidR="00916053" w:rsidRDefault="00916053"/>
    <w:tbl>
      <w:tblPr>
        <w:tblStyle w:val="TableGrid"/>
        <w:tblW w:w="0" w:type="auto"/>
        <w:tblLook w:val="04A0" w:firstRow="1" w:lastRow="0" w:firstColumn="1" w:lastColumn="0" w:noHBand="0" w:noVBand="1"/>
      </w:tblPr>
      <w:tblGrid>
        <w:gridCol w:w="3192"/>
        <w:gridCol w:w="5834"/>
      </w:tblGrid>
      <w:tr w:rsidR="00D713DC" w:rsidRPr="001C60B5" w14:paraId="361CA5D6" w14:textId="77777777" w:rsidTr="00480353">
        <w:tc>
          <w:tcPr>
            <w:tcW w:w="9026" w:type="dxa"/>
            <w:gridSpan w:val="2"/>
            <w:tcBorders>
              <w:left w:val="nil"/>
              <w:right w:val="nil"/>
            </w:tcBorders>
            <w:shd w:val="clear" w:color="auto" w:fill="auto"/>
          </w:tcPr>
          <w:p w14:paraId="361CA5D5" w14:textId="77777777" w:rsidR="00D713DC" w:rsidRPr="005B4E75" w:rsidRDefault="00D713DC">
            <w:pPr>
              <w:rPr>
                <w:b/>
                <w:sz w:val="12"/>
                <w:szCs w:val="12"/>
              </w:rPr>
            </w:pPr>
          </w:p>
        </w:tc>
      </w:tr>
      <w:tr w:rsidR="00EE7097" w:rsidRPr="001C60B5" w14:paraId="361CA5DC" w14:textId="77777777" w:rsidTr="00480353">
        <w:tc>
          <w:tcPr>
            <w:tcW w:w="9026" w:type="dxa"/>
            <w:gridSpan w:val="2"/>
            <w:shd w:val="clear" w:color="auto" w:fill="F2F2F2" w:themeFill="background1" w:themeFillShade="F2"/>
          </w:tcPr>
          <w:p w14:paraId="361CA5D7" w14:textId="77777777" w:rsidR="00EE7097" w:rsidRPr="001C60B5" w:rsidRDefault="00EE7097" w:rsidP="00680248">
            <w:pPr>
              <w:rPr>
                <w:szCs w:val="24"/>
              </w:rPr>
            </w:pPr>
            <w:r w:rsidRPr="001C60B5">
              <w:rPr>
                <w:b/>
                <w:szCs w:val="24"/>
              </w:rPr>
              <w:lastRenderedPageBreak/>
              <w:t xml:space="preserve">Link to Public Health Wales </w:t>
            </w:r>
            <w:hyperlink r:id="rId13" w:history="1">
              <w:r w:rsidRPr="001C60B5">
                <w:rPr>
                  <w:rStyle w:val="Hyperlink"/>
                  <w:b/>
                  <w:szCs w:val="24"/>
                </w:rPr>
                <w:t>Strategic Plan</w:t>
              </w:r>
            </w:hyperlink>
          </w:p>
          <w:p w14:paraId="361CA5D8" w14:textId="77777777" w:rsidR="00EE7097" w:rsidRPr="001C60B5" w:rsidRDefault="00EE7097" w:rsidP="00680248">
            <w:pPr>
              <w:rPr>
                <w:szCs w:val="24"/>
              </w:rPr>
            </w:pPr>
          </w:p>
          <w:p w14:paraId="361CA5D9" w14:textId="77777777" w:rsidR="0013075E" w:rsidRDefault="00B52B29" w:rsidP="00EE7097">
            <w:pPr>
              <w:rPr>
                <w:szCs w:val="24"/>
              </w:rPr>
            </w:pPr>
            <w:r w:rsidRPr="001C60B5">
              <w:rPr>
                <w:szCs w:val="24"/>
              </w:rPr>
              <w:t>Public Health Wales has an agreed strategic plan</w:t>
            </w:r>
            <w:r>
              <w:rPr>
                <w:szCs w:val="24"/>
              </w:rPr>
              <w:t xml:space="preserve">, which has identified seven strategic priorities and well-being objectives.  </w:t>
            </w:r>
          </w:p>
          <w:p w14:paraId="361CA5DA" w14:textId="77777777" w:rsidR="00B52B29" w:rsidRDefault="00B52B29" w:rsidP="00EE7097">
            <w:pPr>
              <w:rPr>
                <w:bCs/>
                <w:szCs w:val="24"/>
              </w:rPr>
            </w:pPr>
          </w:p>
          <w:p w14:paraId="361CA5DB" w14:textId="77777777" w:rsidR="00EE7097" w:rsidRPr="001C60B5" w:rsidRDefault="00EE7097" w:rsidP="00EE7097">
            <w:pPr>
              <w:rPr>
                <w:szCs w:val="24"/>
              </w:rPr>
            </w:pPr>
            <w:r w:rsidRPr="001C60B5">
              <w:rPr>
                <w:szCs w:val="24"/>
              </w:rPr>
              <w:t>This report contributes to the following:</w:t>
            </w:r>
          </w:p>
        </w:tc>
      </w:tr>
      <w:tr w:rsidR="00EE7097" w:rsidRPr="001C60B5" w14:paraId="361CA5DF" w14:textId="77777777" w:rsidTr="00480353">
        <w:tc>
          <w:tcPr>
            <w:tcW w:w="3192" w:type="dxa"/>
            <w:shd w:val="clear" w:color="auto" w:fill="auto"/>
          </w:tcPr>
          <w:p w14:paraId="361CA5DD" w14:textId="77777777" w:rsidR="00EE7097" w:rsidRPr="001C60B5" w:rsidRDefault="00B52B29" w:rsidP="00B52B29">
            <w:pPr>
              <w:rPr>
                <w:b/>
                <w:szCs w:val="24"/>
              </w:rPr>
            </w:pPr>
            <w:r w:rsidRPr="001C60B5">
              <w:rPr>
                <w:b/>
                <w:szCs w:val="24"/>
              </w:rPr>
              <w:t xml:space="preserve">Strategic </w:t>
            </w:r>
            <w:r>
              <w:rPr>
                <w:b/>
                <w:szCs w:val="24"/>
              </w:rPr>
              <w:t>Priority/Well-being Objective</w:t>
            </w:r>
          </w:p>
        </w:tc>
        <w:tc>
          <w:tcPr>
            <w:tcW w:w="5834" w:type="dxa"/>
            <w:shd w:val="clear" w:color="auto" w:fill="auto"/>
          </w:tcPr>
          <w:p w14:paraId="361CA5DE" w14:textId="6931ED12" w:rsidR="00EE7097" w:rsidRPr="0013075E" w:rsidRDefault="004B77F7" w:rsidP="00554429">
            <w:pPr>
              <w:rPr>
                <w:szCs w:val="24"/>
              </w:rPr>
            </w:pPr>
            <w:sdt>
              <w:sdtPr>
                <w:rPr>
                  <w:rStyle w:val="Dropdown"/>
                </w:rPr>
                <w:alias w:val="Strategic Objective"/>
                <w:tag w:val="Strategic Objective"/>
                <w:id w:val="1886465"/>
                <w:placeholder>
                  <w:docPart w:val="0E25CCC5DD4F43AAA642CDCC18DDB6A6"/>
                </w:placeholder>
                <w:dropDownList>
                  <w:listItem w:value="Choose an item."/>
                  <w:listItem w:displayText="1 - Influencing the wider determinants of health" w:value="1 - Influencing the wider determinants of health"/>
                  <w:listItem w:displayText="2 - Improving mental-well-being and building resilience" w:value="2 - Improving mental-well-being and building resilience"/>
                  <w:listItem w:displayText="3 - Promoting healthy behaviours" w:value="3 - Promoting healthy behaviours"/>
                  <w:listItem w:displayText="4 - Securing a healthy future for the next generation through a focus on early years" w:value="4 - Securing a healthy future for the next generation through a focus on early years"/>
                  <w:listItem w:displayText="5 - Protecting the public from infection and environmental threats to health" w:value="5 - Protecting the public from infection and environmental threats to health"/>
                  <w:listItem w:displayText="6 - Supporting the development of a sustainable health and care system focused on prevention and early intervention" w:value="6 - Supporting the development of a sustainable health and care system focused on prevention and early intervention"/>
                  <w:listItem w:displayText="7 - Building and mobilising knowledge and skills to improve health and well-being across Wales" w:value="7 - Building and mobilising knowledge and skills to improve health and well-being across Wales"/>
                  <w:listItem w:displayText="All Strategic Priorities/Well-being Objectives" w:value="All Strategic Priorities/Well-being Objectives"/>
                </w:dropDownList>
              </w:sdtPr>
              <w:sdtEndPr>
                <w:rPr>
                  <w:rStyle w:val="DefaultParagraphFont"/>
                  <w:sz w:val="22"/>
                  <w:szCs w:val="24"/>
                </w:rPr>
              </w:sdtEndPr>
              <w:sdtContent>
                <w:r w:rsidR="00627629">
                  <w:rPr>
                    <w:rStyle w:val="Dropdown"/>
                  </w:rPr>
                  <w:t>7 - Building and mobilising knowledge and skills to improve health and well-being across Wales</w:t>
                </w:r>
              </w:sdtContent>
            </w:sdt>
          </w:p>
        </w:tc>
      </w:tr>
      <w:tr w:rsidR="00EE7097" w:rsidRPr="001C60B5" w14:paraId="361CA5E7" w14:textId="77777777" w:rsidTr="00480353">
        <w:tc>
          <w:tcPr>
            <w:tcW w:w="9026" w:type="dxa"/>
            <w:gridSpan w:val="2"/>
            <w:tcBorders>
              <w:left w:val="nil"/>
              <w:right w:val="nil"/>
            </w:tcBorders>
            <w:shd w:val="clear" w:color="auto" w:fill="auto"/>
          </w:tcPr>
          <w:p w14:paraId="361CA5E6" w14:textId="77777777" w:rsidR="00EE7097" w:rsidRPr="005B4E75" w:rsidRDefault="00EE7097" w:rsidP="00211B9D">
            <w:pPr>
              <w:rPr>
                <w:b/>
                <w:sz w:val="12"/>
                <w:szCs w:val="12"/>
              </w:rPr>
            </w:pPr>
          </w:p>
        </w:tc>
      </w:tr>
      <w:tr w:rsidR="00EE7097" w:rsidRPr="001C60B5" w14:paraId="361CA5EA" w14:textId="77777777" w:rsidTr="00480353">
        <w:tc>
          <w:tcPr>
            <w:tcW w:w="9026" w:type="dxa"/>
            <w:gridSpan w:val="2"/>
            <w:shd w:val="clear" w:color="auto" w:fill="F2F2F2" w:themeFill="background1" w:themeFillShade="F2"/>
          </w:tcPr>
          <w:p w14:paraId="361CA5E8" w14:textId="77777777" w:rsidR="00EE7097" w:rsidRPr="001C60B5" w:rsidRDefault="00EE7097" w:rsidP="00211B9D">
            <w:pPr>
              <w:rPr>
                <w:i/>
                <w:color w:val="FF0000"/>
                <w:szCs w:val="24"/>
              </w:rPr>
            </w:pPr>
            <w:r w:rsidRPr="001C60B5">
              <w:rPr>
                <w:b/>
                <w:szCs w:val="24"/>
              </w:rPr>
              <w:t xml:space="preserve">Summary impact analysis </w:t>
            </w:r>
            <w:r w:rsidRPr="001C60B5">
              <w:rPr>
                <w:i/>
                <w:color w:val="FF0000"/>
                <w:szCs w:val="24"/>
              </w:rPr>
              <w:t xml:space="preserve"> </w:t>
            </w:r>
          </w:p>
          <w:p w14:paraId="361CA5E9" w14:textId="77777777" w:rsidR="00EE7097" w:rsidRPr="001C60B5" w:rsidRDefault="00EE7097" w:rsidP="00CA5841">
            <w:pPr>
              <w:rPr>
                <w:color w:val="FF0000"/>
                <w:szCs w:val="24"/>
              </w:rPr>
            </w:pPr>
          </w:p>
        </w:tc>
      </w:tr>
      <w:tr w:rsidR="00EE7097" w:rsidRPr="001C60B5" w14:paraId="361CA5F1" w14:textId="77777777" w:rsidTr="00480353">
        <w:tc>
          <w:tcPr>
            <w:tcW w:w="3192" w:type="dxa"/>
          </w:tcPr>
          <w:p w14:paraId="361CA5EB" w14:textId="77777777" w:rsidR="00EE7097" w:rsidRPr="00627629" w:rsidRDefault="00EE7097" w:rsidP="00097ACD">
            <w:pPr>
              <w:rPr>
                <w:b/>
                <w:szCs w:val="24"/>
              </w:rPr>
            </w:pPr>
            <w:r w:rsidRPr="00627629">
              <w:rPr>
                <w:b/>
                <w:szCs w:val="24"/>
              </w:rPr>
              <w:t>Equality and Health Impact Assessment</w:t>
            </w:r>
          </w:p>
        </w:tc>
        <w:tc>
          <w:tcPr>
            <w:tcW w:w="5834" w:type="dxa"/>
          </w:tcPr>
          <w:p w14:paraId="361CA5F0" w14:textId="5E10FCFC" w:rsidR="00EE7097" w:rsidRPr="00627629" w:rsidRDefault="00627629" w:rsidP="005D5FC4">
            <w:pPr>
              <w:rPr>
                <w:i/>
                <w:szCs w:val="24"/>
              </w:rPr>
            </w:pPr>
            <w:r w:rsidRPr="00627629">
              <w:rPr>
                <w:szCs w:val="24"/>
              </w:rPr>
              <w:t>A formal Equality and Health Impact Assessment is not required on this governance document. The Annual Governance Statement includes an overview of Equality, Diversity and Inclusion for 2017/18.</w:t>
            </w:r>
          </w:p>
        </w:tc>
      </w:tr>
      <w:tr w:rsidR="003A3414" w:rsidRPr="001C60B5" w14:paraId="361CA5F4" w14:textId="77777777" w:rsidTr="00480353">
        <w:tc>
          <w:tcPr>
            <w:tcW w:w="3192" w:type="dxa"/>
          </w:tcPr>
          <w:p w14:paraId="361CA5F2" w14:textId="77777777" w:rsidR="003A3414" w:rsidRPr="001C60B5" w:rsidRDefault="003A3414">
            <w:pPr>
              <w:rPr>
                <w:b/>
                <w:szCs w:val="24"/>
              </w:rPr>
            </w:pPr>
            <w:r>
              <w:rPr>
                <w:b/>
                <w:szCs w:val="24"/>
              </w:rPr>
              <w:t>Risk and Assurance</w:t>
            </w:r>
          </w:p>
        </w:tc>
        <w:tc>
          <w:tcPr>
            <w:tcW w:w="5834" w:type="dxa"/>
            <w:tcBorders>
              <w:bottom w:val="single" w:sz="4" w:space="0" w:color="auto"/>
            </w:tcBorders>
          </w:tcPr>
          <w:p w14:paraId="361CA5F3" w14:textId="57D15C28" w:rsidR="003A3414" w:rsidRPr="003A3414" w:rsidRDefault="00627629" w:rsidP="003A3414">
            <w:pPr>
              <w:rPr>
                <w:color w:val="FF0000"/>
                <w:szCs w:val="24"/>
              </w:rPr>
            </w:pPr>
            <w:r w:rsidRPr="00627629">
              <w:rPr>
                <w:szCs w:val="24"/>
              </w:rPr>
              <w:t>N/A</w:t>
            </w:r>
          </w:p>
        </w:tc>
      </w:tr>
      <w:tr w:rsidR="00EE7097" w:rsidRPr="001C60B5" w14:paraId="361CA5F7" w14:textId="77777777" w:rsidTr="00480353">
        <w:trPr>
          <w:trHeight w:val="1030"/>
        </w:trPr>
        <w:tc>
          <w:tcPr>
            <w:tcW w:w="3192" w:type="dxa"/>
            <w:vMerge w:val="restart"/>
          </w:tcPr>
          <w:p w14:paraId="361CA5F5" w14:textId="77777777" w:rsidR="00EE7097" w:rsidRPr="001C60B5" w:rsidRDefault="00EE7097">
            <w:pPr>
              <w:rPr>
                <w:b/>
                <w:szCs w:val="24"/>
              </w:rPr>
            </w:pPr>
            <w:r w:rsidRPr="001C60B5">
              <w:rPr>
                <w:b/>
                <w:szCs w:val="24"/>
              </w:rPr>
              <w:t>Health and Care Standards</w:t>
            </w:r>
          </w:p>
        </w:tc>
        <w:tc>
          <w:tcPr>
            <w:tcW w:w="5834" w:type="dxa"/>
            <w:tcBorders>
              <w:bottom w:val="nil"/>
            </w:tcBorders>
          </w:tcPr>
          <w:p w14:paraId="361CA5F6" w14:textId="77777777" w:rsidR="00EE7097" w:rsidRPr="001C60B5" w:rsidRDefault="00EE7097" w:rsidP="00126327">
            <w:pPr>
              <w:rPr>
                <w:szCs w:val="24"/>
              </w:rPr>
            </w:pPr>
            <w:r w:rsidRPr="001C60B5">
              <w:rPr>
                <w:szCs w:val="24"/>
              </w:rPr>
              <w:t xml:space="preserve">This report supports and/or takes into account the </w:t>
            </w:r>
            <w:hyperlink r:id="rId14" w:history="1">
              <w:r w:rsidRPr="001C60B5">
                <w:rPr>
                  <w:rStyle w:val="Hyperlink"/>
                  <w:color w:val="0000FF"/>
                  <w:szCs w:val="24"/>
                </w:rPr>
                <w:t>Health and Care Standards for NHS Wales</w:t>
              </w:r>
            </w:hyperlink>
            <w:r w:rsidRPr="001C60B5">
              <w:rPr>
                <w:szCs w:val="24"/>
              </w:rPr>
              <w:t xml:space="preserve"> Quality Themes</w:t>
            </w:r>
            <w:r w:rsidRPr="001C60B5">
              <w:rPr>
                <w:i/>
                <w:color w:val="FF0000"/>
                <w:szCs w:val="24"/>
              </w:rPr>
              <w:t xml:space="preserve"> </w:t>
            </w:r>
          </w:p>
        </w:tc>
      </w:tr>
      <w:tr w:rsidR="00E263D4" w:rsidRPr="001C60B5" w14:paraId="361CA5FA" w14:textId="77777777" w:rsidTr="00480353">
        <w:trPr>
          <w:trHeight w:val="281"/>
        </w:trPr>
        <w:tc>
          <w:tcPr>
            <w:tcW w:w="3192" w:type="dxa"/>
            <w:vMerge/>
          </w:tcPr>
          <w:p w14:paraId="361CA5F8" w14:textId="77777777" w:rsidR="00E263D4" w:rsidRPr="001C60B5" w:rsidRDefault="00E263D4" w:rsidP="00E263D4">
            <w:pPr>
              <w:rPr>
                <w:b/>
                <w:szCs w:val="24"/>
              </w:rPr>
            </w:pPr>
          </w:p>
        </w:tc>
        <w:tc>
          <w:tcPr>
            <w:tcW w:w="5834" w:type="dxa"/>
            <w:tcBorders>
              <w:top w:val="nil"/>
              <w:bottom w:val="nil"/>
            </w:tcBorders>
          </w:tcPr>
          <w:sdt>
            <w:sdtPr>
              <w:rPr>
                <w:rStyle w:val="Dropdown"/>
              </w:rPr>
              <w:alias w:val="Health and Care Standards"/>
              <w:tag w:val="Health and Care Standards"/>
              <w:id w:val="29471429"/>
              <w:placeholder>
                <w:docPart w:val="C04374CD51A040E4BEE1F4C1F29763FE"/>
              </w:placeholder>
              <w:dropDownList>
                <w:listItem w:value="Choose an item."/>
                <w:listItem w:displayText="Governance, Leadership and Accountability" w:value="Governance, Leadership and Accountability"/>
                <w:listItem w:displayText="Person Centred Care" w:value="Person Centred Care"/>
                <w:listItem w:displayText="Theme 1 - Staying Healthy" w:value="Theme 1 - Staying Healthy"/>
                <w:listItem w:displayText="Theme 2 - Safe Care" w:value="Theme 2 - Safe Care"/>
                <w:listItem w:displayText="Theme 3 - Effective Care" w:value="Theme 3 - Effective Care"/>
                <w:listItem w:displayText="Theme 4 - Dignified Care" w:value="Theme 4 - Dignified Care"/>
                <w:listItem w:displayText="Theme 5 - Timely Care" w:value="Theme 5 - Timely Care"/>
                <w:listItem w:displayText="Theme 6 - Individual Care" w:value="Theme 6 - Individual Care"/>
                <w:listItem w:displayText="Theme 7 - Staff and Resources" w:value="Theme 7 - Staff and Resources"/>
                <w:listItem w:displayText="All themes" w:value="All themes"/>
              </w:dropDownList>
            </w:sdtPr>
            <w:sdtEndPr>
              <w:rPr>
                <w:rStyle w:val="DefaultParagraphFont"/>
                <w:sz w:val="22"/>
                <w:szCs w:val="24"/>
              </w:rPr>
            </w:sdtEndPr>
            <w:sdtContent>
              <w:p w14:paraId="361CA5F9" w14:textId="3B74A5E5" w:rsidR="00E263D4" w:rsidRPr="001C60B5" w:rsidRDefault="00627629" w:rsidP="00E263D4">
                <w:pPr>
                  <w:ind w:left="436"/>
                  <w:rPr>
                    <w:szCs w:val="24"/>
                  </w:rPr>
                </w:pPr>
                <w:r>
                  <w:rPr>
                    <w:rStyle w:val="Dropdown"/>
                  </w:rPr>
                  <w:t>Governance, Leadership and Accountability</w:t>
                </w:r>
              </w:p>
            </w:sdtContent>
          </w:sdt>
        </w:tc>
      </w:tr>
      <w:tr w:rsidR="00EE7097" w:rsidRPr="001C60B5" w14:paraId="361CA603" w14:textId="77777777" w:rsidTr="00480353">
        <w:tc>
          <w:tcPr>
            <w:tcW w:w="3192" w:type="dxa"/>
          </w:tcPr>
          <w:p w14:paraId="361CA601" w14:textId="77777777" w:rsidR="00EE7097" w:rsidRPr="001C60B5" w:rsidRDefault="00EE7097">
            <w:pPr>
              <w:rPr>
                <w:b/>
                <w:szCs w:val="24"/>
              </w:rPr>
            </w:pPr>
            <w:r w:rsidRPr="001C60B5">
              <w:rPr>
                <w:b/>
                <w:szCs w:val="24"/>
              </w:rPr>
              <w:t>Financial implications</w:t>
            </w:r>
          </w:p>
        </w:tc>
        <w:tc>
          <w:tcPr>
            <w:tcW w:w="5834" w:type="dxa"/>
          </w:tcPr>
          <w:p w14:paraId="361CA602" w14:textId="28DC78F2" w:rsidR="00EE7097" w:rsidRPr="00627629" w:rsidRDefault="00627629" w:rsidP="007D03B8">
            <w:pPr>
              <w:rPr>
                <w:szCs w:val="24"/>
              </w:rPr>
            </w:pPr>
            <w:r w:rsidRPr="00627629">
              <w:rPr>
                <w:szCs w:val="24"/>
              </w:rPr>
              <w:t>There are no direct financial implications.</w:t>
            </w:r>
          </w:p>
        </w:tc>
      </w:tr>
      <w:tr w:rsidR="00EE7097" w:rsidRPr="001C60B5" w14:paraId="361CA606" w14:textId="77777777" w:rsidTr="00480353">
        <w:tc>
          <w:tcPr>
            <w:tcW w:w="3192" w:type="dxa"/>
          </w:tcPr>
          <w:p w14:paraId="361CA604" w14:textId="77777777" w:rsidR="00EE7097" w:rsidRPr="001C60B5" w:rsidRDefault="00EE7097">
            <w:pPr>
              <w:rPr>
                <w:b/>
                <w:szCs w:val="24"/>
              </w:rPr>
            </w:pPr>
            <w:r w:rsidRPr="001C60B5">
              <w:rPr>
                <w:b/>
                <w:szCs w:val="24"/>
              </w:rPr>
              <w:t xml:space="preserve">People implications </w:t>
            </w:r>
          </w:p>
        </w:tc>
        <w:tc>
          <w:tcPr>
            <w:tcW w:w="5834" w:type="dxa"/>
            <w:tcBorders>
              <w:bottom w:val="single" w:sz="4" w:space="0" w:color="auto"/>
            </w:tcBorders>
          </w:tcPr>
          <w:p w14:paraId="3A19D0FE" w14:textId="77777777" w:rsidR="00627629" w:rsidRPr="00627629" w:rsidRDefault="00627629" w:rsidP="00627629">
            <w:pPr>
              <w:rPr>
                <w:szCs w:val="24"/>
              </w:rPr>
            </w:pPr>
            <w:r w:rsidRPr="00627629">
              <w:rPr>
                <w:szCs w:val="24"/>
              </w:rPr>
              <w:t>There are no direct people implications, although the reports contains details pertaining to the Board members.</w:t>
            </w:r>
          </w:p>
          <w:p w14:paraId="361CA605" w14:textId="0B7381FA" w:rsidR="00EE7097" w:rsidRPr="00627629" w:rsidRDefault="00627629" w:rsidP="00627629">
            <w:pPr>
              <w:rPr>
                <w:szCs w:val="24"/>
              </w:rPr>
            </w:pPr>
            <w:r w:rsidRPr="00627629">
              <w:rPr>
                <w:szCs w:val="24"/>
              </w:rPr>
              <w:t>The Corporate Governance report also provides an overview of the business considered by the People and Organisational Development Committee in 2017/18.</w:t>
            </w:r>
          </w:p>
        </w:tc>
      </w:tr>
    </w:tbl>
    <w:p w14:paraId="361CA607" w14:textId="77777777" w:rsidR="007D03B8" w:rsidRPr="001C60B5" w:rsidRDefault="007D03B8" w:rsidP="006F654D">
      <w:pPr>
        <w:pStyle w:val="ListBullet"/>
        <w:rPr>
          <w:b/>
          <w:color w:val="FF0000"/>
          <w:szCs w:val="24"/>
        </w:rPr>
        <w:sectPr w:rsidR="007D03B8" w:rsidRPr="001C60B5" w:rsidSect="008902AA">
          <w:footerReference w:type="default" r:id="rId15"/>
          <w:pgSz w:w="11906" w:h="16838"/>
          <w:pgMar w:top="1440" w:right="1440" w:bottom="1440" w:left="1440" w:header="708" w:footer="708" w:gutter="0"/>
          <w:cols w:space="708"/>
          <w:docGrid w:linePitch="360"/>
        </w:sectPr>
      </w:pPr>
      <w:bookmarkStart w:id="5" w:name="_GoBack"/>
      <w:bookmarkEnd w:id="5"/>
    </w:p>
    <w:p w14:paraId="361CA608" w14:textId="77777777" w:rsidR="0087331D" w:rsidRPr="001C60B5" w:rsidRDefault="0087331D" w:rsidP="002B712E">
      <w:pPr>
        <w:pStyle w:val="Heading1"/>
        <w:numPr>
          <w:ilvl w:val="0"/>
          <w:numId w:val="2"/>
        </w:numPr>
        <w:ind w:left="567" w:hanging="567"/>
        <w:rPr>
          <w:szCs w:val="24"/>
        </w:rPr>
      </w:pPr>
      <w:r w:rsidRPr="001C60B5">
        <w:rPr>
          <w:szCs w:val="24"/>
        </w:rPr>
        <w:lastRenderedPageBreak/>
        <w:t>Purpose</w:t>
      </w:r>
      <w:r w:rsidR="00051E74" w:rsidRPr="001C60B5">
        <w:rPr>
          <w:szCs w:val="24"/>
        </w:rPr>
        <w:t xml:space="preserve"> / situation</w:t>
      </w:r>
    </w:p>
    <w:p w14:paraId="4AA99830" w14:textId="205E3728" w:rsidR="00627629" w:rsidRDefault="00627629" w:rsidP="00627629">
      <w:pPr>
        <w:pStyle w:val="Default"/>
      </w:pPr>
    </w:p>
    <w:p w14:paraId="67404F1D" w14:textId="77777777" w:rsidR="00627629" w:rsidRDefault="00627629" w:rsidP="00627629">
      <w:pPr>
        <w:pStyle w:val="Default"/>
        <w:jc w:val="both"/>
        <w:rPr>
          <w:sz w:val="23"/>
          <w:szCs w:val="23"/>
        </w:rPr>
      </w:pPr>
      <w:r>
        <w:rPr>
          <w:sz w:val="23"/>
          <w:szCs w:val="23"/>
        </w:rPr>
        <w:t xml:space="preserve">Public Health Wales is required to provide an Accountability Report as part of the Annual Report and Accounts for 2016/17. Guidance on how to complete and display these reports has been issued by Welsh Government Manual for Accounts, and by HM Treasury in the Financial Reporting Manual (FReM). </w:t>
      </w:r>
    </w:p>
    <w:p w14:paraId="2927F808" w14:textId="77777777" w:rsidR="00627629" w:rsidRDefault="00627629" w:rsidP="00627629">
      <w:pPr>
        <w:pStyle w:val="Default"/>
        <w:jc w:val="both"/>
        <w:rPr>
          <w:sz w:val="23"/>
          <w:szCs w:val="23"/>
        </w:rPr>
      </w:pPr>
    </w:p>
    <w:p w14:paraId="7D632557" w14:textId="153E266D" w:rsidR="00627629" w:rsidRDefault="00627629" w:rsidP="00627629">
      <w:pPr>
        <w:pStyle w:val="Default"/>
        <w:jc w:val="both"/>
        <w:rPr>
          <w:sz w:val="23"/>
          <w:szCs w:val="23"/>
        </w:rPr>
      </w:pPr>
      <w:r>
        <w:rPr>
          <w:sz w:val="23"/>
          <w:szCs w:val="23"/>
        </w:rPr>
        <w:t xml:space="preserve">The Audit and Corporate Governance Committee considered an earlier draft of the Corporate Governance Report and Remuneration and Staff Report at its meeting on 2 May 2018. Following the meeting, this was submitted to the Welsh Government and the Wales Audit Office for review. Comments were received from Welsh Government and Wales Audit Office and have been incorporated into the final draft. </w:t>
      </w:r>
      <w:r w:rsidR="0035489F">
        <w:t>The final drafts w</w:t>
      </w:r>
      <w:r w:rsidR="0035489F">
        <w:t>ould be</w:t>
      </w:r>
      <w:r w:rsidR="0035489F">
        <w:t xml:space="preserve"> considered by the Audit and Corporate Governance Committee on 30 May 201</w:t>
      </w:r>
      <w:r w:rsidR="0035489F">
        <w:t>9</w:t>
      </w:r>
      <w:r w:rsidR="0035489F">
        <w:t xml:space="preserve"> for recommendation to the Board for approval.</w:t>
      </w:r>
    </w:p>
    <w:p w14:paraId="361CA60B" w14:textId="77777777" w:rsidR="0087331D" w:rsidRPr="001C60B5" w:rsidRDefault="0087331D" w:rsidP="002B712E">
      <w:pPr>
        <w:pStyle w:val="Heading1"/>
        <w:numPr>
          <w:ilvl w:val="0"/>
          <w:numId w:val="2"/>
        </w:numPr>
        <w:ind w:left="567" w:hanging="567"/>
        <w:rPr>
          <w:szCs w:val="24"/>
        </w:rPr>
      </w:pPr>
      <w:r w:rsidRPr="001C60B5">
        <w:rPr>
          <w:szCs w:val="24"/>
        </w:rPr>
        <w:t>Background</w:t>
      </w:r>
    </w:p>
    <w:p w14:paraId="0157CE47" w14:textId="77777777" w:rsidR="00627629" w:rsidRDefault="00627629" w:rsidP="00627629">
      <w:pPr>
        <w:jc w:val="both"/>
        <w:rPr>
          <w:szCs w:val="24"/>
        </w:rPr>
      </w:pPr>
    </w:p>
    <w:p w14:paraId="064154BF" w14:textId="7300D0D1" w:rsidR="00627629" w:rsidRPr="00627629" w:rsidRDefault="00627629" w:rsidP="00627629">
      <w:pPr>
        <w:jc w:val="both"/>
        <w:rPr>
          <w:szCs w:val="24"/>
        </w:rPr>
      </w:pPr>
      <w:r w:rsidRPr="00627629">
        <w:rPr>
          <w:szCs w:val="24"/>
        </w:rPr>
        <w:t>NHS bodies are required to publish, as a single document, a three-part annual report and accounts which includes:</w:t>
      </w:r>
    </w:p>
    <w:p w14:paraId="135CC795" w14:textId="15594918" w:rsidR="00627629" w:rsidRPr="00627629" w:rsidRDefault="00627629" w:rsidP="00627629">
      <w:pPr>
        <w:pStyle w:val="ListParagraph"/>
        <w:numPr>
          <w:ilvl w:val="0"/>
          <w:numId w:val="22"/>
        </w:numPr>
        <w:jc w:val="both"/>
        <w:rPr>
          <w:szCs w:val="24"/>
        </w:rPr>
      </w:pPr>
      <w:r w:rsidRPr="00627629">
        <w:rPr>
          <w:szCs w:val="24"/>
        </w:rPr>
        <w:t xml:space="preserve">The Performance Report, </w:t>
      </w:r>
      <w:r w:rsidR="00262B18">
        <w:rPr>
          <w:szCs w:val="24"/>
        </w:rPr>
        <w:t xml:space="preserve">which is still in development and will be submitted to Welsh Government in mid June.  This report </w:t>
      </w:r>
      <w:r w:rsidRPr="00627629">
        <w:rPr>
          <w:szCs w:val="24"/>
        </w:rPr>
        <w:t>must include:</w:t>
      </w:r>
    </w:p>
    <w:p w14:paraId="69614856" w14:textId="6D6E2B28" w:rsidR="00627629" w:rsidRPr="00627629" w:rsidRDefault="00627629" w:rsidP="00627629">
      <w:pPr>
        <w:pStyle w:val="ListParagraph"/>
        <w:numPr>
          <w:ilvl w:val="0"/>
          <w:numId w:val="17"/>
        </w:numPr>
        <w:jc w:val="both"/>
        <w:rPr>
          <w:szCs w:val="24"/>
        </w:rPr>
      </w:pPr>
      <w:r w:rsidRPr="00627629">
        <w:rPr>
          <w:szCs w:val="24"/>
        </w:rPr>
        <w:t>An overview</w:t>
      </w:r>
    </w:p>
    <w:p w14:paraId="542107B2" w14:textId="15261760" w:rsidR="00627629" w:rsidRDefault="00262B18" w:rsidP="00627629">
      <w:pPr>
        <w:pStyle w:val="ListParagraph"/>
        <w:numPr>
          <w:ilvl w:val="0"/>
          <w:numId w:val="17"/>
        </w:numPr>
        <w:jc w:val="both"/>
        <w:rPr>
          <w:szCs w:val="24"/>
        </w:rPr>
      </w:pPr>
      <w:r>
        <w:rPr>
          <w:szCs w:val="24"/>
        </w:rPr>
        <w:t>A Performance analysis</w:t>
      </w:r>
    </w:p>
    <w:p w14:paraId="715B75C5" w14:textId="3F20ADBF" w:rsidR="00262B18" w:rsidRPr="00627629" w:rsidRDefault="00262B18" w:rsidP="00627629">
      <w:pPr>
        <w:pStyle w:val="ListParagraph"/>
        <w:numPr>
          <w:ilvl w:val="0"/>
          <w:numId w:val="17"/>
        </w:numPr>
        <w:jc w:val="both"/>
        <w:rPr>
          <w:szCs w:val="24"/>
        </w:rPr>
      </w:pPr>
      <w:r>
        <w:rPr>
          <w:szCs w:val="24"/>
        </w:rPr>
        <w:t>A summary of long term expenditure trends</w:t>
      </w:r>
    </w:p>
    <w:p w14:paraId="2EBE8630" w14:textId="77777777" w:rsidR="00627629" w:rsidRPr="00627629" w:rsidRDefault="00627629" w:rsidP="00627629">
      <w:pPr>
        <w:pStyle w:val="ListParagraph"/>
        <w:ind w:left="1080"/>
        <w:jc w:val="both"/>
        <w:rPr>
          <w:szCs w:val="24"/>
        </w:rPr>
      </w:pPr>
    </w:p>
    <w:p w14:paraId="2738753D" w14:textId="4FC2E8E7" w:rsidR="00627629" w:rsidRPr="00627629" w:rsidRDefault="00627629" w:rsidP="00627629">
      <w:pPr>
        <w:pStyle w:val="ListParagraph"/>
        <w:numPr>
          <w:ilvl w:val="0"/>
          <w:numId w:val="22"/>
        </w:numPr>
        <w:jc w:val="both"/>
        <w:rPr>
          <w:szCs w:val="24"/>
        </w:rPr>
      </w:pPr>
      <w:r w:rsidRPr="00627629">
        <w:rPr>
          <w:szCs w:val="24"/>
        </w:rPr>
        <w:t>The Accountability Report, which must include:</w:t>
      </w:r>
    </w:p>
    <w:p w14:paraId="038704DA" w14:textId="77D5B2F0" w:rsidR="00627629" w:rsidRPr="00627629" w:rsidRDefault="00627629" w:rsidP="00627629">
      <w:pPr>
        <w:pStyle w:val="ListParagraph"/>
        <w:numPr>
          <w:ilvl w:val="0"/>
          <w:numId w:val="23"/>
        </w:numPr>
        <w:jc w:val="both"/>
        <w:rPr>
          <w:szCs w:val="24"/>
        </w:rPr>
      </w:pPr>
      <w:r w:rsidRPr="00627629">
        <w:rPr>
          <w:szCs w:val="24"/>
        </w:rPr>
        <w:t>A Corporate Governance Report</w:t>
      </w:r>
    </w:p>
    <w:p w14:paraId="6DD1DAB0" w14:textId="4FB49288" w:rsidR="00627629" w:rsidRPr="00627629" w:rsidRDefault="00627629" w:rsidP="00627629">
      <w:pPr>
        <w:pStyle w:val="ListParagraph"/>
        <w:numPr>
          <w:ilvl w:val="0"/>
          <w:numId w:val="23"/>
        </w:numPr>
        <w:jc w:val="both"/>
        <w:rPr>
          <w:szCs w:val="24"/>
        </w:rPr>
      </w:pPr>
      <w:r w:rsidRPr="00627629">
        <w:rPr>
          <w:szCs w:val="24"/>
        </w:rPr>
        <w:t>A Remuneration and Staff Report</w:t>
      </w:r>
    </w:p>
    <w:p w14:paraId="26BF7452" w14:textId="1E39B503" w:rsidR="00627629" w:rsidRPr="00627629" w:rsidRDefault="00627629" w:rsidP="00627629">
      <w:pPr>
        <w:pStyle w:val="ListParagraph"/>
        <w:numPr>
          <w:ilvl w:val="0"/>
          <w:numId w:val="23"/>
        </w:numPr>
        <w:jc w:val="both"/>
        <w:rPr>
          <w:szCs w:val="24"/>
        </w:rPr>
      </w:pPr>
      <w:r w:rsidRPr="00627629">
        <w:rPr>
          <w:szCs w:val="24"/>
        </w:rPr>
        <w:t>A National Assembly for Wales Accountability and Audit Report.</w:t>
      </w:r>
    </w:p>
    <w:p w14:paraId="390F8C7D" w14:textId="77777777" w:rsidR="00627629" w:rsidRPr="00627629" w:rsidRDefault="00627629" w:rsidP="00627629">
      <w:pPr>
        <w:jc w:val="both"/>
        <w:rPr>
          <w:szCs w:val="24"/>
        </w:rPr>
      </w:pPr>
    </w:p>
    <w:p w14:paraId="19DE344D" w14:textId="4F16CEFD" w:rsidR="00627629" w:rsidRPr="00627629" w:rsidRDefault="00627629" w:rsidP="00627629">
      <w:pPr>
        <w:pStyle w:val="ListParagraph"/>
        <w:numPr>
          <w:ilvl w:val="0"/>
          <w:numId w:val="22"/>
        </w:numPr>
        <w:jc w:val="both"/>
        <w:rPr>
          <w:szCs w:val="24"/>
        </w:rPr>
      </w:pPr>
      <w:r w:rsidRPr="00627629">
        <w:rPr>
          <w:szCs w:val="24"/>
        </w:rPr>
        <w:t>The Financial Statements</w:t>
      </w:r>
    </w:p>
    <w:p w14:paraId="3C49801E" w14:textId="77777777" w:rsidR="00627629" w:rsidRPr="00627629" w:rsidRDefault="00627629" w:rsidP="00627629">
      <w:pPr>
        <w:jc w:val="both"/>
        <w:rPr>
          <w:szCs w:val="24"/>
        </w:rPr>
      </w:pPr>
    </w:p>
    <w:p w14:paraId="361CA60D" w14:textId="4D29DB0D" w:rsidR="0087331D" w:rsidRDefault="0035489F" w:rsidP="00627629">
      <w:pPr>
        <w:pStyle w:val="ListParagraph"/>
        <w:ind w:left="0"/>
        <w:jc w:val="both"/>
        <w:rPr>
          <w:szCs w:val="24"/>
        </w:rPr>
      </w:pPr>
      <w:r>
        <w:rPr>
          <w:szCs w:val="24"/>
        </w:rPr>
        <w:t>T</w:t>
      </w:r>
      <w:r w:rsidR="00627629" w:rsidRPr="00627629">
        <w:rPr>
          <w:szCs w:val="24"/>
        </w:rPr>
        <w:t>he Accountability Report demonstrates how Public Health Wales meets key accountability requirements to the Welsh Government and is required to have three sections:</w:t>
      </w:r>
    </w:p>
    <w:p w14:paraId="47177865" w14:textId="26EB737F" w:rsidR="00627629" w:rsidRDefault="00627629" w:rsidP="00627629">
      <w:pPr>
        <w:pStyle w:val="Default"/>
      </w:pPr>
    </w:p>
    <w:p w14:paraId="6A72A04B" w14:textId="46B6B2F2" w:rsidR="00627629" w:rsidRPr="00627629" w:rsidRDefault="00627629" w:rsidP="00FA1C51">
      <w:pPr>
        <w:pStyle w:val="Default"/>
        <w:rPr>
          <w:b/>
          <w:sz w:val="23"/>
          <w:szCs w:val="23"/>
        </w:rPr>
      </w:pPr>
      <w:r w:rsidRPr="00627629">
        <w:rPr>
          <w:b/>
          <w:sz w:val="23"/>
          <w:szCs w:val="23"/>
        </w:rPr>
        <w:t xml:space="preserve">The Corporate Governance Report </w:t>
      </w:r>
      <w:r w:rsidRPr="00627629">
        <w:rPr>
          <w:b/>
          <w:bCs/>
          <w:sz w:val="23"/>
          <w:szCs w:val="23"/>
        </w:rPr>
        <w:t>(Annexes 1-</w:t>
      </w:r>
      <w:r w:rsidR="00262B18">
        <w:rPr>
          <w:b/>
          <w:bCs/>
          <w:sz w:val="23"/>
          <w:szCs w:val="23"/>
        </w:rPr>
        <w:t>4</w:t>
      </w:r>
      <w:r w:rsidRPr="00627629">
        <w:rPr>
          <w:b/>
          <w:bCs/>
          <w:sz w:val="23"/>
          <w:szCs w:val="23"/>
        </w:rPr>
        <w:t xml:space="preserve">) </w:t>
      </w:r>
    </w:p>
    <w:p w14:paraId="4A7C42C6" w14:textId="286F734F" w:rsidR="00627629" w:rsidRDefault="00627629" w:rsidP="00627629">
      <w:pPr>
        <w:pStyle w:val="Default"/>
        <w:rPr>
          <w:sz w:val="23"/>
          <w:szCs w:val="23"/>
        </w:rPr>
      </w:pPr>
      <w:r>
        <w:rPr>
          <w:sz w:val="23"/>
          <w:szCs w:val="23"/>
        </w:rPr>
        <w:t xml:space="preserve">This explains the composition and organisation of Public Health Wales’ governance structures and how they support the achievement of the entity’s objectives. </w:t>
      </w:r>
    </w:p>
    <w:p w14:paraId="56A75ED0" w14:textId="77777777" w:rsidR="00627629" w:rsidRDefault="00627629" w:rsidP="00627629">
      <w:pPr>
        <w:pStyle w:val="Default"/>
        <w:rPr>
          <w:sz w:val="23"/>
          <w:szCs w:val="23"/>
        </w:rPr>
      </w:pPr>
    </w:p>
    <w:p w14:paraId="1C1A847E" w14:textId="5BDC0DB9" w:rsidR="00627629" w:rsidRPr="00627629" w:rsidRDefault="00627629" w:rsidP="00FA1C51">
      <w:pPr>
        <w:pStyle w:val="Default"/>
        <w:rPr>
          <w:b/>
          <w:sz w:val="23"/>
          <w:szCs w:val="23"/>
        </w:rPr>
      </w:pPr>
      <w:r w:rsidRPr="00627629">
        <w:rPr>
          <w:b/>
          <w:sz w:val="23"/>
          <w:szCs w:val="23"/>
        </w:rPr>
        <w:t xml:space="preserve">Remuneration and Staff Report </w:t>
      </w:r>
      <w:r w:rsidRPr="00627629">
        <w:rPr>
          <w:b/>
          <w:bCs/>
          <w:sz w:val="23"/>
          <w:szCs w:val="23"/>
        </w:rPr>
        <w:t xml:space="preserve">(Annex </w:t>
      </w:r>
      <w:r w:rsidR="00262B18">
        <w:rPr>
          <w:b/>
          <w:bCs/>
          <w:sz w:val="23"/>
          <w:szCs w:val="23"/>
        </w:rPr>
        <w:t>5</w:t>
      </w:r>
      <w:r w:rsidRPr="00627629">
        <w:rPr>
          <w:b/>
          <w:bCs/>
          <w:sz w:val="23"/>
          <w:szCs w:val="23"/>
        </w:rPr>
        <w:t xml:space="preserve">) </w:t>
      </w:r>
    </w:p>
    <w:p w14:paraId="13787083" w14:textId="2FE3115B" w:rsidR="000D4CC7" w:rsidRDefault="00627629" w:rsidP="00627629">
      <w:pPr>
        <w:pStyle w:val="Default"/>
        <w:rPr>
          <w:sz w:val="23"/>
          <w:szCs w:val="23"/>
        </w:rPr>
      </w:pPr>
      <w:r w:rsidRPr="00627629">
        <w:rPr>
          <w:sz w:val="23"/>
          <w:szCs w:val="23"/>
        </w:rPr>
        <w:t>This contains information about the remuneration of senior management, fair pay ratios, sickness absence rates etc</w:t>
      </w:r>
    </w:p>
    <w:p w14:paraId="682E0256" w14:textId="39A3B966" w:rsidR="00627629" w:rsidRDefault="00627629" w:rsidP="00627629">
      <w:pPr>
        <w:pStyle w:val="Default"/>
      </w:pPr>
    </w:p>
    <w:p w14:paraId="481C846B" w14:textId="1234BF07" w:rsidR="00627629" w:rsidRPr="00627629" w:rsidRDefault="00627629" w:rsidP="00FA1C51">
      <w:pPr>
        <w:pStyle w:val="Default"/>
        <w:rPr>
          <w:b/>
          <w:sz w:val="23"/>
          <w:szCs w:val="23"/>
        </w:rPr>
      </w:pPr>
      <w:r w:rsidRPr="00627629">
        <w:rPr>
          <w:b/>
          <w:sz w:val="23"/>
          <w:szCs w:val="23"/>
        </w:rPr>
        <w:t xml:space="preserve">National Assembly for Wales Accountability and Audit Report </w:t>
      </w:r>
      <w:r w:rsidRPr="00627629">
        <w:rPr>
          <w:b/>
          <w:bCs/>
          <w:sz w:val="23"/>
          <w:szCs w:val="23"/>
        </w:rPr>
        <w:t xml:space="preserve">(Annex </w:t>
      </w:r>
      <w:r w:rsidR="000D4CC7">
        <w:rPr>
          <w:b/>
          <w:bCs/>
          <w:sz w:val="23"/>
          <w:szCs w:val="23"/>
        </w:rPr>
        <w:t>6</w:t>
      </w:r>
      <w:r w:rsidRPr="00627629">
        <w:rPr>
          <w:b/>
          <w:bCs/>
          <w:sz w:val="23"/>
          <w:szCs w:val="23"/>
        </w:rPr>
        <w:t xml:space="preserve">) </w:t>
      </w:r>
    </w:p>
    <w:p w14:paraId="0B1CEFC1" w14:textId="102A1295" w:rsidR="00627629" w:rsidRDefault="00627629" w:rsidP="00627629">
      <w:pPr>
        <w:pStyle w:val="Default"/>
        <w:rPr>
          <w:sz w:val="23"/>
          <w:szCs w:val="23"/>
        </w:rPr>
      </w:pPr>
      <w:r>
        <w:rPr>
          <w:sz w:val="23"/>
          <w:szCs w:val="23"/>
        </w:rPr>
        <w:t>This contains a range of disclosures on the regularity of expenditure, fees and charges, compliance with the cost allocation and charging requirements set out in HM Treasury guidance, material remote contingent liabilities, long-term expenditure trends, and the audit certificate and report.</w:t>
      </w:r>
    </w:p>
    <w:p w14:paraId="3917870A" w14:textId="786CB24C" w:rsidR="00627629" w:rsidRDefault="00627629" w:rsidP="00627629">
      <w:pPr>
        <w:pStyle w:val="Default"/>
        <w:rPr>
          <w:sz w:val="23"/>
          <w:szCs w:val="23"/>
        </w:rPr>
      </w:pPr>
    </w:p>
    <w:p w14:paraId="70FA77F3" w14:textId="634D2C9C" w:rsidR="00627629" w:rsidRDefault="00627629" w:rsidP="00627629">
      <w:pPr>
        <w:pStyle w:val="Default"/>
        <w:rPr>
          <w:sz w:val="23"/>
          <w:szCs w:val="23"/>
        </w:rPr>
      </w:pPr>
      <w:r w:rsidRPr="00627629">
        <w:rPr>
          <w:sz w:val="23"/>
          <w:szCs w:val="23"/>
        </w:rPr>
        <w:t xml:space="preserve">The Corporate Governance Team is responsible for the production of the Corporate Governance Report. This has been supported by consultation with Executive Directors. The Remuneration and Staff Report has been produced by the People and Organisational Development Directorate and the Parliamentary Accountability and Audit Report </w:t>
      </w:r>
      <w:r>
        <w:rPr>
          <w:sz w:val="23"/>
          <w:szCs w:val="23"/>
        </w:rPr>
        <w:t>has been</w:t>
      </w:r>
      <w:r w:rsidRPr="00627629">
        <w:rPr>
          <w:sz w:val="23"/>
          <w:szCs w:val="23"/>
        </w:rPr>
        <w:t xml:space="preserve"> produced by the Finance Directorate.</w:t>
      </w:r>
    </w:p>
    <w:p w14:paraId="1AF75594" w14:textId="77777777" w:rsidR="00627629" w:rsidRPr="00627629" w:rsidRDefault="00627629" w:rsidP="00627629">
      <w:pPr>
        <w:pStyle w:val="Default"/>
        <w:rPr>
          <w:sz w:val="23"/>
          <w:szCs w:val="23"/>
        </w:rPr>
      </w:pPr>
    </w:p>
    <w:p w14:paraId="7D010CE9" w14:textId="61BDBB36" w:rsidR="00627629" w:rsidRPr="00627629" w:rsidRDefault="00627629" w:rsidP="00627629">
      <w:pPr>
        <w:pStyle w:val="Default"/>
        <w:rPr>
          <w:sz w:val="23"/>
          <w:szCs w:val="23"/>
        </w:rPr>
      </w:pPr>
      <w:r w:rsidRPr="00627629">
        <w:rPr>
          <w:sz w:val="23"/>
          <w:szCs w:val="23"/>
        </w:rPr>
        <w:t xml:space="preserve">An agreed draft of the Corporate Governance Report and the Remuneration and Staff Report was included with the draft annual accounts when they were submitted to Welsh Government on </w:t>
      </w:r>
      <w:r>
        <w:rPr>
          <w:sz w:val="23"/>
          <w:szCs w:val="23"/>
        </w:rPr>
        <w:t>2</w:t>
      </w:r>
      <w:r w:rsidRPr="00627629">
        <w:rPr>
          <w:sz w:val="23"/>
          <w:szCs w:val="23"/>
        </w:rPr>
        <w:t xml:space="preserve"> May 201</w:t>
      </w:r>
      <w:r>
        <w:rPr>
          <w:sz w:val="23"/>
          <w:szCs w:val="23"/>
        </w:rPr>
        <w:t>9.</w:t>
      </w:r>
    </w:p>
    <w:p w14:paraId="361CA60E" w14:textId="77777777" w:rsidR="0087331D" w:rsidRPr="001C60B5" w:rsidRDefault="0087331D" w:rsidP="00FA1C51">
      <w:pPr>
        <w:pStyle w:val="Heading1"/>
        <w:numPr>
          <w:ilvl w:val="0"/>
          <w:numId w:val="25"/>
        </w:numPr>
        <w:rPr>
          <w:szCs w:val="24"/>
        </w:rPr>
      </w:pPr>
      <w:r w:rsidRPr="001C60B5">
        <w:rPr>
          <w:szCs w:val="24"/>
        </w:rPr>
        <w:t>Description/Assessment</w:t>
      </w:r>
    </w:p>
    <w:p w14:paraId="361CA60F" w14:textId="77777777" w:rsidR="0087331D" w:rsidRPr="001C60B5" w:rsidRDefault="0087331D" w:rsidP="0087331D">
      <w:pPr>
        <w:pStyle w:val="ListParagraph"/>
        <w:rPr>
          <w:szCs w:val="24"/>
        </w:rPr>
      </w:pPr>
    </w:p>
    <w:p w14:paraId="19EA5E08" w14:textId="5B965BD5" w:rsidR="00627629" w:rsidRPr="00055C42" w:rsidRDefault="00627629" w:rsidP="00627629">
      <w:pPr>
        <w:rPr>
          <w:szCs w:val="24"/>
        </w:rPr>
      </w:pPr>
      <w:r w:rsidRPr="00055C42">
        <w:rPr>
          <w:szCs w:val="24"/>
        </w:rPr>
        <w:t>The Accountability Report is attached for the Audit and Corporate Governance Committee to review and recommend for Board approval.</w:t>
      </w:r>
    </w:p>
    <w:p w14:paraId="324DD232" w14:textId="77777777" w:rsidR="00627629" w:rsidRPr="00055C42" w:rsidRDefault="00627629" w:rsidP="00627629">
      <w:pPr>
        <w:rPr>
          <w:szCs w:val="24"/>
        </w:rPr>
      </w:pPr>
    </w:p>
    <w:p w14:paraId="4F261632" w14:textId="2CF8D6DE" w:rsidR="00627629" w:rsidRPr="00055C42" w:rsidRDefault="00627629" w:rsidP="00627629">
      <w:pPr>
        <w:rPr>
          <w:szCs w:val="24"/>
        </w:rPr>
      </w:pPr>
      <w:r w:rsidRPr="00055C42">
        <w:rPr>
          <w:szCs w:val="24"/>
        </w:rPr>
        <w:t>The Manual for Accounts states that the Corporate Governance Report must include the:</w:t>
      </w:r>
    </w:p>
    <w:p w14:paraId="032E6C56" w14:textId="3229FDFE" w:rsidR="00627629" w:rsidRPr="00055C42" w:rsidRDefault="00627629" w:rsidP="00627629">
      <w:pPr>
        <w:pStyle w:val="ListParagraph"/>
        <w:numPr>
          <w:ilvl w:val="0"/>
          <w:numId w:val="26"/>
        </w:numPr>
        <w:rPr>
          <w:szCs w:val="24"/>
        </w:rPr>
      </w:pPr>
      <w:r w:rsidRPr="00055C42">
        <w:rPr>
          <w:szCs w:val="24"/>
        </w:rPr>
        <w:t>Directors’ Report (Annex 1)</w:t>
      </w:r>
    </w:p>
    <w:p w14:paraId="26FECF7F" w14:textId="133EE284" w:rsidR="00627629" w:rsidRPr="00055C42" w:rsidRDefault="00627629" w:rsidP="00627629">
      <w:pPr>
        <w:pStyle w:val="ListParagraph"/>
        <w:numPr>
          <w:ilvl w:val="0"/>
          <w:numId w:val="26"/>
        </w:numPr>
        <w:rPr>
          <w:szCs w:val="24"/>
        </w:rPr>
      </w:pPr>
      <w:r w:rsidRPr="00055C42">
        <w:rPr>
          <w:szCs w:val="24"/>
        </w:rPr>
        <w:t>Statement of Accountable Officer’s Responsibilities (Annex 2)</w:t>
      </w:r>
    </w:p>
    <w:p w14:paraId="186B1415" w14:textId="3CC6A4F2" w:rsidR="00627629" w:rsidRPr="00055C42" w:rsidRDefault="00627629" w:rsidP="00627629">
      <w:pPr>
        <w:pStyle w:val="ListParagraph"/>
        <w:numPr>
          <w:ilvl w:val="0"/>
          <w:numId w:val="26"/>
        </w:numPr>
        <w:rPr>
          <w:szCs w:val="24"/>
        </w:rPr>
      </w:pPr>
      <w:r w:rsidRPr="00055C42">
        <w:rPr>
          <w:szCs w:val="24"/>
        </w:rPr>
        <w:t>The Annual Governance Statement (Annex 3)</w:t>
      </w:r>
    </w:p>
    <w:p w14:paraId="2BB2AB16" w14:textId="77777777" w:rsidR="00627629" w:rsidRPr="00055C42" w:rsidRDefault="00627629" w:rsidP="00627629">
      <w:pPr>
        <w:pStyle w:val="ListParagraph"/>
        <w:rPr>
          <w:szCs w:val="24"/>
        </w:rPr>
      </w:pPr>
    </w:p>
    <w:p w14:paraId="5EEE250C" w14:textId="3174615E" w:rsidR="00627629" w:rsidRPr="00055C42" w:rsidRDefault="00627629" w:rsidP="00627629">
      <w:pPr>
        <w:rPr>
          <w:szCs w:val="24"/>
        </w:rPr>
      </w:pPr>
      <w:r w:rsidRPr="00055C42">
        <w:rPr>
          <w:szCs w:val="24"/>
        </w:rPr>
        <w:t>It also states that where information required within the Directors’ Report is disclosed elsewhere in the Annual Report and Accounts a cross-reference may be provided. As the majority of the information is contained elsewhere, the Directors’ Report is presented in the form of a table.</w:t>
      </w:r>
    </w:p>
    <w:p w14:paraId="58C833CE" w14:textId="77777777" w:rsidR="00627629" w:rsidRPr="00055C42" w:rsidRDefault="00627629" w:rsidP="00627629">
      <w:pPr>
        <w:rPr>
          <w:szCs w:val="24"/>
        </w:rPr>
      </w:pPr>
    </w:p>
    <w:p w14:paraId="711018C5" w14:textId="5B74C2B5" w:rsidR="00627629" w:rsidRPr="00055C42" w:rsidRDefault="00627629" w:rsidP="00627629">
      <w:pPr>
        <w:rPr>
          <w:szCs w:val="24"/>
        </w:rPr>
      </w:pPr>
      <w:r w:rsidRPr="00055C42">
        <w:rPr>
          <w:szCs w:val="24"/>
        </w:rPr>
        <w:t xml:space="preserve">Since the draft version of the Annual Governance Statement was approved for submission to the Welsh Government on </w:t>
      </w:r>
      <w:r w:rsidR="00055C42">
        <w:rPr>
          <w:szCs w:val="24"/>
        </w:rPr>
        <w:t>2 May 2019</w:t>
      </w:r>
      <w:r w:rsidRPr="00055C42">
        <w:rPr>
          <w:szCs w:val="24"/>
        </w:rPr>
        <w:t>, the document has been updated to reflect feedback from:</w:t>
      </w:r>
    </w:p>
    <w:p w14:paraId="1C61A5E5" w14:textId="77777777" w:rsidR="00627629" w:rsidRPr="00055C42" w:rsidRDefault="00627629" w:rsidP="00627629">
      <w:pPr>
        <w:rPr>
          <w:szCs w:val="24"/>
        </w:rPr>
      </w:pPr>
    </w:p>
    <w:p w14:paraId="63B88E41" w14:textId="77777777" w:rsidR="0035489F" w:rsidRDefault="00627629" w:rsidP="00627629">
      <w:pPr>
        <w:pStyle w:val="Default"/>
        <w:rPr>
          <w:sz w:val="23"/>
          <w:szCs w:val="23"/>
        </w:rPr>
      </w:pPr>
      <w:r>
        <w:rPr>
          <w:sz w:val="23"/>
          <w:szCs w:val="23"/>
        </w:rPr>
        <w:t>Wales Audit Office – external auditors reviewed the draft</w:t>
      </w:r>
      <w:r w:rsidR="00055C42">
        <w:rPr>
          <w:sz w:val="23"/>
          <w:szCs w:val="23"/>
        </w:rPr>
        <w:t xml:space="preserve"> Corporate Governance Report and draft Remuneration and Staff report and provided feedback on </w:t>
      </w:r>
      <w:r w:rsidR="00055C42">
        <w:rPr>
          <w:color w:val="auto"/>
          <w:sz w:val="23"/>
          <w:szCs w:val="23"/>
        </w:rPr>
        <w:t xml:space="preserve">14 May 2019.  </w:t>
      </w:r>
      <w:r>
        <w:rPr>
          <w:sz w:val="23"/>
          <w:szCs w:val="23"/>
        </w:rPr>
        <w:t xml:space="preserve"> Annual Governance Statement prior to its submission on 3 May 2018. </w:t>
      </w:r>
      <w:r w:rsidR="00055C42" w:rsidRPr="00055C42">
        <w:rPr>
          <w:color w:val="auto"/>
          <w:sz w:val="23"/>
          <w:szCs w:val="23"/>
        </w:rPr>
        <w:t xml:space="preserve">Details </w:t>
      </w:r>
      <w:r w:rsidR="00055C42">
        <w:rPr>
          <w:sz w:val="23"/>
          <w:szCs w:val="23"/>
        </w:rPr>
        <w:t>of the comments received, and the Trust responses</w:t>
      </w:r>
      <w:r w:rsidR="0035489F">
        <w:rPr>
          <w:sz w:val="23"/>
          <w:szCs w:val="23"/>
        </w:rPr>
        <w:t xml:space="preserve"> would be considered by the Audit and Corporate Governance Committee at its meeting on the 29 May 2019. </w:t>
      </w:r>
    </w:p>
    <w:p w14:paraId="54230504" w14:textId="77777777" w:rsidR="0035489F" w:rsidRDefault="0035489F" w:rsidP="00627629">
      <w:pPr>
        <w:pStyle w:val="Default"/>
        <w:rPr>
          <w:sz w:val="23"/>
          <w:szCs w:val="23"/>
        </w:rPr>
      </w:pPr>
    </w:p>
    <w:p w14:paraId="172E73BB" w14:textId="70645523" w:rsidR="00627629" w:rsidRDefault="00627629" w:rsidP="00627629">
      <w:pPr>
        <w:pStyle w:val="Default"/>
        <w:rPr>
          <w:sz w:val="23"/>
          <w:szCs w:val="23"/>
        </w:rPr>
      </w:pPr>
      <w:r>
        <w:rPr>
          <w:sz w:val="23"/>
          <w:szCs w:val="23"/>
        </w:rPr>
        <w:lastRenderedPageBreak/>
        <w:t xml:space="preserve">Internal Audit – the Head of Internal Audit reviewed the document and suggested some </w:t>
      </w:r>
      <w:r w:rsidR="00055C42">
        <w:rPr>
          <w:sz w:val="23"/>
          <w:szCs w:val="23"/>
        </w:rPr>
        <w:t>minor typographical corrections.</w:t>
      </w:r>
      <w:r>
        <w:rPr>
          <w:sz w:val="23"/>
          <w:szCs w:val="23"/>
        </w:rPr>
        <w:t xml:space="preserve"> The levels of assurance for the remaining internal reports has been included as well as the Head of Internal Audit Annual</w:t>
      </w:r>
      <w:r w:rsidR="00642E87">
        <w:rPr>
          <w:sz w:val="23"/>
          <w:szCs w:val="23"/>
        </w:rPr>
        <w:t xml:space="preserve"> opinion for 2017/18.</w:t>
      </w:r>
    </w:p>
    <w:p w14:paraId="53632DC4" w14:textId="6A3E4FBC" w:rsidR="00642E87" w:rsidRDefault="00642E87" w:rsidP="00627629">
      <w:pPr>
        <w:pStyle w:val="Default"/>
        <w:rPr>
          <w:sz w:val="23"/>
          <w:szCs w:val="23"/>
        </w:rPr>
      </w:pPr>
    </w:p>
    <w:p w14:paraId="7385C2E0" w14:textId="4D96F836" w:rsidR="00642E87" w:rsidRDefault="00642E87" w:rsidP="00627629">
      <w:pPr>
        <w:pStyle w:val="Default"/>
        <w:rPr>
          <w:sz w:val="23"/>
          <w:szCs w:val="23"/>
        </w:rPr>
      </w:pPr>
      <w:r>
        <w:rPr>
          <w:sz w:val="23"/>
          <w:szCs w:val="23"/>
        </w:rPr>
        <w:t>Welsh Government – no comments have been received at time of preparation of this report.</w:t>
      </w:r>
    </w:p>
    <w:p w14:paraId="6C1A81E8" w14:textId="77777777" w:rsidR="00627629" w:rsidRDefault="00627629" w:rsidP="00627629">
      <w:pPr>
        <w:pStyle w:val="Default"/>
        <w:rPr>
          <w:sz w:val="23"/>
          <w:szCs w:val="23"/>
        </w:rPr>
      </w:pPr>
    </w:p>
    <w:p w14:paraId="553EBA9F" w14:textId="25CF6888" w:rsidR="00055C42" w:rsidRPr="00055C42" w:rsidRDefault="00055C42" w:rsidP="00055C42">
      <w:pPr>
        <w:rPr>
          <w:color w:val="FF0000"/>
          <w:szCs w:val="24"/>
        </w:rPr>
      </w:pPr>
      <w:r>
        <w:rPr>
          <w:sz w:val="23"/>
          <w:szCs w:val="23"/>
        </w:rPr>
        <w:t>When the information contained within these reports is formatted for inclusion in the Annual Report it may take a slightly different form. The timescale for production of the Annual Report varies from that of the Accountability Report. It must be submitted to Welsh Government on 1 July 2019 and presented at the Annual General Meeting which must be held before the end of July 2019. Further review by the Wales Audit Office and translation into Welsh must have been undertaken in advance of this.</w:t>
      </w:r>
    </w:p>
    <w:p w14:paraId="361CA61A" w14:textId="77777777" w:rsidR="00680CAE" w:rsidRPr="001C60B5" w:rsidRDefault="00680CAE" w:rsidP="002B712E">
      <w:pPr>
        <w:pStyle w:val="ListParagraph"/>
        <w:ind w:left="1080"/>
        <w:jc w:val="both"/>
        <w:rPr>
          <w:color w:val="FF0000"/>
          <w:szCs w:val="24"/>
        </w:rPr>
      </w:pPr>
    </w:p>
    <w:p w14:paraId="361CA61B" w14:textId="77777777" w:rsidR="00051E74" w:rsidRPr="001C60B5" w:rsidRDefault="00B936DE" w:rsidP="002B712E">
      <w:pPr>
        <w:pStyle w:val="Heading2"/>
        <w:numPr>
          <w:ilvl w:val="1"/>
          <w:numId w:val="19"/>
        </w:numPr>
        <w:ind w:left="567" w:hanging="567"/>
        <w:rPr>
          <w:szCs w:val="24"/>
        </w:rPr>
      </w:pPr>
      <w:r w:rsidRPr="001C60B5">
        <w:rPr>
          <w:szCs w:val="24"/>
        </w:rPr>
        <w:t>Well</w:t>
      </w:r>
      <w:r w:rsidR="00EA23FA" w:rsidRPr="001C60B5">
        <w:rPr>
          <w:szCs w:val="24"/>
        </w:rPr>
        <w:t>-</w:t>
      </w:r>
      <w:r w:rsidRPr="001C60B5">
        <w:rPr>
          <w:szCs w:val="24"/>
        </w:rPr>
        <w:t xml:space="preserve">being of Future Generations </w:t>
      </w:r>
      <w:r w:rsidR="00371966">
        <w:rPr>
          <w:szCs w:val="24"/>
        </w:rPr>
        <w:t xml:space="preserve">(Wales) </w:t>
      </w:r>
      <w:r w:rsidRPr="001C60B5">
        <w:rPr>
          <w:szCs w:val="24"/>
        </w:rPr>
        <w:t>Act</w:t>
      </w:r>
      <w:r w:rsidR="00371966">
        <w:rPr>
          <w:szCs w:val="24"/>
        </w:rPr>
        <w:t xml:space="preserve"> 2015</w:t>
      </w:r>
    </w:p>
    <w:p w14:paraId="361CA61C" w14:textId="77777777" w:rsidR="00B936DE" w:rsidRPr="001C60B5" w:rsidRDefault="00B936DE" w:rsidP="00B936DE">
      <w:pPr>
        <w:rPr>
          <w:szCs w:val="24"/>
        </w:rPr>
      </w:pPr>
    </w:p>
    <w:p w14:paraId="361CA620" w14:textId="6688568B" w:rsidR="0046169C" w:rsidRDefault="00055C42" w:rsidP="00055C42">
      <w:pPr>
        <w:rPr>
          <w:sz w:val="23"/>
          <w:szCs w:val="23"/>
        </w:rPr>
      </w:pPr>
      <w:r>
        <w:rPr>
          <w:sz w:val="23"/>
          <w:szCs w:val="23"/>
        </w:rPr>
        <w:t>The Accountability Report provides the Board with assurance that the Committee’s work is fulfilling its function and terms of reference, supported by effective governance measures. The Committee’s work covers the Well-being objectives identified above.</w:t>
      </w:r>
    </w:p>
    <w:p w14:paraId="176D0BD8" w14:textId="77777777" w:rsidR="00055C42" w:rsidRPr="001C60B5" w:rsidRDefault="00055C42" w:rsidP="00055C42">
      <w:pPr>
        <w:rPr>
          <w:bCs/>
          <w:color w:val="FF0000"/>
          <w:szCs w:val="24"/>
        </w:rPr>
      </w:pPr>
    </w:p>
    <w:p w14:paraId="361CA621" w14:textId="77777777" w:rsidR="00D26E48" w:rsidRPr="00055C42" w:rsidRDefault="00D26E48" w:rsidP="00B936DE">
      <w:pPr>
        <w:rPr>
          <w:szCs w:val="24"/>
        </w:rPr>
      </w:pPr>
      <w:r w:rsidRPr="00055C42">
        <w:rPr>
          <w:szCs w:val="24"/>
        </w:rPr>
        <w:t>This work has been put together following the five ways</w:t>
      </w:r>
      <w:r w:rsidR="00FC7FAE" w:rsidRPr="00055C42">
        <w:rPr>
          <w:szCs w:val="24"/>
        </w:rPr>
        <w:t xml:space="preserve"> of working</w:t>
      </w:r>
      <w:r w:rsidRPr="00055C42">
        <w:rPr>
          <w:szCs w:val="24"/>
        </w:rPr>
        <w:t>,</w:t>
      </w:r>
      <w:r w:rsidR="00FC7FAE" w:rsidRPr="00055C42">
        <w:rPr>
          <w:szCs w:val="24"/>
        </w:rPr>
        <w:t xml:space="preserve"> as defined within the sustainable developme</w:t>
      </w:r>
      <w:r w:rsidR="00660772" w:rsidRPr="00055C42">
        <w:rPr>
          <w:szCs w:val="24"/>
        </w:rPr>
        <w:t>nt principle in the Act</w:t>
      </w:r>
      <w:r w:rsidRPr="00055C42">
        <w:rPr>
          <w:szCs w:val="24"/>
        </w:rPr>
        <w:t>,</w:t>
      </w:r>
      <w:r w:rsidR="00660772" w:rsidRPr="00055C42">
        <w:rPr>
          <w:szCs w:val="24"/>
        </w:rPr>
        <w:t xml:space="preserve"> in </w:t>
      </w:r>
      <w:r w:rsidRPr="00055C42">
        <w:rPr>
          <w:szCs w:val="24"/>
        </w:rPr>
        <w:t>the following ways</w:t>
      </w:r>
      <w:r w:rsidR="00893619" w:rsidRPr="00055C42">
        <w:rPr>
          <w:szCs w:val="24"/>
        </w:rPr>
        <w:t>:</w:t>
      </w:r>
    </w:p>
    <w:p w14:paraId="361CA622" w14:textId="77777777" w:rsidR="0046169C" w:rsidRDefault="0046169C" w:rsidP="00B936DE">
      <w:pPr>
        <w:rPr>
          <w:i/>
          <w:color w:val="FF0000"/>
          <w:szCs w:val="24"/>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873"/>
      </w:tblGrid>
      <w:tr w:rsidR="00893619" w:rsidRPr="00277F27" w14:paraId="361CA625" w14:textId="77777777" w:rsidTr="00893619">
        <w:tc>
          <w:tcPr>
            <w:tcW w:w="3369" w:type="dxa"/>
          </w:tcPr>
          <w:p w14:paraId="361CA623" w14:textId="77777777" w:rsidR="00893619" w:rsidRPr="00277F27" w:rsidRDefault="00893619" w:rsidP="00A62FD1">
            <w:pPr>
              <w:spacing w:before="120" w:after="120"/>
              <w:jc w:val="center"/>
              <w:rPr>
                <w:rFonts w:cs="Arial"/>
                <w:szCs w:val="24"/>
              </w:rPr>
            </w:pPr>
            <w:r w:rsidRPr="00277F27">
              <w:rPr>
                <w:rFonts w:cs="Arial"/>
                <w:noProof/>
                <w:szCs w:val="24"/>
                <w:lang w:eastAsia="en-GB"/>
              </w:rPr>
              <w:drawing>
                <wp:inline distT="0" distB="0" distL="0" distR="0" wp14:anchorId="361CA63E" wp14:editId="361CA63F">
                  <wp:extent cx="1993265" cy="861375"/>
                  <wp:effectExtent l="0" t="0" r="0" b="0"/>
                  <wp:docPr id="26" name="Picture 5" descr="Long Term - icon + wo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ng Term - icon + wording"/>
                          <pic:cNvPicPr>
                            <a:picLocks noChangeAspect="1" noChangeArrowheads="1"/>
                          </pic:cNvPicPr>
                        </pic:nvPicPr>
                        <pic:blipFill>
                          <a:blip r:embed="rId16" cstate="print"/>
                          <a:srcRect l="20309" t="9271" r="17880" b="10596"/>
                          <a:stretch>
                            <a:fillRect/>
                          </a:stretch>
                        </pic:blipFill>
                        <pic:spPr bwMode="auto">
                          <a:xfrm>
                            <a:off x="0" y="0"/>
                            <a:ext cx="1993265" cy="861375"/>
                          </a:xfrm>
                          <a:prstGeom prst="rect">
                            <a:avLst/>
                          </a:prstGeom>
                          <a:noFill/>
                          <a:ln w="9525">
                            <a:noFill/>
                            <a:miter lim="800000"/>
                            <a:headEnd/>
                            <a:tailEnd/>
                          </a:ln>
                        </pic:spPr>
                      </pic:pic>
                    </a:graphicData>
                  </a:graphic>
                </wp:inline>
              </w:drawing>
            </w:r>
          </w:p>
        </w:tc>
        <w:tc>
          <w:tcPr>
            <w:tcW w:w="5873" w:type="dxa"/>
          </w:tcPr>
          <w:tbl>
            <w:tblPr>
              <w:tblW w:w="0" w:type="auto"/>
              <w:tblBorders>
                <w:top w:val="nil"/>
                <w:left w:val="nil"/>
                <w:bottom w:val="nil"/>
                <w:right w:val="nil"/>
              </w:tblBorders>
              <w:tblLayout w:type="fixed"/>
              <w:tblLook w:val="0000" w:firstRow="0" w:lastRow="0" w:firstColumn="0" w:lastColumn="0" w:noHBand="0" w:noVBand="0"/>
            </w:tblPr>
            <w:tblGrid>
              <w:gridCol w:w="5599"/>
            </w:tblGrid>
            <w:tr w:rsidR="00055C42" w:rsidRPr="00055C42" w14:paraId="52787CC9" w14:textId="77777777">
              <w:trPr>
                <w:trHeight w:val="619"/>
              </w:trPr>
              <w:tc>
                <w:tcPr>
                  <w:tcW w:w="5599" w:type="dxa"/>
                </w:tcPr>
                <w:p w14:paraId="31BD9E8E" w14:textId="77777777" w:rsidR="00055C42" w:rsidRPr="00055C42" w:rsidRDefault="00055C42" w:rsidP="00055C42">
                  <w:pPr>
                    <w:autoSpaceDE w:val="0"/>
                    <w:autoSpaceDN w:val="0"/>
                    <w:adjustRightInd w:val="0"/>
                    <w:rPr>
                      <w:rFonts w:cs="Verdana"/>
                      <w:color w:val="000000"/>
                      <w:sz w:val="23"/>
                      <w:szCs w:val="23"/>
                    </w:rPr>
                  </w:pPr>
                  <w:r w:rsidRPr="00055C42">
                    <w:rPr>
                      <w:rFonts w:cs="Verdana"/>
                      <w:color w:val="000000"/>
                      <w:sz w:val="23"/>
                      <w:szCs w:val="23"/>
                    </w:rPr>
                    <w:t xml:space="preserve">The content of the Accountability Report includes an overview of the long-term strategy and indicates future planned work to improve the governance of the organisation. </w:t>
                  </w:r>
                </w:p>
              </w:tc>
            </w:tr>
          </w:tbl>
          <w:p w14:paraId="361CA624" w14:textId="026D2F56" w:rsidR="00893619" w:rsidRPr="00893619" w:rsidRDefault="00893619" w:rsidP="00893619">
            <w:pPr>
              <w:spacing w:line="276" w:lineRule="auto"/>
              <w:rPr>
                <w:rFonts w:cs="Arial"/>
                <w:i/>
                <w:szCs w:val="24"/>
              </w:rPr>
            </w:pPr>
          </w:p>
        </w:tc>
      </w:tr>
      <w:tr w:rsidR="00893619" w:rsidRPr="00277F27" w14:paraId="361CA628" w14:textId="77777777" w:rsidTr="00893619">
        <w:tc>
          <w:tcPr>
            <w:tcW w:w="3369" w:type="dxa"/>
          </w:tcPr>
          <w:p w14:paraId="361CA626" w14:textId="77777777" w:rsidR="00893619" w:rsidRPr="00277F27" w:rsidRDefault="00893619" w:rsidP="00893619">
            <w:pPr>
              <w:spacing w:before="120" w:after="120"/>
              <w:jc w:val="center"/>
              <w:rPr>
                <w:rFonts w:cs="Arial"/>
                <w:szCs w:val="24"/>
              </w:rPr>
            </w:pPr>
            <w:r w:rsidRPr="00277F27">
              <w:rPr>
                <w:rFonts w:cs="Arial"/>
                <w:noProof/>
                <w:szCs w:val="24"/>
                <w:lang w:eastAsia="en-GB"/>
              </w:rPr>
              <w:drawing>
                <wp:inline distT="0" distB="0" distL="0" distR="0" wp14:anchorId="361CA640" wp14:editId="361CA641">
                  <wp:extent cx="1992731" cy="857250"/>
                  <wp:effectExtent l="0" t="0" r="7519" b="0"/>
                  <wp:docPr id="27" name="Picture 1" descr="Prevention - icon + wo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ention - icon + wording"/>
                          <pic:cNvPicPr>
                            <a:picLocks noChangeAspect="1" noChangeArrowheads="1"/>
                          </pic:cNvPicPr>
                        </pic:nvPicPr>
                        <pic:blipFill>
                          <a:blip r:embed="rId17" cstate="print"/>
                          <a:srcRect l="22958" t="11920" r="18542" b="12582"/>
                          <a:stretch>
                            <a:fillRect/>
                          </a:stretch>
                        </pic:blipFill>
                        <pic:spPr bwMode="auto">
                          <a:xfrm>
                            <a:off x="0" y="0"/>
                            <a:ext cx="1997555" cy="859325"/>
                          </a:xfrm>
                          <a:prstGeom prst="rect">
                            <a:avLst/>
                          </a:prstGeom>
                          <a:noFill/>
                          <a:ln w="9525">
                            <a:noFill/>
                            <a:miter lim="800000"/>
                            <a:headEnd/>
                            <a:tailEnd/>
                          </a:ln>
                        </pic:spPr>
                      </pic:pic>
                    </a:graphicData>
                  </a:graphic>
                </wp:inline>
              </w:drawing>
            </w:r>
          </w:p>
        </w:tc>
        <w:tc>
          <w:tcPr>
            <w:tcW w:w="5873" w:type="dxa"/>
          </w:tcPr>
          <w:p w14:paraId="361CA627" w14:textId="42410FF7" w:rsidR="00893619" w:rsidRPr="00893619" w:rsidRDefault="00055C42" w:rsidP="00893619">
            <w:pPr>
              <w:spacing w:line="276" w:lineRule="auto"/>
              <w:rPr>
                <w:rFonts w:cs="Arial"/>
                <w:i/>
                <w:szCs w:val="24"/>
              </w:rPr>
            </w:pPr>
            <w:r w:rsidRPr="00055C42">
              <w:rPr>
                <w:rFonts w:cs="Verdana"/>
                <w:color w:val="000000"/>
                <w:sz w:val="23"/>
                <w:szCs w:val="23"/>
              </w:rPr>
              <w:t>The Accountability Report provides an overview of how key issues relating to the organisation’s mission, which includes prevention through improving public health.</w:t>
            </w:r>
          </w:p>
        </w:tc>
      </w:tr>
      <w:tr w:rsidR="00893619" w:rsidRPr="00277F27" w14:paraId="361CA62B" w14:textId="77777777" w:rsidTr="00893619">
        <w:tc>
          <w:tcPr>
            <w:tcW w:w="3369" w:type="dxa"/>
          </w:tcPr>
          <w:p w14:paraId="361CA629" w14:textId="77777777" w:rsidR="00893619" w:rsidRPr="00277F27" w:rsidRDefault="00893619" w:rsidP="00893619">
            <w:pPr>
              <w:spacing w:before="120" w:after="120"/>
              <w:jc w:val="center"/>
              <w:rPr>
                <w:rFonts w:cs="Arial"/>
                <w:szCs w:val="24"/>
              </w:rPr>
            </w:pPr>
            <w:r w:rsidRPr="00277F27">
              <w:rPr>
                <w:rFonts w:cs="Arial"/>
                <w:noProof/>
                <w:szCs w:val="24"/>
                <w:lang w:eastAsia="en-GB"/>
              </w:rPr>
              <w:drawing>
                <wp:inline distT="0" distB="0" distL="0" distR="0" wp14:anchorId="361CA642" wp14:editId="361CA643">
                  <wp:extent cx="2050677" cy="800100"/>
                  <wp:effectExtent l="0" t="0" r="0" b="0"/>
                  <wp:docPr id="8" name="Picture 2" descr="Integration - icon + wo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gration - icon + wording"/>
                          <pic:cNvPicPr>
                            <a:picLocks noChangeAspect="1" noChangeArrowheads="1"/>
                          </pic:cNvPicPr>
                        </pic:nvPicPr>
                        <pic:blipFill>
                          <a:blip r:embed="rId18" cstate="print"/>
                          <a:srcRect l="16556" t="11258" r="16115" b="9933"/>
                          <a:stretch>
                            <a:fillRect/>
                          </a:stretch>
                        </pic:blipFill>
                        <pic:spPr bwMode="auto">
                          <a:xfrm>
                            <a:off x="0" y="0"/>
                            <a:ext cx="2053354" cy="801144"/>
                          </a:xfrm>
                          <a:prstGeom prst="rect">
                            <a:avLst/>
                          </a:prstGeom>
                          <a:noFill/>
                          <a:ln w="9525">
                            <a:noFill/>
                            <a:miter lim="800000"/>
                            <a:headEnd/>
                            <a:tailEnd/>
                          </a:ln>
                        </pic:spPr>
                      </pic:pic>
                    </a:graphicData>
                  </a:graphic>
                </wp:inline>
              </w:drawing>
            </w:r>
          </w:p>
        </w:tc>
        <w:tc>
          <w:tcPr>
            <w:tcW w:w="5873" w:type="dxa"/>
          </w:tcPr>
          <w:p w14:paraId="361CA62A" w14:textId="5BA57FED" w:rsidR="00893619" w:rsidRPr="00893619" w:rsidRDefault="00055C42" w:rsidP="00893619">
            <w:pPr>
              <w:spacing w:line="276" w:lineRule="auto"/>
              <w:rPr>
                <w:rFonts w:cs="Arial"/>
                <w:i/>
                <w:szCs w:val="24"/>
              </w:rPr>
            </w:pPr>
            <w:r w:rsidRPr="00055C42">
              <w:rPr>
                <w:rFonts w:cs="Verdana"/>
                <w:color w:val="000000"/>
                <w:sz w:val="23"/>
                <w:szCs w:val="23"/>
              </w:rPr>
              <w:t>This report provides assurance that the organisational governance structure is robust and effective in this role.</w:t>
            </w:r>
          </w:p>
        </w:tc>
      </w:tr>
      <w:tr w:rsidR="00893619" w:rsidRPr="00277F27" w14:paraId="361CA62E" w14:textId="77777777" w:rsidTr="00893619">
        <w:tc>
          <w:tcPr>
            <w:tcW w:w="3369" w:type="dxa"/>
          </w:tcPr>
          <w:p w14:paraId="361CA62C" w14:textId="77777777" w:rsidR="00893619" w:rsidRPr="00277F27" w:rsidRDefault="00893619" w:rsidP="00893619">
            <w:pPr>
              <w:spacing w:before="120" w:after="120"/>
              <w:jc w:val="center"/>
              <w:rPr>
                <w:rFonts w:cs="Arial"/>
                <w:szCs w:val="24"/>
              </w:rPr>
            </w:pPr>
            <w:r w:rsidRPr="00277F27">
              <w:rPr>
                <w:rFonts w:cs="Arial"/>
                <w:noProof/>
                <w:szCs w:val="24"/>
                <w:lang w:eastAsia="en-GB"/>
              </w:rPr>
              <w:drawing>
                <wp:inline distT="0" distB="0" distL="0" distR="0" wp14:anchorId="361CA644" wp14:editId="361CA645">
                  <wp:extent cx="1857697" cy="704850"/>
                  <wp:effectExtent l="19050" t="0" r="9203" b="0"/>
                  <wp:docPr id="29" name="Picture 6" descr="Collaboration - icon + wo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laboration - icon + wording"/>
                          <pic:cNvPicPr>
                            <a:picLocks noChangeAspect="1" noChangeArrowheads="1"/>
                          </pic:cNvPicPr>
                        </pic:nvPicPr>
                        <pic:blipFill>
                          <a:blip r:embed="rId19" cstate="print"/>
                          <a:srcRect l="17661" t="10596" r="13687" b="11258"/>
                          <a:stretch>
                            <a:fillRect/>
                          </a:stretch>
                        </pic:blipFill>
                        <pic:spPr bwMode="auto">
                          <a:xfrm>
                            <a:off x="0" y="0"/>
                            <a:ext cx="1860549" cy="705932"/>
                          </a:xfrm>
                          <a:prstGeom prst="rect">
                            <a:avLst/>
                          </a:prstGeom>
                          <a:noFill/>
                          <a:ln w="9525">
                            <a:noFill/>
                            <a:miter lim="800000"/>
                            <a:headEnd/>
                            <a:tailEnd/>
                          </a:ln>
                        </pic:spPr>
                      </pic:pic>
                    </a:graphicData>
                  </a:graphic>
                </wp:inline>
              </w:drawing>
            </w:r>
          </w:p>
        </w:tc>
        <w:tc>
          <w:tcPr>
            <w:tcW w:w="5873" w:type="dxa"/>
            <w:shd w:val="clear" w:color="auto" w:fill="auto"/>
          </w:tcPr>
          <w:p w14:paraId="361CA62D" w14:textId="4D3E2178" w:rsidR="00893619" w:rsidRPr="00893619" w:rsidRDefault="00055C42" w:rsidP="00893619">
            <w:pPr>
              <w:spacing w:line="276" w:lineRule="auto"/>
              <w:rPr>
                <w:rFonts w:cs="Arial"/>
                <w:i/>
                <w:szCs w:val="24"/>
              </w:rPr>
            </w:pPr>
            <w:r w:rsidRPr="00055C42">
              <w:rPr>
                <w:rFonts w:cs="Verdana"/>
                <w:color w:val="000000"/>
                <w:sz w:val="23"/>
                <w:szCs w:val="23"/>
              </w:rPr>
              <w:t>Staff across directorates have contributed to the development of both the Accountability Report. An overview of the integrated governance structure in Public Health Wales is also provided in the report.</w:t>
            </w:r>
          </w:p>
        </w:tc>
      </w:tr>
      <w:tr w:rsidR="00893619" w:rsidRPr="00277F27" w14:paraId="361CA631" w14:textId="77777777" w:rsidTr="00893619">
        <w:tc>
          <w:tcPr>
            <w:tcW w:w="3369" w:type="dxa"/>
          </w:tcPr>
          <w:p w14:paraId="361CA62F" w14:textId="77777777" w:rsidR="00893619" w:rsidRPr="00277F27" w:rsidRDefault="00893619" w:rsidP="00893619">
            <w:pPr>
              <w:spacing w:before="120" w:after="120"/>
              <w:jc w:val="center"/>
              <w:rPr>
                <w:rFonts w:cs="Arial"/>
                <w:szCs w:val="24"/>
              </w:rPr>
            </w:pPr>
            <w:r w:rsidRPr="00277F27">
              <w:rPr>
                <w:rFonts w:cs="Arial"/>
                <w:noProof/>
                <w:szCs w:val="24"/>
                <w:lang w:eastAsia="en-GB"/>
              </w:rPr>
              <w:lastRenderedPageBreak/>
              <w:drawing>
                <wp:inline distT="0" distB="0" distL="0" distR="0" wp14:anchorId="361CA646" wp14:editId="361CA647">
                  <wp:extent cx="1904332" cy="733425"/>
                  <wp:effectExtent l="0" t="0" r="0" b="0"/>
                  <wp:docPr id="30" name="Picture 3" descr="Involvement - icon + wo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volvement - icon + wording"/>
                          <pic:cNvPicPr>
                            <a:picLocks noChangeAspect="1" noChangeArrowheads="1"/>
                          </pic:cNvPicPr>
                        </pic:nvPicPr>
                        <pic:blipFill>
                          <a:blip r:embed="rId20" cstate="print"/>
                          <a:srcRect l="19205" t="11920" r="15453" b="12582"/>
                          <a:stretch>
                            <a:fillRect/>
                          </a:stretch>
                        </pic:blipFill>
                        <pic:spPr bwMode="auto">
                          <a:xfrm>
                            <a:off x="0" y="0"/>
                            <a:ext cx="1904332" cy="733425"/>
                          </a:xfrm>
                          <a:prstGeom prst="rect">
                            <a:avLst/>
                          </a:prstGeom>
                          <a:noFill/>
                          <a:ln w="9525">
                            <a:noFill/>
                            <a:miter lim="800000"/>
                            <a:headEnd/>
                            <a:tailEnd/>
                          </a:ln>
                        </pic:spPr>
                      </pic:pic>
                    </a:graphicData>
                  </a:graphic>
                </wp:inline>
              </w:drawing>
            </w:r>
          </w:p>
        </w:tc>
        <w:tc>
          <w:tcPr>
            <w:tcW w:w="5873" w:type="dxa"/>
          </w:tcPr>
          <w:p w14:paraId="361CA630" w14:textId="4F433431" w:rsidR="00893619" w:rsidRPr="00893619" w:rsidRDefault="00055C42" w:rsidP="00893619">
            <w:pPr>
              <w:spacing w:line="276" w:lineRule="auto"/>
              <w:rPr>
                <w:rFonts w:cs="Arial"/>
                <w:i/>
                <w:szCs w:val="24"/>
              </w:rPr>
            </w:pPr>
            <w:r w:rsidRPr="00055C42">
              <w:rPr>
                <w:rFonts w:cs="Verdana"/>
                <w:color w:val="000000"/>
                <w:sz w:val="23"/>
                <w:szCs w:val="23"/>
              </w:rPr>
              <w:t>This report provides a broad overview of the main areas of the organisation’s governance for 2017/18, which includes sta</w:t>
            </w:r>
            <w:r>
              <w:rPr>
                <w:rFonts w:cs="Verdana"/>
                <w:color w:val="000000"/>
                <w:sz w:val="23"/>
                <w:szCs w:val="23"/>
              </w:rPr>
              <w:t>ff and service-user engagement.</w:t>
            </w:r>
          </w:p>
        </w:tc>
      </w:tr>
    </w:tbl>
    <w:p w14:paraId="361CA632" w14:textId="77777777" w:rsidR="00E07F66" w:rsidRPr="001C60B5" w:rsidRDefault="00E07F66" w:rsidP="00627629">
      <w:pPr>
        <w:pStyle w:val="Heading1"/>
        <w:numPr>
          <w:ilvl w:val="0"/>
          <w:numId w:val="25"/>
        </w:numPr>
        <w:rPr>
          <w:szCs w:val="24"/>
        </w:rPr>
      </w:pPr>
      <w:r w:rsidRPr="001C60B5">
        <w:rPr>
          <w:szCs w:val="24"/>
        </w:rPr>
        <w:t>Recommendation</w:t>
      </w:r>
    </w:p>
    <w:p w14:paraId="361CA633" w14:textId="77777777" w:rsidR="00E07F66" w:rsidRPr="001C60B5" w:rsidRDefault="00E07F66" w:rsidP="00E07F66">
      <w:pPr>
        <w:rPr>
          <w:szCs w:val="24"/>
        </w:rPr>
      </w:pPr>
    </w:p>
    <w:p w14:paraId="01E43F4B" w14:textId="77777777" w:rsidR="0035489F" w:rsidRDefault="0035489F" w:rsidP="0035489F">
      <w:pPr>
        <w:jc w:val="both"/>
        <w:rPr>
          <w:szCs w:val="24"/>
        </w:rPr>
      </w:pPr>
      <w:r w:rsidRPr="00F35438">
        <w:rPr>
          <w:szCs w:val="24"/>
        </w:rPr>
        <w:t>The</w:t>
      </w:r>
      <w:r w:rsidRPr="00BE36DE">
        <w:rPr>
          <w:szCs w:val="24"/>
        </w:rPr>
        <w:t xml:space="preserve"> </w:t>
      </w:r>
      <w:r>
        <w:rPr>
          <w:szCs w:val="24"/>
        </w:rPr>
        <w:t>Board</w:t>
      </w:r>
      <w:r w:rsidRPr="00BE36DE">
        <w:rPr>
          <w:szCs w:val="24"/>
        </w:rPr>
        <w:t xml:space="preserve"> </w:t>
      </w:r>
      <w:r>
        <w:rPr>
          <w:szCs w:val="24"/>
        </w:rPr>
        <w:t>is asked to:</w:t>
      </w:r>
    </w:p>
    <w:p w14:paraId="2C5CD586" w14:textId="77777777" w:rsidR="0035489F" w:rsidRDefault="0035489F" w:rsidP="0035489F">
      <w:pPr>
        <w:jc w:val="both"/>
        <w:rPr>
          <w:szCs w:val="24"/>
        </w:rPr>
      </w:pPr>
    </w:p>
    <w:p w14:paraId="00782EC8" w14:textId="076BB7EE" w:rsidR="0035489F" w:rsidRPr="00E02D11" w:rsidRDefault="0035489F" w:rsidP="0035489F">
      <w:pPr>
        <w:pStyle w:val="ListParagraph"/>
        <w:numPr>
          <w:ilvl w:val="0"/>
          <w:numId w:val="34"/>
        </w:numPr>
        <w:jc w:val="both"/>
        <w:rPr>
          <w:color w:val="FF0000"/>
          <w:szCs w:val="24"/>
        </w:rPr>
      </w:pPr>
      <w:r>
        <w:rPr>
          <w:rFonts w:eastAsia="Times New Roman" w:cs="Times New Roman"/>
          <w:b/>
          <w:szCs w:val="20"/>
        </w:rPr>
        <w:t xml:space="preserve">Approve </w:t>
      </w:r>
      <w:r w:rsidRPr="00F12D2A">
        <w:rPr>
          <w:rFonts w:eastAsia="Times New Roman" w:cs="Times New Roman"/>
          <w:szCs w:val="20"/>
        </w:rPr>
        <w:t xml:space="preserve">the </w:t>
      </w:r>
      <w:r>
        <w:rPr>
          <w:rFonts w:eastAsia="Times New Roman" w:cs="Times New Roman"/>
          <w:szCs w:val="20"/>
        </w:rPr>
        <w:t>201</w:t>
      </w:r>
      <w:r>
        <w:rPr>
          <w:rFonts w:eastAsia="Times New Roman" w:cs="Times New Roman"/>
          <w:szCs w:val="20"/>
        </w:rPr>
        <w:t>8</w:t>
      </w:r>
      <w:r>
        <w:rPr>
          <w:rFonts w:eastAsia="Times New Roman" w:cs="Times New Roman"/>
          <w:szCs w:val="20"/>
        </w:rPr>
        <w:t>/1</w:t>
      </w:r>
      <w:r>
        <w:rPr>
          <w:rFonts w:eastAsia="Times New Roman" w:cs="Times New Roman"/>
          <w:szCs w:val="20"/>
        </w:rPr>
        <w:t>9</w:t>
      </w:r>
      <w:r>
        <w:rPr>
          <w:rFonts w:eastAsia="Times New Roman" w:cs="Times New Roman"/>
          <w:szCs w:val="20"/>
        </w:rPr>
        <w:t xml:space="preserve"> </w:t>
      </w:r>
      <w:r>
        <w:rPr>
          <w:rFonts w:cs="Arial"/>
          <w:szCs w:val="24"/>
        </w:rPr>
        <w:t>Accountability Report</w:t>
      </w:r>
      <w:r>
        <w:rPr>
          <w:rFonts w:eastAsia="Times New Roman" w:cs="Times New Roman"/>
          <w:szCs w:val="20"/>
        </w:rPr>
        <w:t xml:space="preserve">. </w:t>
      </w:r>
    </w:p>
    <w:p w14:paraId="1DA76282" w14:textId="77777777" w:rsidR="0035489F" w:rsidRDefault="0035489F" w:rsidP="0035489F">
      <w:pPr>
        <w:jc w:val="both"/>
        <w:rPr>
          <w:rFonts w:eastAsia="Times New Roman" w:cs="Times New Roman"/>
          <w:szCs w:val="20"/>
        </w:rPr>
      </w:pPr>
    </w:p>
    <w:p w14:paraId="68FCA204" w14:textId="7B1A00F8" w:rsidR="00055C42" w:rsidRDefault="0035489F" w:rsidP="0035489F">
      <w:pPr>
        <w:spacing w:after="200" w:line="276" w:lineRule="auto"/>
        <w:rPr>
          <w:rFonts w:cs="Verdana"/>
          <w:color w:val="000000"/>
          <w:sz w:val="23"/>
          <w:szCs w:val="23"/>
        </w:rPr>
      </w:pPr>
      <w:r w:rsidRPr="00E02D11">
        <w:rPr>
          <w:rFonts w:eastAsia="Times New Roman" w:cs="Times New Roman"/>
          <w:szCs w:val="20"/>
        </w:rPr>
        <w:t>Once approved, it will be submitted to Welsh Government on</w:t>
      </w:r>
      <w:r>
        <w:rPr>
          <w:rFonts w:eastAsia="Times New Roman" w:cs="Times New Roman"/>
          <w:szCs w:val="20"/>
        </w:rPr>
        <w:t xml:space="preserve"> 31 May 2019</w:t>
      </w:r>
    </w:p>
    <w:p w14:paraId="23DB67DA" w14:textId="062999A0" w:rsidR="00CF50B3" w:rsidRDefault="00CF50B3">
      <w:pPr>
        <w:spacing w:after="200" w:line="276" w:lineRule="auto"/>
        <w:rPr>
          <w:rFonts w:cs="Verdana"/>
          <w:color w:val="000000"/>
          <w:sz w:val="23"/>
          <w:szCs w:val="23"/>
        </w:rPr>
      </w:pPr>
    </w:p>
    <w:p w14:paraId="04F73006" w14:textId="46C8E4C7" w:rsidR="00CF50B3" w:rsidRDefault="00CF50B3">
      <w:pPr>
        <w:spacing w:after="200" w:line="276" w:lineRule="auto"/>
        <w:rPr>
          <w:rFonts w:cs="Verdana"/>
          <w:color w:val="000000"/>
          <w:sz w:val="23"/>
          <w:szCs w:val="23"/>
        </w:rPr>
      </w:pPr>
    </w:p>
    <w:p w14:paraId="23FD82FB" w14:textId="516E7AED" w:rsidR="00CF50B3" w:rsidRDefault="00CF50B3">
      <w:pPr>
        <w:spacing w:after="200" w:line="276" w:lineRule="auto"/>
        <w:rPr>
          <w:rFonts w:cs="Verdana"/>
          <w:color w:val="000000"/>
          <w:sz w:val="23"/>
          <w:szCs w:val="23"/>
        </w:rPr>
      </w:pPr>
    </w:p>
    <w:p w14:paraId="166EB170" w14:textId="18265053" w:rsidR="00CF50B3" w:rsidRDefault="00CF50B3">
      <w:pPr>
        <w:spacing w:after="200" w:line="276" w:lineRule="auto"/>
        <w:rPr>
          <w:rFonts w:cs="Verdana"/>
          <w:color w:val="000000"/>
          <w:sz w:val="23"/>
          <w:szCs w:val="23"/>
        </w:rPr>
      </w:pPr>
    </w:p>
    <w:p w14:paraId="10E439ED" w14:textId="5085F132" w:rsidR="00CF50B3" w:rsidRDefault="00CF50B3">
      <w:pPr>
        <w:spacing w:after="200" w:line="276" w:lineRule="auto"/>
        <w:rPr>
          <w:rFonts w:cs="Verdana"/>
          <w:color w:val="000000"/>
          <w:sz w:val="23"/>
          <w:szCs w:val="23"/>
        </w:rPr>
      </w:pPr>
    </w:p>
    <w:p w14:paraId="3D82EFF1" w14:textId="21B6DB59" w:rsidR="00CF50B3" w:rsidRDefault="00CF50B3">
      <w:pPr>
        <w:spacing w:after="200" w:line="276" w:lineRule="auto"/>
        <w:rPr>
          <w:rFonts w:cs="Verdana"/>
          <w:color w:val="000000"/>
          <w:sz w:val="23"/>
          <w:szCs w:val="23"/>
        </w:rPr>
      </w:pPr>
    </w:p>
    <w:p w14:paraId="7F09ABC3" w14:textId="77B376BB" w:rsidR="00CF50B3" w:rsidRDefault="00CF50B3">
      <w:pPr>
        <w:spacing w:after="200" w:line="276" w:lineRule="auto"/>
        <w:rPr>
          <w:rFonts w:cs="Verdana"/>
          <w:color w:val="000000"/>
          <w:sz w:val="23"/>
          <w:szCs w:val="23"/>
        </w:rPr>
      </w:pPr>
    </w:p>
    <w:p w14:paraId="3ADED680" w14:textId="0DF623CF" w:rsidR="00CF50B3" w:rsidRDefault="00CF50B3">
      <w:pPr>
        <w:spacing w:after="200" w:line="276" w:lineRule="auto"/>
        <w:rPr>
          <w:rFonts w:cs="Verdana"/>
          <w:color w:val="000000"/>
          <w:sz w:val="23"/>
          <w:szCs w:val="23"/>
        </w:rPr>
      </w:pPr>
    </w:p>
    <w:p w14:paraId="36C86676" w14:textId="52623EAC" w:rsidR="00CF50B3" w:rsidRDefault="00CF50B3">
      <w:pPr>
        <w:spacing w:after="200" w:line="276" w:lineRule="auto"/>
        <w:rPr>
          <w:rFonts w:cs="Verdana"/>
          <w:color w:val="000000"/>
          <w:sz w:val="23"/>
          <w:szCs w:val="23"/>
        </w:rPr>
      </w:pPr>
    </w:p>
    <w:p w14:paraId="1E0B2D25" w14:textId="39972C55" w:rsidR="00CF50B3" w:rsidRDefault="00CF50B3">
      <w:pPr>
        <w:spacing w:after="200" w:line="276" w:lineRule="auto"/>
        <w:rPr>
          <w:rFonts w:cs="Verdana"/>
          <w:color w:val="000000"/>
          <w:sz w:val="23"/>
          <w:szCs w:val="23"/>
        </w:rPr>
      </w:pPr>
    </w:p>
    <w:p w14:paraId="778C8467" w14:textId="364F4E6C" w:rsidR="00CF50B3" w:rsidRDefault="00CF50B3">
      <w:pPr>
        <w:spacing w:after="200" w:line="276" w:lineRule="auto"/>
        <w:rPr>
          <w:rFonts w:cs="Verdana"/>
          <w:color w:val="000000"/>
          <w:sz w:val="23"/>
          <w:szCs w:val="23"/>
        </w:rPr>
      </w:pPr>
    </w:p>
    <w:p w14:paraId="1B805616" w14:textId="1B0090D3" w:rsidR="00CF50B3" w:rsidRDefault="00CF50B3">
      <w:pPr>
        <w:spacing w:after="200" w:line="276" w:lineRule="auto"/>
        <w:rPr>
          <w:rFonts w:cs="Verdana"/>
          <w:color w:val="000000"/>
          <w:sz w:val="23"/>
          <w:szCs w:val="23"/>
        </w:rPr>
      </w:pPr>
    </w:p>
    <w:p w14:paraId="7FC0AE90" w14:textId="1F856BC5" w:rsidR="00CF50B3" w:rsidRDefault="00CF50B3">
      <w:pPr>
        <w:spacing w:after="200" w:line="276" w:lineRule="auto"/>
        <w:rPr>
          <w:rFonts w:cs="Verdana"/>
          <w:color w:val="000000"/>
          <w:sz w:val="23"/>
          <w:szCs w:val="23"/>
        </w:rPr>
      </w:pPr>
    </w:p>
    <w:p w14:paraId="5C841AE3" w14:textId="66F639A2" w:rsidR="00CF50B3" w:rsidRDefault="00CF50B3">
      <w:pPr>
        <w:spacing w:after="200" w:line="276" w:lineRule="auto"/>
        <w:rPr>
          <w:rFonts w:cs="Verdana"/>
          <w:color w:val="000000"/>
          <w:sz w:val="23"/>
          <w:szCs w:val="23"/>
        </w:rPr>
      </w:pPr>
    </w:p>
    <w:p w14:paraId="0F0DD731" w14:textId="4D63FFFF" w:rsidR="00CF50B3" w:rsidRDefault="00CF50B3">
      <w:pPr>
        <w:spacing w:after="200" w:line="276" w:lineRule="auto"/>
        <w:rPr>
          <w:rFonts w:cs="Verdana"/>
          <w:color w:val="000000"/>
          <w:sz w:val="23"/>
          <w:szCs w:val="23"/>
        </w:rPr>
      </w:pPr>
    </w:p>
    <w:p w14:paraId="1060B9A0" w14:textId="325D2347" w:rsidR="00CF50B3" w:rsidRDefault="00CF50B3">
      <w:pPr>
        <w:spacing w:after="200" w:line="276" w:lineRule="auto"/>
        <w:rPr>
          <w:rFonts w:cs="Verdana"/>
          <w:color w:val="000000"/>
          <w:sz w:val="23"/>
          <w:szCs w:val="23"/>
        </w:rPr>
      </w:pPr>
    </w:p>
    <w:p w14:paraId="3A1F3BD3" w14:textId="5720E131" w:rsidR="00CF50B3" w:rsidRDefault="00CF50B3">
      <w:pPr>
        <w:spacing w:after="200" w:line="276" w:lineRule="auto"/>
        <w:rPr>
          <w:rFonts w:cs="Verdana"/>
          <w:color w:val="000000"/>
          <w:sz w:val="23"/>
          <w:szCs w:val="23"/>
        </w:rPr>
      </w:pPr>
    </w:p>
    <w:p w14:paraId="71AD6BDA" w14:textId="5E2E4EBE" w:rsidR="00CF50B3" w:rsidRDefault="00CF50B3">
      <w:pPr>
        <w:spacing w:after="200" w:line="276" w:lineRule="auto"/>
        <w:rPr>
          <w:rFonts w:cs="Verdana"/>
          <w:color w:val="000000"/>
          <w:sz w:val="23"/>
          <w:szCs w:val="23"/>
        </w:rPr>
      </w:pPr>
    </w:p>
    <w:sectPr w:rsidR="00CF50B3" w:rsidSect="00A61A9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CA64A" w14:textId="77777777" w:rsidR="00DE2218" w:rsidRDefault="00DE2218" w:rsidP="00497F39">
      <w:r>
        <w:separator/>
      </w:r>
    </w:p>
  </w:endnote>
  <w:endnote w:type="continuationSeparator" w:id="0">
    <w:p w14:paraId="361CA64B" w14:textId="77777777" w:rsidR="00DE2218" w:rsidRDefault="00DE2218" w:rsidP="0049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14"/>
      <w:gridCol w:w="3002"/>
    </w:tblGrid>
    <w:tr w:rsidR="007623DA" w:rsidRPr="00511AFF" w14:paraId="361CA64F" w14:textId="77777777" w:rsidTr="003B7361">
      <w:tc>
        <w:tcPr>
          <w:tcW w:w="3100" w:type="dxa"/>
        </w:tcPr>
        <w:p w14:paraId="361CA64C" w14:textId="48112A3C" w:rsidR="007623DA" w:rsidRPr="00511AFF" w:rsidRDefault="007623DA" w:rsidP="00EC4BF7">
          <w:pPr>
            <w:pStyle w:val="Footer"/>
            <w:tabs>
              <w:tab w:val="right" w:pos="9090"/>
            </w:tabs>
            <w:jc w:val="center"/>
            <w:rPr>
              <w:b/>
              <w:sz w:val="20"/>
            </w:rPr>
          </w:pPr>
          <w:r w:rsidRPr="00EC4BF7">
            <w:rPr>
              <w:b/>
              <w:sz w:val="20"/>
            </w:rPr>
            <w:t xml:space="preserve">Date: </w:t>
          </w:r>
          <w:r w:rsidRPr="00EC4BF7">
            <w:rPr>
              <w:sz w:val="20"/>
            </w:rPr>
            <w:t xml:space="preserve"> </w:t>
          </w:r>
          <w:r w:rsidR="00EC4BF7" w:rsidRPr="00EC4BF7">
            <w:rPr>
              <w:sz w:val="20"/>
            </w:rPr>
            <w:t>22 May 2019</w:t>
          </w:r>
        </w:p>
      </w:tc>
      <w:tc>
        <w:tcPr>
          <w:tcW w:w="3100" w:type="dxa"/>
        </w:tcPr>
        <w:p w14:paraId="361CA64D" w14:textId="23FE1F23" w:rsidR="007623DA" w:rsidRPr="00511AFF" w:rsidRDefault="007623DA" w:rsidP="00EC4BF7">
          <w:pPr>
            <w:pStyle w:val="Footer"/>
            <w:tabs>
              <w:tab w:val="center" w:pos="1433"/>
              <w:tab w:val="right" w:pos="2866"/>
              <w:tab w:val="right" w:pos="9090"/>
            </w:tabs>
            <w:jc w:val="center"/>
            <w:rPr>
              <w:b/>
              <w:sz w:val="20"/>
            </w:rPr>
          </w:pPr>
          <w:r w:rsidRPr="00511AFF">
            <w:rPr>
              <w:b/>
              <w:sz w:val="20"/>
            </w:rPr>
            <w:t>Version:</w:t>
          </w:r>
          <w:r w:rsidRPr="00EC4BF7">
            <w:rPr>
              <w:sz w:val="20"/>
            </w:rPr>
            <w:t xml:space="preserve"> </w:t>
          </w:r>
          <w:r w:rsidR="00EC4BF7" w:rsidRPr="00EC4BF7">
            <w:rPr>
              <w:sz w:val="20"/>
            </w:rPr>
            <w:t>1</w:t>
          </w:r>
        </w:p>
      </w:tc>
      <w:tc>
        <w:tcPr>
          <w:tcW w:w="3101" w:type="dxa"/>
        </w:tcPr>
        <w:p w14:paraId="361CA64E" w14:textId="4DC6332B" w:rsidR="007623DA" w:rsidRPr="00511AFF" w:rsidRDefault="007623DA" w:rsidP="003B7361">
          <w:pPr>
            <w:pStyle w:val="Footer"/>
            <w:tabs>
              <w:tab w:val="clear" w:pos="4513"/>
              <w:tab w:val="center" w:pos="4500"/>
              <w:tab w:val="right" w:pos="9090"/>
            </w:tabs>
            <w:jc w:val="center"/>
            <w:rPr>
              <w:b/>
              <w:sz w:val="20"/>
            </w:rPr>
          </w:pPr>
          <w:r w:rsidRPr="00511AFF">
            <w:rPr>
              <w:b/>
              <w:sz w:val="20"/>
            </w:rPr>
            <w:t xml:space="preserve">Page: </w:t>
          </w:r>
          <w:r w:rsidRPr="00511AFF">
            <w:rPr>
              <w:rStyle w:val="PageNumber"/>
              <w:sz w:val="20"/>
            </w:rPr>
            <w:fldChar w:fldCharType="begin"/>
          </w:r>
          <w:r w:rsidRPr="00511AFF">
            <w:rPr>
              <w:rStyle w:val="PageNumber"/>
              <w:sz w:val="20"/>
            </w:rPr>
            <w:instrText xml:space="preserve"> PAGE </w:instrText>
          </w:r>
          <w:r w:rsidRPr="00511AFF">
            <w:rPr>
              <w:rStyle w:val="PageNumber"/>
              <w:sz w:val="20"/>
            </w:rPr>
            <w:fldChar w:fldCharType="separate"/>
          </w:r>
          <w:r w:rsidR="004B77F7">
            <w:rPr>
              <w:rStyle w:val="PageNumber"/>
              <w:noProof/>
              <w:sz w:val="20"/>
            </w:rPr>
            <w:t>3</w:t>
          </w:r>
          <w:r w:rsidRPr="00511AFF">
            <w:rPr>
              <w:rStyle w:val="PageNumber"/>
              <w:sz w:val="20"/>
            </w:rPr>
            <w:fldChar w:fldCharType="end"/>
          </w:r>
          <w:r w:rsidRPr="00511AFF">
            <w:rPr>
              <w:rStyle w:val="PageNumber"/>
              <w:sz w:val="20"/>
            </w:rPr>
            <w:t xml:space="preserve"> of </w:t>
          </w:r>
          <w:r w:rsidRPr="00511AFF">
            <w:rPr>
              <w:rStyle w:val="PageNumber"/>
              <w:sz w:val="20"/>
            </w:rPr>
            <w:fldChar w:fldCharType="begin"/>
          </w:r>
          <w:r w:rsidRPr="00511AFF">
            <w:rPr>
              <w:rStyle w:val="PageNumber"/>
              <w:sz w:val="20"/>
            </w:rPr>
            <w:instrText xml:space="preserve"> NUMPAGES </w:instrText>
          </w:r>
          <w:r w:rsidRPr="00511AFF">
            <w:rPr>
              <w:rStyle w:val="PageNumber"/>
              <w:sz w:val="20"/>
            </w:rPr>
            <w:fldChar w:fldCharType="separate"/>
          </w:r>
          <w:r w:rsidR="004B77F7">
            <w:rPr>
              <w:rStyle w:val="PageNumber"/>
              <w:noProof/>
              <w:sz w:val="20"/>
            </w:rPr>
            <w:t>6</w:t>
          </w:r>
          <w:r w:rsidRPr="00511AFF">
            <w:rPr>
              <w:rStyle w:val="PageNumber"/>
              <w:sz w:val="20"/>
            </w:rPr>
            <w:fldChar w:fldCharType="end"/>
          </w:r>
        </w:p>
      </w:tc>
    </w:tr>
  </w:tbl>
  <w:p w14:paraId="361CA650" w14:textId="77777777" w:rsidR="007623DA" w:rsidRPr="00FA7943" w:rsidRDefault="007623DA">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CA648" w14:textId="77777777" w:rsidR="00DE2218" w:rsidRDefault="00DE2218" w:rsidP="00497F39">
      <w:r>
        <w:separator/>
      </w:r>
    </w:p>
  </w:footnote>
  <w:footnote w:type="continuationSeparator" w:id="0">
    <w:p w14:paraId="361CA649" w14:textId="77777777" w:rsidR="00DE2218" w:rsidRDefault="00DE2218" w:rsidP="00497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F19"/>
    <w:multiLevelType w:val="hybridMultilevel"/>
    <w:tmpl w:val="3CFE4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21EF"/>
    <w:multiLevelType w:val="hybridMultilevel"/>
    <w:tmpl w:val="6646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37081"/>
    <w:multiLevelType w:val="multilevel"/>
    <w:tmpl w:val="370C1586"/>
    <w:lvl w:ilvl="0">
      <w:start w:val="3"/>
      <w:numFmt w:val="decimal"/>
      <w:lvlText w:val="%1."/>
      <w:lvlJc w:val="left"/>
      <w:pPr>
        <w:ind w:left="720" w:hanging="360"/>
      </w:pPr>
      <w:rPr>
        <w:rFonts w:hint="default"/>
      </w:rPr>
    </w:lvl>
    <w:lvl w:ilvl="1">
      <w:start w:val="1"/>
      <w:numFmt w:val="decimal"/>
      <w:isLgl/>
      <w:lvlText w:val="%1.%2"/>
      <w:lvlJc w:val="left"/>
      <w:pPr>
        <w:ind w:left="1106" w:hanging="746"/>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EB3DB7"/>
    <w:multiLevelType w:val="singleLevel"/>
    <w:tmpl w:val="7E309B0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AB3FA6"/>
    <w:multiLevelType w:val="hybridMultilevel"/>
    <w:tmpl w:val="12C8E2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83A45"/>
    <w:multiLevelType w:val="hybridMultilevel"/>
    <w:tmpl w:val="2C44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7535F"/>
    <w:multiLevelType w:val="hybridMultilevel"/>
    <w:tmpl w:val="7BA622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361360B"/>
    <w:multiLevelType w:val="hybridMultilevel"/>
    <w:tmpl w:val="251E6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EC7219"/>
    <w:multiLevelType w:val="multilevel"/>
    <w:tmpl w:val="24CAC25E"/>
    <w:lvl w:ilvl="0">
      <w:start w:val="3"/>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B956A7"/>
    <w:multiLevelType w:val="hybridMultilevel"/>
    <w:tmpl w:val="2176E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FD0FF6"/>
    <w:multiLevelType w:val="hybridMultilevel"/>
    <w:tmpl w:val="F24CD7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C74834"/>
    <w:multiLevelType w:val="hybridMultilevel"/>
    <w:tmpl w:val="4AF88016"/>
    <w:lvl w:ilvl="0" w:tplc="3ABA4EDE">
      <w:start w:val="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784ED0"/>
    <w:multiLevelType w:val="hybridMultilevel"/>
    <w:tmpl w:val="A2ECBE46"/>
    <w:lvl w:ilvl="0" w:tplc="30EC1382">
      <w:start w:val="1"/>
      <w:numFmt w:val="bullet"/>
      <w:lvlText w:val=""/>
      <w:lvlJc w:val="left"/>
      <w:pPr>
        <w:ind w:left="810" w:hanging="360"/>
      </w:pPr>
      <w:rPr>
        <w:rFonts w:ascii="Symbol" w:hAnsi="Symbol" w:hint="default"/>
        <w:color w:val="auto"/>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3" w15:restartNumberingAfterBreak="0">
    <w:nsid w:val="23D151DC"/>
    <w:multiLevelType w:val="hybridMultilevel"/>
    <w:tmpl w:val="45B0FD90"/>
    <w:lvl w:ilvl="0" w:tplc="3ABA4EDE">
      <w:start w:val="4"/>
      <w:numFmt w:val="bullet"/>
      <w:lvlText w:val="-"/>
      <w:lvlJc w:val="left"/>
      <w:pPr>
        <w:ind w:left="360" w:hanging="360"/>
      </w:pPr>
      <w:rPr>
        <w:rFonts w:ascii="Verdana" w:eastAsiaTheme="minorHAnsi" w:hAnsi="Verdan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423D21"/>
    <w:multiLevelType w:val="multilevel"/>
    <w:tmpl w:val="D5E0A80A"/>
    <w:lvl w:ilvl="0">
      <w:start w:val="1"/>
      <w:numFmt w:val="decimal"/>
      <w:lvlText w:val="%1."/>
      <w:lvlJc w:val="left"/>
      <w:pPr>
        <w:ind w:left="360" w:hanging="360"/>
      </w:pPr>
      <w:rPr>
        <w:rFonts w:hint="default"/>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CD0A03"/>
    <w:multiLevelType w:val="hybridMultilevel"/>
    <w:tmpl w:val="426A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064804"/>
    <w:multiLevelType w:val="hybridMultilevel"/>
    <w:tmpl w:val="C5447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581F22"/>
    <w:multiLevelType w:val="hybridMultilevel"/>
    <w:tmpl w:val="127EF3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2EDE39EA"/>
    <w:multiLevelType w:val="hybridMultilevel"/>
    <w:tmpl w:val="FCAAB146"/>
    <w:lvl w:ilvl="0" w:tplc="487AF3F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B93130"/>
    <w:multiLevelType w:val="hybridMultilevel"/>
    <w:tmpl w:val="98C41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8F6C5A"/>
    <w:multiLevelType w:val="hybridMultilevel"/>
    <w:tmpl w:val="6C7A1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003C4D"/>
    <w:multiLevelType w:val="hybridMultilevel"/>
    <w:tmpl w:val="21A632F4"/>
    <w:lvl w:ilvl="0" w:tplc="3550992E">
      <w:start w:val="4"/>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5CE02E8"/>
    <w:multiLevelType w:val="hybridMultilevel"/>
    <w:tmpl w:val="5B1A8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4119DC"/>
    <w:multiLevelType w:val="hybridMultilevel"/>
    <w:tmpl w:val="60D43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837DC5"/>
    <w:multiLevelType w:val="hybridMultilevel"/>
    <w:tmpl w:val="8DF0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EC22B3"/>
    <w:multiLevelType w:val="hybridMultilevel"/>
    <w:tmpl w:val="D9FC3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1A132D"/>
    <w:multiLevelType w:val="hybridMultilevel"/>
    <w:tmpl w:val="65EA1F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1D44148"/>
    <w:multiLevelType w:val="hybridMultilevel"/>
    <w:tmpl w:val="6FCA3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BB3BEC"/>
    <w:multiLevelType w:val="hybridMultilevel"/>
    <w:tmpl w:val="0B484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777AA1"/>
    <w:multiLevelType w:val="multilevel"/>
    <w:tmpl w:val="64B26336"/>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0" w15:restartNumberingAfterBreak="0">
    <w:nsid w:val="6FC234F1"/>
    <w:multiLevelType w:val="hybridMultilevel"/>
    <w:tmpl w:val="635A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131D8D"/>
    <w:multiLevelType w:val="hybridMultilevel"/>
    <w:tmpl w:val="9536E07C"/>
    <w:lvl w:ilvl="0" w:tplc="EC5C0FD4">
      <w:start w:val="1"/>
      <w:numFmt w:val="decimal"/>
      <w:lvlText w:val="%1)"/>
      <w:lvlJc w:val="left"/>
      <w:pPr>
        <w:ind w:left="413" w:hanging="360"/>
      </w:pPr>
      <w:rPr>
        <w:rFonts w:hint="default"/>
      </w:rPr>
    </w:lvl>
    <w:lvl w:ilvl="1" w:tplc="08090019" w:tentative="1">
      <w:start w:val="1"/>
      <w:numFmt w:val="lowerLetter"/>
      <w:lvlText w:val="%2."/>
      <w:lvlJc w:val="left"/>
      <w:pPr>
        <w:ind w:left="1133" w:hanging="360"/>
      </w:pPr>
    </w:lvl>
    <w:lvl w:ilvl="2" w:tplc="0809001B" w:tentative="1">
      <w:start w:val="1"/>
      <w:numFmt w:val="lowerRoman"/>
      <w:lvlText w:val="%3."/>
      <w:lvlJc w:val="right"/>
      <w:pPr>
        <w:ind w:left="1853" w:hanging="180"/>
      </w:pPr>
    </w:lvl>
    <w:lvl w:ilvl="3" w:tplc="0809000F" w:tentative="1">
      <w:start w:val="1"/>
      <w:numFmt w:val="decimal"/>
      <w:lvlText w:val="%4."/>
      <w:lvlJc w:val="left"/>
      <w:pPr>
        <w:ind w:left="2573" w:hanging="360"/>
      </w:pPr>
    </w:lvl>
    <w:lvl w:ilvl="4" w:tplc="08090019" w:tentative="1">
      <w:start w:val="1"/>
      <w:numFmt w:val="lowerLetter"/>
      <w:lvlText w:val="%5."/>
      <w:lvlJc w:val="left"/>
      <w:pPr>
        <w:ind w:left="3293" w:hanging="360"/>
      </w:pPr>
    </w:lvl>
    <w:lvl w:ilvl="5" w:tplc="0809001B" w:tentative="1">
      <w:start w:val="1"/>
      <w:numFmt w:val="lowerRoman"/>
      <w:lvlText w:val="%6."/>
      <w:lvlJc w:val="right"/>
      <w:pPr>
        <w:ind w:left="4013" w:hanging="180"/>
      </w:pPr>
    </w:lvl>
    <w:lvl w:ilvl="6" w:tplc="0809000F" w:tentative="1">
      <w:start w:val="1"/>
      <w:numFmt w:val="decimal"/>
      <w:lvlText w:val="%7."/>
      <w:lvlJc w:val="left"/>
      <w:pPr>
        <w:ind w:left="4733" w:hanging="360"/>
      </w:pPr>
    </w:lvl>
    <w:lvl w:ilvl="7" w:tplc="08090019" w:tentative="1">
      <w:start w:val="1"/>
      <w:numFmt w:val="lowerLetter"/>
      <w:lvlText w:val="%8."/>
      <w:lvlJc w:val="left"/>
      <w:pPr>
        <w:ind w:left="5453" w:hanging="360"/>
      </w:pPr>
    </w:lvl>
    <w:lvl w:ilvl="8" w:tplc="0809001B" w:tentative="1">
      <w:start w:val="1"/>
      <w:numFmt w:val="lowerRoman"/>
      <w:lvlText w:val="%9."/>
      <w:lvlJc w:val="right"/>
      <w:pPr>
        <w:ind w:left="6173" w:hanging="180"/>
      </w:pPr>
    </w:lvl>
  </w:abstractNum>
  <w:abstractNum w:abstractNumId="32" w15:restartNumberingAfterBreak="0">
    <w:nsid w:val="7B507ADB"/>
    <w:multiLevelType w:val="hybridMultilevel"/>
    <w:tmpl w:val="0EC4F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7C15E8"/>
    <w:multiLevelType w:val="hybridMultilevel"/>
    <w:tmpl w:val="239098EA"/>
    <w:lvl w:ilvl="0" w:tplc="3ABA4EDE">
      <w:start w:val="4"/>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14"/>
  </w:num>
  <w:num w:numId="3">
    <w:abstractNumId w:val="33"/>
  </w:num>
  <w:num w:numId="4">
    <w:abstractNumId w:val="21"/>
  </w:num>
  <w:num w:numId="5">
    <w:abstractNumId w:val="3"/>
  </w:num>
  <w:num w:numId="6">
    <w:abstractNumId w:val="13"/>
  </w:num>
  <w:num w:numId="7">
    <w:abstractNumId w:val="11"/>
  </w:num>
  <w:num w:numId="8">
    <w:abstractNumId w:val="20"/>
  </w:num>
  <w:num w:numId="9">
    <w:abstractNumId w:val="27"/>
  </w:num>
  <w:num w:numId="10">
    <w:abstractNumId w:val="9"/>
  </w:num>
  <w:num w:numId="11">
    <w:abstractNumId w:val="28"/>
  </w:num>
  <w:num w:numId="12">
    <w:abstractNumId w:val="6"/>
  </w:num>
  <w:num w:numId="13">
    <w:abstractNumId w:val="15"/>
  </w:num>
  <w:num w:numId="14">
    <w:abstractNumId w:val="17"/>
  </w:num>
  <w:num w:numId="15">
    <w:abstractNumId w:val="5"/>
  </w:num>
  <w:num w:numId="16">
    <w:abstractNumId w:val="31"/>
  </w:num>
  <w:num w:numId="17">
    <w:abstractNumId w:val="26"/>
  </w:num>
  <w:num w:numId="18">
    <w:abstractNumId w:val="30"/>
  </w:num>
  <w:num w:numId="19">
    <w:abstractNumId w:val="29"/>
  </w:num>
  <w:num w:numId="20">
    <w:abstractNumId w:val="4"/>
  </w:num>
  <w:num w:numId="21">
    <w:abstractNumId w:val="32"/>
  </w:num>
  <w:num w:numId="22">
    <w:abstractNumId w:val="10"/>
  </w:num>
  <w:num w:numId="23">
    <w:abstractNumId w:val="1"/>
  </w:num>
  <w:num w:numId="24">
    <w:abstractNumId w:val="0"/>
  </w:num>
  <w:num w:numId="25">
    <w:abstractNumId w:val="8"/>
  </w:num>
  <w:num w:numId="26">
    <w:abstractNumId w:val="22"/>
  </w:num>
  <w:num w:numId="27">
    <w:abstractNumId w:val="23"/>
  </w:num>
  <w:num w:numId="28">
    <w:abstractNumId w:val="25"/>
  </w:num>
  <w:num w:numId="29">
    <w:abstractNumId w:val="18"/>
  </w:num>
  <w:num w:numId="30">
    <w:abstractNumId w:val="2"/>
  </w:num>
  <w:num w:numId="31">
    <w:abstractNumId w:val="19"/>
  </w:num>
  <w:num w:numId="32">
    <w:abstractNumId w:val="24"/>
  </w:num>
  <w:num w:numId="33">
    <w:abstractNumId w:val="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A5"/>
    <w:rsid w:val="000037FD"/>
    <w:rsid w:val="0000561A"/>
    <w:rsid w:val="00051CDC"/>
    <w:rsid w:val="00051E74"/>
    <w:rsid w:val="00053649"/>
    <w:rsid w:val="0005502D"/>
    <w:rsid w:val="00055C42"/>
    <w:rsid w:val="00057CFB"/>
    <w:rsid w:val="00097ACD"/>
    <w:rsid w:val="000B306B"/>
    <w:rsid w:val="000D4CC7"/>
    <w:rsid w:val="000F46F4"/>
    <w:rsid w:val="000F5A72"/>
    <w:rsid w:val="001107EE"/>
    <w:rsid w:val="00121679"/>
    <w:rsid w:val="00123FD2"/>
    <w:rsid w:val="00126327"/>
    <w:rsid w:val="001272F6"/>
    <w:rsid w:val="0013075E"/>
    <w:rsid w:val="00133373"/>
    <w:rsid w:val="00141FC5"/>
    <w:rsid w:val="001B2A97"/>
    <w:rsid w:val="001B3428"/>
    <w:rsid w:val="001C02C6"/>
    <w:rsid w:val="001C305C"/>
    <w:rsid w:val="001C60B5"/>
    <w:rsid w:val="001E5B78"/>
    <w:rsid w:val="00202AB8"/>
    <w:rsid w:val="00211B9D"/>
    <w:rsid w:val="00214BA4"/>
    <w:rsid w:val="0022713F"/>
    <w:rsid w:val="00250088"/>
    <w:rsid w:val="00257CD2"/>
    <w:rsid w:val="00262B18"/>
    <w:rsid w:val="00273D26"/>
    <w:rsid w:val="002B0BC9"/>
    <w:rsid w:val="002B712E"/>
    <w:rsid w:val="002C0A83"/>
    <w:rsid w:val="002C170B"/>
    <w:rsid w:val="002D11B1"/>
    <w:rsid w:val="002E6258"/>
    <w:rsid w:val="003018F5"/>
    <w:rsid w:val="00304FD0"/>
    <w:rsid w:val="00305721"/>
    <w:rsid w:val="00322D2E"/>
    <w:rsid w:val="00326EC6"/>
    <w:rsid w:val="00337864"/>
    <w:rsid w:val="00345CAF"/>
    <w:rsid w:val="003461AF"/>
    <w:rsid w:val="0035489F"/>
    <w:rsid w:val="00371966"/>
    <w:rsid w:val="003A3414"/>
    <w:rsid w:val="003B40BB"/>
    <w:rsid w:val="003B7361"/>
    <w:rsid w:val="003B7B09"/>
    <w:rsid w:val="003C6952"/>
    <w:rsid w:val="003F3D59"/>
    <w:rsid w:val="003F3E7F"/>
    <w:rsid w:val="0040037A"/>
    <w:rsid w:val="00407604"/>
    <w:rsid w:val="00427779"/>
    <w:rsid w:val="004375CA"/>
    <w:rsid w:val="0046169C"/>
    <w:rsid w:val="00480353"/>
    <w:rsid w:val="004939C2"/>
    <w:rsid w:val="00497F39"/>
    <w:rsid w:val="004A4626"/>
    <w:rsid w:val="004A6253"/>
    <w:rsid w:val="004B31A5"/>
    <w:rsid w:val="004B77F7"/>
    <w:rsid w:val="004D632B"/>
    <w:rsid w:val="004F24A1"/>
    <w:rsid w:val="00504A87"/>
    <w:rsid w:val="00506C55"/>
    <w:rsid w:val="0052328C"/>
    <w:rsid w:val="00536FA4"/>
    <w:rsid w:val="00544C9E"/>
    <w:rsid w:val="00554429"/>
    <w:rsid w:val="0055720E"/>
    <w:rsid w:val="00564789"/>
    <w:rsid w:val="005767ED"/>
    <w:rsid w:val="00577744"/>
    <w:rsid w:val="00584A73"/>
    <w:rsid w:val="00590736"/>
    <w:rsid w:val="005B4E75"/>
    <w:rsid w:val="005C7D40"/>
    <w:rsid w:val="005D5FC4"/>
    <w:rsid w:val="005E33CB"/>
    <w:rsid w:val="00607476"/>
    <w:rsid w:val="00611958"/>
    <w:rsid w:val="00627629"/>
    <w:rsid w:val="006310BB"/>
    <w:rsid w:val="00642E87"/>
    <w:rsid w:val="00657B25"/>
    <w:rsid w:val="00660772"/>
    <w:rsid w:val="00672175"/>
    <w:rsid w:val="00680248"/>
    <w:rsid w:val="00680CAE"/>
    <w:rsid w:val="0068275A"/>
    <w:rsid w:val="0068334E"/>
    <w:rsid w:val="006C4A51"/>
    <w:rsid w:val="006D0542"/>
    <w:rsid w:val="006F654D"/>
    <w:rsid w:val="00737008"/>
    <w:rsid w:val="00754449"/>
    <w:rsid w:val="00756049"/>
    <w:rsid w:val="007623DA"/>
    <w:rsid w:val="007774C7"/>
    <w:rsid w:val="007A47F5"/>
    <w:rsid w:val="007D01C9"/>
    <w:rsid w:val="007D03B8"/>
    <w:rsid w:val="007D04C7"/>
    <w:rsid w:val="007D79E4"/>
    <w:rsid w:val="007E45DA"/>
    <w:rsid w:val="007F7EA7"/>
    <w:rsid w:val="008036D5"/>
    <w:rsid w:val="00805FAF"/>
    <w:rsid w:val="00824D05"/>
    <w:rsid w:val="008524C0"/>
    <w:rsid w:val="00857182"/>
    <w:rsid w:val="008653E0"/>
    <w:rsid w:val="00872DD5"/>
    <w:rsid w:val="0087331D"/>
    <w:rsid w:val="00880111"/>
    <w:rsid w:val="008902AA"/>
    <w:rsid w:val="00890A9D"/>
    <w:rsid w:val="00893619"/>
    <w:rsid w:val="008A2D5F"/>
    <w:rsid w:val="008C12E0"/>
    <w:rsid w:val="008C745A"/>
    <w:rsid w:val="008D4CCD"/>
    <w:rsid w:val="008F1F7E"/>
    <w:rsid w:val="00911572"/>
    <w:rsid w:val="00912C7B"/>
    <w:rsid w:val="00916053"/>
    <w:rsid w:val="00921F72"/>
    <w:rsid w:val="009233B4"/>
    <w:rsid w:val="00923A14"/>
    <w:rsid w:val="009328E2"/>
    <w:rsid w:val="00961E2C"/>
    <w:rsid w:val="00980587"/>
    <w:rsid w:val="00980F99"/>
    <w:rsid w:val="0098365C"/>
    <w:rsid w:val="009878C1"/>
    <w:rsid w:val="00987E54"/>
    <w:rsid w:val="009B2519"/>
    <w:rsid w:val="009B37A2"/>
    <w:rsid w:val="009C0B0C"/>
    <w:rsid w:val="009F7F6B"/>
    <w:rsid w:val="00A06B87"/>
    <w:rsid w:val="00A250EA"/>
    <w:rsid w:val="00A25B36"/>
    <w:rsid w:val="00A279F5"/>
    <w:rsid w:val="00A34009"/>
    <w:rsid w:val="00A435F1"/>
    <w:rsid w:val="00A56D26"/>
    <w:rsid w:val="00A60C7E"/>
    <w:rsid w:val="00A60D6C"/>
    <w:rsid w:val="00A61A9A"/>
    <w:rsid w:val="00AB112A"/>
    <w:rsid w:val="00AC45EB"/>
    <w:rsid w:val="00AC5841"/>
    <w:rsid w:val="00AD7227"/>
    <w:rsid w:val="00AE3D01"/>
    <w:rsid w:val="00AF3146"/>
    <w:rsid w:val="00B00419"/>
    <w:rsid w:val="00B47936"/>
    <w:rsid w:val="00B509E3"/>
    <w:rsid w:val="00B52B29"/>
    <w:rsid w:val="00B80218"/>
    <w:rsid w:val="00B936DE"/>
    <w:rsid w:val="00B94BB0"/>
    <w:rsid w:val="00BA3E2A"/>
    <w:rsid w:val="00BC39AE"/>
    <w:rsid w:val="00BC5B9C"/>
    <w:rsid w:val="00BF3E39"/>
    <w:rsid w:val="00C05D9F"/>
    <w:rsid w:val="00C1444B"/>
    <w:rsid w:val="00C17DDB"/>
    <w:rsid w:val="00C84EE5"/>
    <w:rsid w:val="00C87F23"/>
    <w:rsid w:val="00C9163D"/>
    <w:rsid w:val="00CA4D3A"/>
    <w:rsid w:val="00CA4DA9"/>
    <w:rsid w:val="00CA5841"/>
    <w:rsid w:val="00CA7E0D"/>
    <w:rsid w:val="00CB0E6B"/>
    <w:rsid w:val="00CC764D"/>
    <w:rsid w:val="00CE6807"/>
    <w:rsid w:val="00CE6EB8"/>
    <w:rsid w:val="00CF50B3"/>
    <w:rsid w:val="00CF7674"/>
    <w:rsid w:val="00D25D84"/>
    <w:rsid w:val="00D26E48"/>
    <w:rsid w:val="00D34F08"/>
    <w:rsid w:val="00D41503"/>
    <w:rsid w:val="00D4554C"/>
    <w:rsid w:val="00D45A01"/>
    <w:rsid w:val="00D55785"/>
    <w:rsid w:val="00D60F40"/>
    <w:rsid w:val="00D64BA8"/>
    <w:rsid w:val="00D713DC"/>
    <w:rsid w:val="00D74461"/>
    <w:rsid w:val="00D87080"/>
    <w:rsid w:val="00DA2383"/>
    <w:rsid w:val="00DC594E"/>
    <w:rsid w:val="00DE2218"/>
    <w:rsid w:val="00DE7DF5"/>
    <w:rsid w:val="00E01426"/>
    <w:rsid w:val="00E02A10"/>
    <w:rsid w:val="00E07F66"/>
    <w:rsid w:val="00E11F44"/>
    <w:rsid w:val="00E24001"/>
    <w:rsid w:val="00E263D4"/>
    <w:rsid w:val="00E333F3"/>
    <w:rsid w:val="00E343B1"/>
    <w:rsid w:val="00E371EA"/>
    <w:rsid w:val="00E37B54"/>
    <w:rsid w:val="00E56DBB"/>
    <w:rsid w:val="00E805CD"/>
    <w:rsid w:val="00EA23FA"/>
    <w:rsid w:val="00EA4379"/>
    <w:rsid w:val="00EB0841"/>
    <w:rsid w:val="00EC4BF7"/>
    <w:rsid w:val="00EC6188"/>
    <w:rsid w:val="00EE1810"/>
    <w:rsid w:val="00EE7097"/>
    <w:rsid w:val="00EF229F"/>
    <w:rsid w:val="00F2582A"/>
    <w:rsid w:val="00F31C10"/>
    <w:rsid w:val="00F47896"/>
    <w:rsid w:val="00F479A1"/>
    <w:rsid w:val="00F95B15"/>
    <w:rsid w:val="00FA1C51"/>
    <w:rsid w:val="00FA62CB"/>
    <w:rsid w:val="00FA7943"/>
    <w:rsid w:val="00FB67EB"/>
    <w:rsid w:val="00FC2859"/>
    <w:rsid w:val="00FC7FAE"/>
    <w:rsid w:val="00FD1D43"/>
    <w:rsid w:val="00FF1936"/>
    <w:rsid w:val="00FF256C"/>
    <w:rsid w:val="00FF6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1CA599"/>
  <w15:docId w15:val="{27A0FE94-4202-45C9-BFBB-19717749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CAE"/>
    <w:pPr>
      <w:spacing w:after="0" w:line="240" w:lineRule="auto"/>
    </w:pPr>
    <w:rPr>
      <w:rFonts w:ascii="Verdana" w:hAnsi="Verdana"/>
      <w:sz w:val="24"/>
    </w:rPr>
  </w:style>
  <w:style w:type="paragraph" w:styleId="Heading1">
    <w:name w:val="heading 1"/>
    <w:basedOn w:val="Normal"/>
    <w:next w:val="Normal"/>
    <w:link w:val="Heading1Char"/>
    <w:uiPriority w:val="9"/>
    <w:qFormat/>
    <w:rsid w:val="00051E74"/>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6F654D"/>
    <w:pPr>
      <w:keepNext/>
      <w:keepLines/>
      <w:outlineLvl w:val="1"/>
    </w:pPr>
    <w:rPr>
      <w:rFonts w:eastAsiaTheme="majorEastAsia" w:cstheme="majorBidi"/>
      <w:b/>
      <w:bCs/>
      <w:szCs w:val="26"/>
    </w:rPr>
  </w:style>
  <w:style w:type="paragraph" w:styleId="Heading5">
    <w:name w:val="heading 5"/>
    <w:basedOn w:val="Normal"/>
    <w:next w:val="Normal"/>
    <w:link w:val="Heading5Char"/>
    <w:unhideWhenUsed/>
    <w:qFormat/>
    <w:rsid w:val="00262B18"/>
    <w:pPr>
      <w:keepNext/>
      <w:keepLines/>
      <w:spacing w:before="200"/>
      <w:outlineLvl w:val="4"/>
    </w:pPr>
    <w:rPr>
      <w:rFonts w:ascii="Arial" w:eastAsiaTheme="majorEastAsia" w:hAnsi="Arial" w:cstheme="majorBidi"/>
      <w:b/>
      <w:color w:val="365F91"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7674"/>
    <w:rPr>
      <w:rFonts w:ascii="Tahoma" w:hAnsi="Tahoma" w:cs="Tahoma"/>
      <w:sz w:val="16"/>
      <w:szCs w:val="16"/>
    </w:rPr>
  </w:style>
  <w:style w:type="character" w:customStyle="1" w:styleId="BalloonTextChar">
    <w:name w:val="Balloon Text Char"/>
    <w:basedOn w:val="DefaultParagraphFont"/>
    <w:link w:val="BalloonText"/>
    <w:uiPriority w:val="99"/>
    <w:semiHidden/>
    <w:rsid w:val="00CF7674"/>
    <w:rPr>
      <w:rFonts w:ascii="Tahoma" w:hAnsi="Tahoma" w:cs="Tahoma"/>
      <w:sz w:val="16"/>
      <w:szCs w:val="16"/>
    </w:rPr>
  </w:style>
  <w:style w:type="character" w:styleId="Hyperlink">
    <w:name w:val="Hyperlink"/>
    <w:basedOn w:val="DefaultParagraphFont"/>
    <w:uiPriority w:val="99"/>
    <w:unhideWhenUsed/>
    <w:rsid w:val="00544C9E"/>
    <w:rPr>
      <w:color w:val="0000FF" w:themeColor="hyperlink"/>
      <w:u w:val="single"/>
    </w:rPr>
  </w:style>
  <w:style w:type="paragraph" w:styleId="ListParagraph">
    <w:name w:val="List Paragraph"/>
    <w:basedOn w:val="Normal"/>
    <w:link w:val="ListParagraphChar"/>
    <w:uiPriority w:val="34"/>
    <w:qFormat/>
    <w:rsid w:val="0087331D"/>
    <w:pPr>
      <w:ind w:left="720"/>
      <w:contextualSpacing/>
    </w:pPr>
  </w:style>
  <w:style w:type="character" w:customStyle="1" w:styleId="Heading1Char">
    <w:name w:val="Heading 1 Char"/>
    <w:basedOn w:val="DefaultParagraphFont"/>
    <w:link w:val="Heading1"/>
    <w:uiPriority w:val="9"/>
    <w:rsid w:val="00051E74"/>
    <w:rPr>
      <w:rFonts w:ascii="Verdana" w:eastAsiaTheme="majorEastAsia" w:hAnsi="Verdana" w:cstheme="majorBidi"/>
      <w:b/>
      <w:bCs/>
      <w:sz w:val="24"/>
      <w:szCs w:val="28"/>
    </w:rPr>
  </w:style>
  <w:style w:type="paragraph" w:styleId="Header">
    <w:name w:val="header"/>
    <w:basedOn w:val="Normal"/>
    <w:link w:val="HeaderChar"/>
    <w:unhideWhenUsed/>
    <w:rsid w:val="00497F39"/>
    <w:pPr>
      <w:tabs>
        <w:tab w:val="center" w:pos="4513"/>
        <w:tab w:val="right" w:pos="9026"/>
      </w:tabs>
    </w:pPr>
  </w:style>
  <w:style w:type="character" w:customStyle="1" w:styleId="HeaderChar">
    <w:name w:val="Header Char"/>
    <w:basedOn w:val="DefaultParagraphFont"/>
    <w:link w:val="Header"/>
    <w:rsid w:val="00497F39"/>
  </w:style>
  <w:style w:type="paragraph" w:styleId="Footer">
    <w:name w:val="footer"/>
    <w:basedOn w:val="Normal"/>
    <w:link w:val="FooterChar"/>
    <w:uiPriority w:val="99"/>
    <w:unhideWhenUsed/>
    <w:rsid w:val="00497F39"/>
    <w:pPr>
      <w:tabs>
        <w:tab w:val="center" w:pos="4513"/>
        <w:tab w:val="right" w:pos="9026"/>
      </w:tabs>
    </w:pPr>
  </w:style>
  <w:style w:type="character" w:customStyle="1" w:styleId="FooterChar">
    <w:name w:val="Footer Char"/>
    <w:basedOn w:val="DefaultParagraphFont"/>
    <w:link w:val="Footer"/>
    <w:uiPriority w:val="99"/>
    <w:rsid w:val="00497F39"/>
  </w:style>
  <w:style w:type="paragraph" w:styleId="ListBullet">
    <w:name w:val="List Bullet"/>
    <w:basedOn w:val="Normal"/>
    <w:autoRedefine/>
    <w:rsid w:val="006F654D"/>
    <w:pPr>
      <w:ind w:left="53"/>
    </w:pPr>
    <w:rPr>
      <w:rFonts w:eastAsia="Times New Roman" w:cs="Times New Roman"/>
    </w:rPr>
  </w:style>
  <w:style w:type="character" w:styleId="PageNumber">
    <w:name w:val="page number"/>
    <w:basedOn w:val="DefaultParagraphFont"/>
    <w:rsid w:val="008524C0"/>
  </w:style>
  <w:style w:type="character" w:styleId="CommentReference">
    <w:name w:val="annotation reference"/>
    <w:basedOn w:val="DefaultParagraphFont"/>
    <w:uiPriority w:val="99"/>
    <w:semiHidden/>
    <w:unhideWhenUsed/>
    <w:rsid w:val="00F47896"/>
    <w:rPr>
      <w:sz w:val="16"/>
      <w:szCs w:val="16"/>
    </w:rPr>
  </w:style>
  <w:style w:type="paragraph" w:styleId="CommentText">
    <w:name w:val="annotation text"/>
    <w:basedOn w:val="Normal"/>
    <w:link w:val="CommentTextChar"/>
    <w:uiPriority w:val="99"/>
    <w:unhideWhenUsed/>
    <w:rsid w:val="00F47896"/>
    <w:rPr>
      <w:sz w:val="20"/>
      <w:szCs w:val="20"/>
    </w:rPr>
  </w:style>
  <w:style w:type="character" w:customStyle="1" w:styleId="CommentTextChar">
    <w:name w:val="Comment Text Char"/>
    <w:basedOn w:val="DefaultParagraphFont"/>
    <w:link w:val="CommentText"/>
    <w:uiPriority w:val="99"/>
    <w:rsid w:val="00F47896"/>
    <w:rPr>
      <w:sz w:val="20"/>
      <w:szCs w:val="20"/>
    </w:rPr>
  </w:style>
  <w:style w:type="paragraph" w:styleId="CommentSubject">
    <w:name w:val="annotation subject"/>
    <w:basedOn w:val="CommentText"/>
    <w:next w:val="CommentText"/>
    <w:link w:val="CommentSubjectChar"/>
    <w:uiPriority w:val="99"/>
    <w:semiHidden/>
    <w:unhideWhenUsed/>
    <w:rsid w:val="00F47896"/>
    <w:rPr>
      <w:b/>
      <w:bCs/>
    </w:rPr>
  </w:style>
  <w:style w:type="character" w:customStyle="1" w:styleId="CommentSubjectChar">
    <w:name w:val="Comment Subject Char"/>
    <w:basedOn w:val="CommentTextChar"/>
    <w:link w:val="CommentSubject"/>
    <w:uiPriority w:val="99"/>
    <w:semiHidden/>
    <w:rsid w:val="00F47896"/>
    <w:rPr>
      <w:b/>
      <w:bCs/>
      <w:sz w:val="20"/>
      <w:szCs w:val="20"/>
    </w:rPr>
  </w:style>
  <w:style w:type="character" w:styleId="FollowedHyperlink">
    <w:name w:val="FollowedHyperlink"/>
    <w:basedOn w:val="DefaultParagraphFont"/>
    <w:uiPriority w:val="99"/>
    <w:semiHidden/>
    <w:unhideWhenUsed/>
    <w:rsid w:val="00F47896"/>
    <w:rPr>
      <w:color w:val="800080" w:themeColor="followedHyperlink"/>
      <w:u w:val="single"/>
    </w:rPr>
  </w:style>
  <w:style w:type="character" w:customStyle="1" w:styleId="Heading2Char">
    <w:name w:val="Heading 2 Char"/>
    <w:basedOn w:val="DefaultParagraphFont"/>
    <w:link w:val="Heading2"/>
    <w:uiPriority w:val="9"/>
    <w:rsid w:val="006F654D"/>
    <w:rPr>
      <w:rFonts w:ascii="Verdana" w:eastAsiaTheme="majorEastAsia" w:hAnsi="Verdana" w:cstheme="majorBidi"/>
      <w:b/>
      <w:bCs/>
      <w:sz w:val="24"/>
      <w:szCs w:val="26"/>
    </w:rPr>
  </w:style>
  <w:style w:type="character" w:styleId="PlaceholderText">
    <w:name w:val="Placeholder Text"/>
    <w:basedOn w:val="DefaultParagraphFont"/>
    <w:uiPriority w:val="99"/>
    <w:semiHidden/>
    <w:rsid w:val="00D87080"/>
    <w:rPr>
      <w:color w:val="808080"/>
    </w:rPr>
  </w:style>
  <w:style w:type="paragraph" w:styleId="Date">
    <w:name w:val="Date"/>
    <w:basedOn w:val="Normal"/>
    <w:next w:val="Normal"/>
    <w:link w:val="DateChar"/>
    <w:uiPriority w:val="99"/>
    <w:unhideWhenUsed/>
    <w:rsid w:val="00EE7097"/>
  </w:style>
  <w:style w:type="character" w:customStyle="1" w:styleId="DateChar">
    <w:name w:val="Date Char"/>
    <w:basedOn w:val="DefaultParagraphFont"/>
    <w:link w:val="Date"/>
    <w:uiPriority w:val="99"/>
    <w:rsid w:val="00EE7097"/>
    <w:rPr>
      <w:rFonts w:ascii="Verdana" w:hAnsi="Verdana"/>
      <w:sz w:val="24"/>
    </w:rPr>
  </w:style>
  <w:style w:type="character" w:customStyle="1" w:styleId="Dropdown">
    <w:name w:val="Dropdown"/>
    <w:basedOn w:val="DefaultParagraphFont"/>
    <w:uiPriority w:val="1"/>
    <w:rsid w:val="007D79E4"/>
    <w:rPr>
      <w:rFonts w:ascii="Verdana" w:hAnsi="Verdana"/>
      <w:color w:val="auto"/>
      <w:sz w:val="24"/>
    </w:rPr>
  </w:style>
  <w:style w:type="paragraph" w:customStyle="1" w:styleId="Default">
    <w:name w:val="Default"/>
    <w:rsid w:val="005B4E75"/>
    <w:pPr>
      <w:autoSpaceDE w:val="0"/>
      <w:autoSpaceDN w:val="0"/>
      <w:adjustRightInd w:val="0"/>
      <w:spacing w:after="0" w:line="240" w:lineRule="auto"/>
    </w:pPr>
    <w:rPr>
      <w:rFonts w:ascii="Verdana" w:hAnsi="Verdana" w:cs="Verdana"/>
      <w:color w:val="000000"/>
      <w:sz w:val="24"/>
      <w:szCs w:val="24"/>
    </w:rPr>
  </w:style>
  <w:style w:type="character" w:customStyle="1" w:styleId="ListParagraphChar">
    <w:name w:val="List Paragraph Char"/>
    <w:basedOn w:val="DefaultParagraphFont"/>
    <w:link w:val="ListParagraph"/>
    <w:uiPriority w:val="34"/>
    <w:locked/>
    <w:rsid w:val="00A61A9A"/>
    <w:rPr>
      <w:rFonts w:ascii="Verdana" w:hAnsi="Verdana"/>
      <w:sz w:val="24"/>
    </w:rPr>
  </w:style>
  <w:style w:type="character" w:customStyle="1" w:styleId="Heading5Char">
    <w:name w:val="Heading 5 Char"/>
    <w:basedOn w:val="DefaultParagraphFont"/>
    <w:link w:val="Heading5"/>
    <w:rsid w:val="00262B18"/>
    <w:rPr>
      <w:rFonts w:ascii="Arial" w:eastAsiaTheme="majorEastAsia" w:hAnsi="Arial" w:cstheme="majorBidi"/>
      <w:b/>
      <w:color w:val="365F91"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782752">
      <w:bodyDiv w:val="1"/>
      <w:marLeft w:val="0"/>
      <w:marRight w:val="0"/>
      <w:marTop w:val="0"/>
      <w:marBottom w:val="0"/>
      <w:divBdr>
        <w:top w:val="none" w:sz="0" w:space="0" w:color="auto"/>
        <w:left w:val="none" w:sz="0" w:space="0" w:color="auto"/>
        <w:bottom w:val="none" w:sz="0" w:space="0" w:color="auto"/>
        <w:right w:val="none" w:sz="0" w:space="0" w:color="auto"/>
      </w:divBdr>
    </w:div>
    <w:div w:id="146191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howis.wales.nhs.uk/sitesplus/888/page/64548"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ales.nhs.uk/governance-emanual/how-the-health-and-care-standards-are-st"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1CEBAFED744FBDBE7668212525C5EB"/>
        <w:category>
          <w:name w:val="General"/>
          <w:gallery w:val="placeholder"/>
        </w:category>
        <w:types>
          <w:type w:val="bbPlcHdr"/>
        </w:types>
        <w:behaviors>
          <w:behavior w:val="content"/>
        </w:behaviors>
        <w:guid w:val="{2941FFAD-DA6B-4E5F-9405-F00BD91B0A46}"/>
      </w:docPartPr>
      <w:docPartBody>
        <w:p w:rsidR="00942F3C" w:rsidRDefault="0098440F" w:rsidP="0098440F">
          <w:pPr>
            <w:pStyle w:val="B71CEBAFED744FBDBE7668212525C5EB1"/>
          </w:pPr>
          <w:r w:rsidRPr="007D79E4">
            <w:rPr>
              <w:rStyle w:val="PlaceholderText"/>
              <w:szCs w:val="24"/>
            </w:rPr>
            <w:t>Choose an item.</w:t>
          </w:r>
        </w:p>
      </w:docPartBody>
    </w:docPart>
    <w:docPart>
      <w:docPartPr>
        <w:name w:val="0E25CCC5DD4F43AAA642CDCC18DDB6A6"/>
        <w:category>
          <w:name w:val="General"/>
          <w:gallery w:val="placeholder"/>
        </w:category>
        <w:types>
          <w:type w:val="bbPlcHdr"/>
        </w:types>
        <w:behaviors>
          <w:behavior w:val="content"/>
        </w:behaviors>
        <w:guid w:val="{42DF29C5-85B6-4F9E-8653-A0627D765C50}"/>
      </w:docPartPr>
      <w:docPartBody>
        <w:p w:rsidR="00942F3C" w:rsidRDefault="0098440F" w:rsidP="0098440F">
          <w:pPr>
            <w:pStyle w:val="0E25CCC5DD4F43AAA642CDCC18DDB6A61"/>
          </w:pPr>
          <w:r w:rsidRPr="0013075E">
            <w:rPr>
              <w:rStyle w:val="PlaceholderText"/>
              <w:szCs w:val="24"/>
            </w:rPr>
            <w:t>Choose an item.</w:t>
          </w:r>
        </w:p>
      </w:docPartBody>
    </w:docPart>
    <w:docPart>
      <w:docPartPr>
        <w:name w:val="C04374CD51A040E4BEE1F4C1F29763FE"/>
        <w:category>
          <w:name w:val="General"/>
          <w:gallery w:val="placeholder"/>
        </w:category>
        <w:types>
          <w:type w:val="bbPlcHdr"/>
        </w:types>
        <w:behaviors>
          <w:behavior w:val="content"/>
        </w:behaviors>
        <w:guid w:val="{7659C9B2-A251-47BA-B74D-C69A3BDD1888}"/>
      </w:docPartPr>
      <w:docPartBody>
        <w:p w:rsidR="00FF34A5" w:rsidRDefault="00AA293F" w:rsidP="00AA293F">
          <w:pPr>
            <w:pStyle w:val="C04374CD51A040E4BEE1F4C1F29763FE"/>
          </w:pPr>
          <w:r w:rsidRPr="001C60B5">
            <w:rPr>
              <w:rStyle w:val="PlaceholderText"/>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42F3C"/>
    <w:rsid w:val="003D3909"/>
    <w:rsid w:val="0045397F"/>
    <w:rsid w:val="004838BF"/>
    <w:rsid w:val="005A164A"/>
    <w:rsid w:val="00760EAF"/>
    <w:rsid w:val="00884126"/>
    <w:rsid w:val="00895D61"/>
    <w:rsid w:val="00942F3C"/>
    <w:rsid w:val="0098440F"/>
    <w:rsid w:val="00A12BED"/>
    <w:rsid w:val="00AA293F"/>
    <w:rsid w:val="00B518DF"/>
    <w:rsid w:val="00B661DB"/>
    <w:rsid w:val="00CF449E"/>
    <w:rsid w:val="00E861E6"/>
    <w:rsid w:val="00F66F0C"/>
    <w:rsid w:val="00FF3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8BF"/>
    <w:rPr>
      <w:color w:val="808080"/>
    </w:rPr>
  </w:style>
  <w:style w:type="paragraph" w:customStyle="1" w:styleId="B71CEBAFED744FBDBE7668212525C5EB">
    <w:name w:val="B71CEBAFED744FBDBE7668212525C5EB"/>
    <w:rsid w:val="00942F3C"/>
  </w:style>
  <w:style w:type="paragraph" w:customStyle="1" w:styleId="0E25CCC5DD4F43AAA642CDCC18DDB6A6">
    <w:name w:val="0E25CCC5DD4F43AAA642CDCC18DDB6A6"/>
    <w:rsid w:val="00942F3C"/>
  </w:style>
  <w:style w:type="paragraph" w:customStyle="1" w:styleId="E728F56A42F140A7861FAC2D6EC403FB">
    <w:name w:val="E728F56A42F140A7861FAC2D6EC403FB"/>
    <w:rsid w:val="00942F3C"/>
  </w:style>
  <w:style w:type="paragraph" w:customStyle="1" w:styleId="C3826F269E5A473DAA5766AD56AE5566">
    <w:name w:val="C3826F269E5A473DAA5766AD56AE5566"/>
    <w:rsid w:val="00942F3C"/>
  </w:style>
  <w:style w:type="paragraph" w:customStyle="1" w:styleId="B75A7526F7D84CA2961C6F54688F4FA1">
    <w:name w:val="B75A7526F7D84CA2961C6F54688F4FA1"/>
    <w:rsid w:val="00942F3C"/>
  </w:style>
  <w:style w:type="paragraph" w:customStyle="1" w:styleId="9B8CED89FE6E489186EB32EA798E74F5">
    <w:name w:val="9B8CED89FE6E489186EB32EA798E74F5"/>
    <w:rsid w:val="00942F3C"/>
  </w:style>
  <w:style w:type="paragraph" w:customStyle="1" w:styleId="19A444ACBEA34578BA0CB31422DD2377">
    <w:name w:val="19A444ACBEA34578BA0CB31422DD2377"/>
    <w:rsid w:val="00942F3C"/>
  </w:style>
  <w:style w:type="paragraph" w:customStyle="1" w:styleId="6E50E95D2E43462FBFE7700481AFD396">
    <w:name w:val="6E50E95D2E43462FBFE7700481AFD396"/>
    <w:rsid w:val="00942F3C"/>
  </w:style>
  <w:style w:type="paragraph" w:customStyle="1" w:styleId="909A9F0FBCB944E9A4061B5A549C2BCF">
    <w:name w:val="909A9F0FBCB944E9A4061B5A549C2BCF"/>
    <w:rsid w:val="00942F3C"/>
  </w:style>
  <w:style w:type="paragraph" w:customStyle="1" w:styleId="F6834E3914FE4DD799970AFA163D778F">
    <w:name w:val="F6834E3914FE4DD799970AFA163D778F"/>
    <w:rsid w:val="00942F3C"/>
  </w:style>
  <w:style w:type="paragraph" w:customStyle="1" w:styleId="913BF181E62D408491740A566E17A0A4">
    <w:name w:val="913BF181E62D408491740A566E17A0A4"/>
    <w:rsid w:val="00942F3C"/>
  </w:style>
  <w:style w:type="paragraph" w:customStyle="1" w:styleId="B5E75E7293A34274978C09F7D4B5735C">
    <w:name w:val="B5E75E7293A34274978C09F7D4B5735C"/>
    <w:rsid w:val="00942F3C"/>
  </w:style>
  <w:style w:type="paragraph" w:customStyle="1" w:styleId="E478EFCE71904737AFBE49A1FD0AA882">
    <w:name w:val="E478EFCE71904737AFBE49A1FD0AA882"/>
    <w:rsid w:val="00942F3C"/>
  </w:style>
  <w:style w:type="paragraph" w:customStyle="1" w:styleId="7DDA5CB04D724A5ABF7EAC622872D4FA">
    <w:name w:val="7DDA5CB04D724A5ABF7EAC622872D4FA"/>
    <w:rsid w:val="00942F3C"/>
  </w:style>
  <w:style w:type="paragraph" w:customStyle="1" w:styleId="E58BB02786A64DC3902FB28155850BE6">
    <w:name w:val="E58BB02786A64DC3902FB28155850BE6"/>
    <w:rsid w:val="00942F3C"/>
  </w:style>
  <w:style w:type="paragraph" w:customStyle="1" w:styleId="8952B08D80D8485F8616604608967B5A">
    <w:name w:val="8952B08D80D8485F8616604608967B5A"/>
    <w:rsid w:val="0098440F"/>
    <w:pPr>
      <w:spacing w:after="160" w:line="259" w:lineRule="auto"/>
    </w:pPr>
  </w:style>
  <w:style w:type="paragraph" w:customStyle="1" w:styleId="9CC72616DDE34070956E56C2D18E4A4C">
    <w:name w:val="9CC72616DDE34070956E56C2D18E4A4C"/>
    <w:rsid w:val="0098440F"/>
    <w:pPr>
      <w:spacing w:after="160" w:line="259" w:lineRule="auto"/>
    </w:pPr>
  </w:style>
  <w:style w:type="paragraph" w:customStyle="1" w:styleId="2A98DF3B7D804AE5BB859F2C34349FD5">
    <w:name w:val="2A98DF3B7D804AE5BB859F2C34349FD5"/>
    <w:rsid w:val="0098440F"/>
    <w:pPr>
      <w:spacing w:after="160" w:line="259" w:lineRule="auto"/>
    </w:pPr>
  </w:style>
  <w:style w:type="paragraph" w:customStyle="1" w:styleId="80D911A8548C4A20B0918E044529BA12">
    <w:name w:val="80D911A8548C4A20B0918E044529BA12"/>
    <w:rsid w:val="0098440F"/>
    <w:pPr>
      <w:spacing w:after="160" w:line="259" w:lineRule="auto"/>
    </w:pPr>
  </w:style>
  <w:style w:type="paragraph" w:customStyle="1" w:styleId="398517B14D714148931AD0451FF0A872">
    <w:name w:val="398517B14D714148931AD0451FF0A872"/>
    <w:rsid w:val="0098440F"/>
    <w:pPr>
      <w:spacing w:after="160" w:line="259" w:lineRule="auto"/>
    </w:pPr>
  </w:style>
  <w:style w:type="paragraph" w:customStyle="1" w:styleId="B71CEBAFED744FBDBE7668212525C5EB1">
    <w:name w:val="B71CEBAFED744FBDBE7668212525C5EB1"/>
    <w:rsid w:val="0098440F"/>
    <w:pPr>
      <w:spacing w:after="0" w:line="240" w:lineRule="auto"/>
    </w:pPr>
    <w:rPr>
      <w:rFonts w:ascii="Verdana" w:eastAsiaTheme="minorHAnsi" w:hAnsi="Verdana"/>
      <w:sz w:val="24"/>
      <w:lang w:eastAsia="en-US"/>
    </w:rPr>
  </w:style>
  <w:style w:type="paragraph" w:customStyle="1" w:styleId="0E25CCC5DD4F43AAA642CDCC18DDB6A61">
    <w:name w:val="0E25CCC5DD4F43AAA642CDCC18DDB6A61"/>
    <w:rsid w:val="0098440F"/>
    <w:pPr>
      <w:spacing w:after="0" w:line="240" w:lineRule="auto"/>
    </w:pPr>
    <w:rPr>
      <w:rFonts w:ascii="Verdana" w:eastAsiaTheme="minorHAnsi" w:hAnsi="Verdana"/>
      <w:sz w:val="24"/>
      <w:lang w:eastAsia="en-US"/>
    </w:rPr>
  </w:style>
  <w:style w:type="paragraph" w:customStyle="1" w:styleId="E728F56A42F140A7861FAC2D6EC403FB1">
    <w:name w:val="E728F56A42F140A7861FAC2D6EC403FB1"/>
    <w:rsid w:val="0098440F"/>
    <w:pPr>
      <w:spacing w:after="0" w:line="240" w:lineRule="auto"/>
    </w:pPr>
    <w:rPr>
      <w:rFonts w:ascii="Verdana" w:eastAsiaTheme="minorHAnsi" w:hAnsi="Verdana"/>
      <w:sz w:val="24"/>
      <w:lang w:eastAsia="en-US"/>
    </w:rPr>
  </w:style>
  <w:style w:type="paragraph" w:customStyle="1" w:styleId="C3826F269E5A473DAA5766AD56AE55661">
    <w:name w:val="C3826F269E5A473DAA5766AD56AE55661"/>
    <w:rsid w:val="0098440F"/>
    <w:pPr>
      <w:spacing w:after="0" w:line="240" w:lineRule="auto"/>
    </w:pPr>
    <w:rPr>
      <w:rFonts w:ascii="Verdana" w:eastAsiaTheme="minorHAnsi" w:hAnsi="Verdana"/>
      <w:sz w:val="24"/>
      <w:lang w:eastAsia="en-US"/>
    </w:rPr>
  </w:style>
  <w:style w:type="paragraph" w:customStyle="1" w:styleId="B5E75E7293A34274978C09F7D4B5735C1">
    <w:name w:val="B5E75E7293A34274978C09F7D4B5735C1"/>
    <w:rsid w:val="0098440F"/>
    <w:pPr>
      <w:spacing w:after="0" w:line="240" w:lineRule="auto"/>
    </w:pPr>
    <w:rPr>
      <w:rFonts w:ascii="Verdana" w:eastAsiaTheme="minorHAnsi" w:hAnsi="Verdana"/>
      <w:sz w:val="24"/>
      <w:lang w:eastAsia="en-US"/>
    </w:rPr>
  </w:style>
  <w:style w:type="paragraph" w:customStyle="1" w:styleId="9B8CED89FE6E489186EB32EA798E74F51">
    <w:name w:val="9B8CED89FE6E489186EB32EA798E74F51"/>
    <w:rsid w:val="0098440F"/>
    <w:pPr>
      <w:spacing w:after="0" w:line="240" w:lineRule="auto"/>
    </w:pPr>
    <w:rPr>
      <w:rFonts w:ascii="Verdana" w:eastAsiaTheme="minorHAnsi" w:hAnsi="Verdana"/>
      <w:sz w:val="24"/>
      <w:lang w:eastAsia="en-US"/>
    </w:rPr>
  </w:style>
  <w:style w:type="paragraph" w:customStyle="1" w:styleId="19A444ACBEA34578BA0CB31422DD23771">
    <w:name w:val="19A444ACBEA34578BA0CB31422DD23771"/>
    <w:rsid w:val="0098440F"/>
    <w:pPr>
      <w:spacing w:after="0" w:line="240" w:lineRule="auto"/>
    </w:pPr>
    <w:rPr>
      <w:rFonts w:ascii="Verdana" w:eastAsiaTheme="minorHAnsi" w:hAnsi="Verdana"/>
      <w:sz w:val="24"/>
      <w:lang w:eastAsia="en-US"/>
    </w:rPr>
  </w:style>
  <w:style w:type="paragraph" w:customStyle="1" w:styleId="8952B08D80D8485F8616604608967B5A1">
    <w:name w:val="8952B08D80D8485F8616604608967B5A1"/>
    <w:rsid w:val="0098440F"/>
    <w:pPr>
      <w:spacing w:after="0" w:line="240" w:lineRule="auto"/>
    </w:pPr>
    <w:rPr>
      <w:rFonts w:ascii="Verdana" w:eastAsiaTheme="minorHAnsi" w:hAnsi="Verdana"/>
      <w:sz w:val="24"/>
      <w:lang w:eastAsia="en-US"/>
    </w:rPr>
  </w:style>
  <w:style w:type="paragraph" w:customStyle="1" w:styleId="80D911A8548C4A20B0918E044529BA121">
    <w:name w:val="80D911A8548C4A20B0918E044529BA121"/>
    <w:rsid w:val="0098440F"/>
    <w:pPr>
      <w:spacing w:after="0" w:line="240" w:lineRule="auto"/>
    </w:pPr>
    <w:rPr>
      <w:rFonts w:ascii="Verdana" w:eastAsiaTheme="minorHAnsi" w:hAnsi="Verdana"/>
      <w:sz w:val="24"/>
      <w:lang w:eastAsia="en-US"/>
    </w:rPr>
  </w:style>
  <w:style w:type="paragraph" w:customStyle="1" w:styleId="398517B14D714148931AD0451FF0A8721">
    <w:name w:val="398517B14D714148931AD0451FF0A8721"/>
    <w:rsid w:val="0098440F"/>
    <w:pPr>
      <w:spacing w:after="0" w:line="240" w:lineRule="auto"/>
    </w:pPr>
    <w:rPr>
      <w:rFonts w:ascii="Verdana" w:eastAsiaTheme="minorHAnsi" w:hAnsi="Verdana"/>
      <w:sz w:val="24"/>
      <w:lang w:eastAsia="en-US"/>
    </w:rPr>
  </w:style>
  <w:style w:type="paragraph" w:customStyle="1" w:styleId="4C6AAE8593DC4F618353CDFCD416CA79">
    <w:name w:val="4C6AAE8593DC4F618353CDFCD416CA79"/>
    <w:rsid w:val="00760EAF"/>
    <w:pPr>
      <w:spacing w:after="160" w:line="259" w:lineRule="auto"/>
    </w:pPr>
  </w:style>
  <w:style w:type="paragraph" w:customStyle="1" w:styleId="04161E0AAEEB4A8D8206571FD0CE6466">
    <w:name w:val="04161E0AAEEB4A8D8206571FD0CE6466"/>
    <w:rsid w:val="00760EAF"/>
    <w:pPr>
      <w:spacing w:after="160" w:line="259" w:lineRule="auto"/>
    </w:pPr>
  </w:style>
  <w:style w:type="paragraph" w:customStyle="1" w:styleId="81B00BAB8DF44AD2AB7819CCAAFC9EC8">
    <w:name w:val="81B00BAB8DF44AD2AB7819CCAAFC9EC8"/>
    <w:rsid w:val="00760EAF"/>
    <w:pPr>
      <w:spacing w:after="160" w:line="259" w:lineRule="auto"/>
    </w:pPr>
  </w:style>
  <w:style w:type="paragraph" w:customStyle="1" w:styleId="0ECE6A1159A64539822741CFAE2C9B30">
    <w:name w:val="0ECE6A1159A64539822741CFAE2C9B30"/>
    <w:rsid w:val="00760EAF"/>
    <w:pPr>
      <w:spacing w:after="160" w:line="259" w:lineRule="auto"/>
    </w:pPr>
  </w:style>
  <w:style w:type="paragraph" w:customStyle="1" w:styleId="5A5F231099F942BDB087759F1EF38FEA">
    <w:name w:val="5A5F231099F942BDB087759F1EF38FEA"/>
    <w:rsid w:val="00760EAF"/>
    <w:pPr>
      <w:spacing w:after="160" w:line="259" w:lineRule="auto"/>
    </w:pPr>
  </w:style>
  <w:style w:type="paragraph" w:customStyle="1" w:styleId="95C6797B0A2E4F0B84E72883EFECD809">
    <w:name w:val="95C6797B0A2E4F0B84E72883EFECD809"/>
    <w:rsid w:val="00760EAF"/>
    <w:pPr>
      <w:spacing w:after="160" w:line="259" w:lineRule="auto"/>
    </w:pPr>
  </w:style>
  <w:style w:type="paragraph" w:customStyle="1" w:styleId="C04374CD51A040E4BEE1F4C1F29763FE">
    <w:name w:val="C04374CD51A040E4BEE1F4C1F29763FE"/>
    <w:rsid w:val="00AA293F"/>
    <w:pPr>
      <w:spacing w:after="160" w:line="259" w:lineRule="auto"/>
    </w:pPr>
  </w:style>
  <w:style w:type="paragraph" w:customStyle="1" w:styleId="5725F11CA3AB4BF7861CEAA56AA1D24C">
    <w:name w:val="5725F11CA3AB4BF7861CEAA56AA1D24C"/>
    <w:rsid w:val="0045397F"/>
    <w:pPr>
      <w:spacing w:after="160" w:line="259" w:lineRule="auto"/>
    </w:pPr>
  </w:style>
  <w:style w:type="paragraph" w:customStyle="1" w:styleId="7F00E96D11CF4307AC6771E4BB14B953">
    <w:name w:val="7F00E96D11CF4307AC6771E4BB14B953"/>
    <w:rsid w:val="0045397F"/>
    <w:pPr>
      <w:spacing w:after="160" w:line="259" w:lineRule="auto"/>
    </w:pPr>
  </w:style>
  <w:style w:type="paragraph" w:customStyle="1" w:styleId="5A753FB1D9E14086A408EB643958D1AA">
    <w:name w:val="5A753FB1D9E14086A408EB643958D1AA"/>
    <w:rsid w:val="004838BF"/>
    <w:pPr>
      <w:spacing w:after="160" w:line="259" w:lineRule="auto"/>
    </w:pPr>
  </w:style>
  <w:style w:type="paragraph" w:customStyle="1" w:styleId="F93CAFC8B8E34EB6A8C84A0546774BB5">
    <w:name w:val="F93CAFC8B8E34EB6A8C84A0546774BB5"/>
    <w:rsid w:val="004838BF"/>
    <w:pPr>
      <w:spacing w:after="160" w:line="259" w:lineRule="auto"/>
    </w:pPr>
  </w:style>
  <w:style w:type="paragraph" w:customStyle="1" w:styleId="E19A39A2DC34427782303866B501EF52">
    <w:name w:val="E19A39A2DC34427782303866B501EF52"/>
    <w:rsid w:val="004838BF"/>
    <w:pPr>
      <w:spacing w:after="160" w:line="259" w:lineRule="auto"/>
    </w:pPr>
  </w:style>
  <w:style w:type="paragraph" w:customStyle="1" w:styleId="4037A60F381647269327C3491F818BF7">
    <w:name w:val="4037A60F381647269327C3491F818BF7"/>
    <w:rsid w:val="004838B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TaxCatchAll xmlns="573deb0b-1af8-4c22-839e-5226f9086661">
      <Value>12</Value>
    </TaxCatchAll>
    <Archived xmlns="573deb0b-1af8-4c22-839e-5226f9086661">false</Archived>
    <EmailSubject xmlns="http://schemas.microsoft.com/sharepoint/v3" xsi:nil="true"/>
    <TaxKeywordTaxHTField xmlns="573deb0b-1af8-4c22-839e-5226f9086661">
      <Terms xmlns="http://schemas.microsoft.com/office/infopath/2007/PartnerControls">
        <TermInfo xmlns="http://schemas.microsoft.com/office/infopath/2007/PartnerControls">
          <TermName xmlns="http://schemas.microsoft.com/office/infopath/2007/PartnerControls">board committee</TermName>
          <TermId xmlns="http://schemas.microsoft.com/office/infopath/2007/PartnerControls">4c59d375-e8fe-4895-99f7-de1ea7bd2bf6</TermId>
        </TermInfo>
      </Terms>
    </TaxKeywordTaxHTField>
    <EmailCc xmlns="http://schemas.microsoft.com/sharepoint/v3" xsi:nil="true"/>
    <_dlc_DocId xmlns="fd053438-771b-42ba-9d81-01aaf027653a">KN3KN54Q7VUQ-4-10</_dlc_DocId>
    <_dlc_DocIdUrl xmlns="fd053438-771b-42ba-9d81-01aaf027653a">
      <Url>https://phwsharepoint.cymru.nhs.uk/corporate/governance/_layouts/15/DocIdRedir.aspx?ID=KN3KN54Q7VUQ-4-10</Url>
      <Description>KN3KN54Q7VUQ-4-10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85055D04C02241AF4759873DF8334B" ma:contentTypeVersion="29" ma:contentTypeDescription="Document with Enterprise Keyword column." ma:contentTypeScope="" ma:versionID="157275ac0c35055e6a3a4cb3467c48e6">
  <xsd:schema xmlns:xsd="http://www.w3.org/2001/XMLSchema" xmlns:xs="http://www.w3.org/2001/XMLSchema" xmlns:p="http://schemas.microsoft.com/office/2006/metadata/properties" xmlns:ns1="http://schemas.microsoft.com/sharepoint/v3" xmlns:ns2="fd053438-771b-42ba-9d81-01aaf027653a" xmlns:ns3="573deb0b-1af8-4c22-839e-5226f9086661" xmlns:ns4="http://schemas.microsoft.com/sharepoint/v4" targetNamespace="http://schemas.microsoft.com/office/2006/metadata/properties" ma:root="true" ma:fieldsID="887349ad8097a8f58d1bb95b9d8028a8" ns1:_="" ns2:_="" ns3:_="" ns4:_="">
    <xsd:import namespace="http://schemas.microsoft.com/sharepoint/v3"/>
    <xsd:import namespace="fd053438-771b-42ba-9d81-01aaf027653a"/>
    <xsd:import namespace="573deb0b-1af8-4c22-839e-5226f908666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TaxKeywordTaxHTField" minOccurs="0"/>
                <xsd:element ref="ns3:TaxCatchAll" minOccurs="0"/>
                <xsd:element ref="ns3:Archived"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1" nillable="true" ma:displayName="E-Mail Sender" ma:description="" ma:hidden="true" ma:internalName="EmailSender" ma:readOnly="false">
      <xsd:simpleType>
        <xsd:restriction base="dms:Note">
          <xsd:maxLength value="255"/>
        </xsd:restriction>
      </xsd:simpleType>
    </xsd:element>
    <xsd:element name="EmailTo" ma:index="12" nillable="true" ma:displayName="E-Mail To" ma:description="" ma:hidden="true" ma:internalName="EmailTo" ma:readOnly="false">
      <xsd:simpleType>
        <xsd:restriction base="dms:Note">
          <xsd:maxLength value="255"/>
        </xsd:restriction>
      </xsd:simpleType>
    </xsd:element>
    <xsd:element name="EmailCc" ma:index="13" nillable="true" ma:displayName="E-Mail Cc" ma:description="" ma:hidden="true" ma:internalName="EmailCc" ma:readOnly="false">
      <xsd:simpleType>
        <xsd:restriction base="dms:Note">
          <xsd:maxLength value="255"/>
        </xsd:restriction>
      </xsd:simpleType>
    </xsd:element>
    <xsd:element name="EmailFrom" ma:index="14" nillable="true" ma:displayName="E-Mail From" ma:description="" ma:hidden="true" ma:internalName="EmailFrom" ma:readOnly="false">
      <xsd:simpleType>
        <xsd:restriction base="dms:Text"/>
      </xsd:simpleType>
    </xsd:element>
    <xsd:element name="EmailSubject" ma:index="15" nillable="true" ma:displayName="E-Mail Subject" ma:description="" ma:hidden="true" ma:internalName="EmailSub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053438-771b-42ba-9d81-01aaf027653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3deb0b-1af8-4c22-839e-5226f9086661" elementFormDefault="qualified">
    <xsd:import namespace="http://schemas.microsoft.com/office/2006/documentManagement/types"/>
    <xsd:import namespace="http://schemas.microsoft.com/office/infopath/2007/PartnerControls"/>
    <xsd:element name="TaxKeywordTaxHTField" ma:index="7" nillable="true" ma:taxonomy="true" ma:internalName="TaxKeywordTaxHTField" ma:taxonomyFieldName="TaxKeyword" ma:displayName="Enterprise Keywords" ma:readOnly="false" ma:fieldId="{23f27201-bee3-471e-b2e7-b64fd8b7ca38}" ma:taxonomyMulti="true" ma:sspId="64f761c4-cb64-4933-b1ae-cbeaa3c9865a"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03c2ea0b-a94f-4569-805f-1911d84595fa}" ma:internalName="TaxCatchAll" ma:showField="CatchAllData" ma:web="fd053438-771b-42ba-9d81-01aaf027653a">
      <xsd:complexType>
        <xsd:complexContent>
          <xsd:extension base="dms:MultiChoiceLookup">
            <xsd:sequence>
              <xsd:element name="Value" type="dms:Lookup" maxOccurs="unbounded" minOccurs="0" nillable="true"/>
            </xsd:sequence>
          </xsd:extension>
        </xsd:complexContent>
      </xsd:complexType>
    </xsd:element>
    <xsd:element name="Archived" ma:index="10" nillable="true" ma:displayName="Archived" ma:default="0" ma:internalName="Archive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6" nillable="true" ma:displayName="E-Mail Headers" ma:description="" ma:hidden="true" ma:internalName="EmailHeader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E4FD6-408B-48BD-A088-9C453C496D1C}">
  <ds:schemaRef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sharepoint/v3"/>
    <ds:schemaRef ds:uri="http://schemas.microsoft.com/sharepoint/v4"/>
    <ds:schemaRef ds:uri="http://schemas.microsoft.com/office/infopath/2007/PartnerControls"/>
    <ds:schemaRef ds:uri="573deb0b-1af8-4c22-839e-5226f9086661"/>
    <ds:schemaRef ds:uri="fd053438-771b-42ba-9d81-01aaf027653a"/>
    <ds:schemaRef ds:uri="http://www.w3.org/XML/1998/namespace"/>
    <ds:schemaRef ds:uri="http://purl.org/dc/dcmitype/"/>
  </ds:schemaRefs>
</ds:datastoreItem>
</file>

<file path=customXml/itemProps2.xml><?xml version="1.0" encoding="utf-8"?>
<ds:datastoreItem xmlns:ds="http://schemas.openxmlformats.org/officeDocument/2006/customXml" ds:itemID="{94A5339A-CF00-4DA8-8650-353C70535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053438-771b-42ba-9d81-01aaf027653a"/>
    <ds:schemaRef ds:uri="573deb0b-1af8-4c22-839e-5226f908666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52606F-CDE7-4DEF-90F7-815D06D30DF2}">
  <ds:schemaRefs>
    <ds:schemaRef ds:uri="http://schemas.microsoft.com/sharepoint/events"/>
  </ds:schemaRefs>
</ds:datastoreItem>
</file>

<file path=customXml/itemProps4.xml><?xml version="1.0" encoding="utf-8"?>
<ds:datastoreItem xmlns:ds="http://schemas.openxmlformats.org/officeDocument/2006/customXml" ds:itemID="{DFA5BFB1-DBC1-4C9C-BF71-FDBD58C908F8}">
  <ds:schemaRefs>
    <ds:schemaRef ds:uri="http://schemas.microsoft.com/sharepoint/v3/contenttype/forms"/>
  </ds:schemaRefs>
</ds:datastoreItem>
</file>

<file path=customXml/itemProps5.xml><?xml version="1.0" encoding="utf-8"?>
<ds:datastoreItem xmlns:ds="http://schemas.openxmlformats.org/officeDocument/2006/customXml" ds:itemID="{67EFFBCB-14DA-4C94-B3C5-94CE0D2E9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Board and Committe template 2019</vt:lpstr>
    </vt:vector>
  </TitlesOfParts>
  <Company>Public Health Wales</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and Committe template 2019</dc:title>
  <dc:creator>Cathie Steele</dc:creator>
  <cp:keywords>board committee</cp:keywords>
  <cp:lastModifiedBy>Reanne Reffell (Public Health Wales - No. 2 Capital Quarter)</cp:lastModifiedBy>
  <cp:revision>2</cp:revision>
  <cp:lastPrinted>2017-10-16T08:46:00Z</cp:lastPrinted>
  <dcterms:created xsi:type="dcterms:W3CDTF">2019-05-24T11:08:00Z</dcterms:created>
  <dcterms:modified xsi:type="dcterms:W3CDTF">2019-05-24T11:08:00Z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0x0101002085055D04C02241AF4759873DF8334B</vt:lpwstr>
  </property>
  <property fmtid="{D5CDD505-2E9C-101B-9397-08002B2CF9AE}" pid="3" name="_dlc_DocIdItemGuid">
    <vt:lpwstr>a1c43624-a7f3-40e9-a413-8921fd834b29</vt:lpwstr>
  </property>
  <property fmtid="{D5CDD505-2E9C-101B-9397-08002B2CF9AE}" pid="4" name="TaxKeyword">
    <vt:lpwstr>12;#board committee|4c59d375-e8fe-4895-99f7-de1ea7bd2bf6</vt:lpwstr>
  </property>
</Properties>
</file>